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1781/19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דימטרי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קדיוליץ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rFonts w:ascii="Century" w:hAnsi="Century" w:cs="Miriam"/>
                <w:b/>
                <w:szCs w:val="24"/>
              </w:rPr>
            </w:pP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ערעור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על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פסק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דינו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של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בית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המשפט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המחוזי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באר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שבע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ב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>-</w:t>
            </w:r>
            <w:hyperlink r:id="rId2">
              <w:r>
                <w:rPr>
                  <w:rStyle w:val="Hyperlink"/>
                  <w:rFonts w:ascii="Century" w:hAnsi="Century" w:cs="Miriam"/>
                  <w:b/>
                  <w:b/>
                  <w:color w:val="0000FF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rFonts w:cs="Miriam" w:ascii="Century" w:hAnsi="Century"/>
                  <w:b/>
                  <w:color w:val="0000FF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Century" w:hAnsi="Century" w:cs="Miriam"/>
                  <w:b/>
                  <w:b/>
                  <w:color w:val="0000FF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ascii="Century" w:hAnsi="Century" w:eastAsia="Century" w:cs="Century"/>
                  <w:b/>
                  <w:b/>
                  <w:color w:val="0000FF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Miriam" w:ascii="Century" w:hAnsi="Century"/>
                  <w:b/>
                  <w:color w:val="0000FF"/>
                  <w:szCs w:val="24"/>
                  <w:u w:val="single"/>
                </w:rPr>
                <w:t>57320-02-16</w:t>
              </w:r>
            </w:hyperlink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מיום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cs="Miriam" w:ascii="Century" w:hAnsi="Century"/>
                <w:b/>
                <w:szCs w:val="24"/>
              </w:rPr>
              <w:t>9.12.2018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ומיום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cs="Miriam" w:ascii="Century" w:hAnsi="Century"/>
                <w:b/>
                <w:szCs w:val="24"/>
              </w:rPr>
              <w:t>24.01.2019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שניתן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על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ידי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כב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השופט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א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משניות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באב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ף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11.8.2020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בנימין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גריקו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שוויצר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awTable"/>
      <w:bookmarkEnd w:id="5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פקודת הראיות </w:t>
        </w:r>
        <w:r>
          <w:rPr>
            <w:rStyle w:val="Hyperlink"/>
            <w:rFonts w:cs="FrankRuehl" w:ascii="FrankRuehl" w:hAnsi="FrankRuehl"/>
            <w:sz w:val="24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1971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z w:val="24"/>
          </w:rPr>
          <w:t>10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sz w:val="24"/>
          </w:rPr>
          <w:t>54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6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1977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sz w:val="24"/>
          </w:rPr>
          <w:t>29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sz w:val="24"/>
          </w:rPr>
          <w:t>29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9">
        <w:r>
          <w:rPr>
            <w:rStyle w:val="Hyperlink"/>
            <w:rFonts w:cs="FrankRuehl" w:ascii="FrankRuehl" w:hAnsi="FrankRuehl"/>
            <w:sz w:val="24"/>
          </w:rPr>
          <w:t>83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sz w:val="24"/>
          </w:rPr>
          <w:t>428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sz w:val="24"/>
          </w:rPr>
          <w:t>499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hyperlink r:id="rId12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חוק הגנת הצרכן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תשמ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1981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  <w:u w:val="single"/>
        </w:rPr>
      </w:pPr>
      <w:r>
        <w:rPr>
          <w:rFonts w:cs="FrankRuehl" w:ascii="FrankRuehl" w:hAnsi="FrankRuehl"/>
          <w:color w:val="0000FF"/>
          <w:sz w:val="24"/>
          <w:u w:val="single"/>
          <w:rtl w:val="true"/>
        </w:rPr>
      </w:r>
      <w:bookmarkStart w:id="6" w:name="LawTable_End"/>
      <w:bookmarkStart w:id="7" w:name="LawTable_End"/>
      <w:bookmarkEnd w:id="7"/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8" w:name="ABSTRACT_START"/>
      <w:bookmarkEnd w:id="8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פסק כי התקיימה דרישת החיזוק הראייתי המוגבר להרשעת המערער בביצוע עבירות סחיטה באיומים של קשישים על סמך אמרת חוץ של נאשם נוסף בפרשה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תוך זיכוי המערער מביצוע </w:t>
      </w:r>
      <w:r>
        <w:rPr>
          <w:rFonts w:cs="Times New Roman" w:ascii="Times New Roman" w:hAnsi="Times New Roman"/>
          <w:spacing w:val="0"/>
          <w:sz w:val="24"/>
          <w:szCs w:val="26"/>
        </w:rPr>
        <w:t>4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 מתוך למעלה 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 w:val="24"/>
          <w:szCs w:val="26"/>
        </w:rPr>
        <w:t>150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 שבהן הורשע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חרף הזיכוי נפסק כי אין להקל בעונש המאסר בפועל בן </w:t>
      </w:r>
      <w:r>
        <w:rPr>
          <w:rFonts w:cs="Times New Roman" w:ascii="Times New Roman" w:hAnsi="Times New Roman"/>
          <w:spacing w:val="0"/>
          <w:sz w:val="24"/>
          <w:szCs w:val="26"/>
        </w:rPr>
        <w:t>7.5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שנים שהושת על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נוכח מעשיו הנלוזים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הפגיעה הקשה במתלוננים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והצורך בהגנה מיוחדת על אוכלוסיות קשישות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ראיות – חיזוק – חיזור מוגבר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ראיות – הודעה – הודעה מפלילה של שותף לאישום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דיון פלילי – ערעור – 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התערבות בממצאים עובדתיים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 נגד קשישים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סחיטה באיומים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 על הכרעת דינו וגזר דינו של בית המשפט המחוזי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בגדרם הרשיע את המערער 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 w:val="24"/>
          <w:szCs w:val="26"/>
        </w:rPr>
        <w:t>163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 סחיטה באיומים שבוצעו בין היתר כלפי קשישים בגילאים מופלגים בסכום כולל של קרוב למיליון 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ובעבירת קשירת קשר לביצוע פשע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וגזר עליו </w:t>
      </w:r>
      <w:r>
        <w:rPr>
          <w:rFonts w:cs="Times New Roman" w:ascii="Times New Roman" w:hAnsi="Times New Roman"/>
          <w:spacing w:val="0"/>
          <w:sz w:val="24"/>
          <w:szCs w:val="26"/>
        </w:rPr>
        <w:t>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וחצי שנות מאסר בפועל לצד ענישה נלווית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 השופט אלרון ובהסכמת השופטים הנדל וברון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קיבל את הערעור על הכרעת הדין בחלקו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 את הערעור על גזר הדין ופסק 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ראשית נפסק כי אין זה מסוג המקרים המצדיקים התערבות בממצאי מהימנות שקבע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בכלל 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טענות המערער באשר למהימנות אמרת החוץ של אנטונוב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נאשם נוסף בפרשה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נדונו ונדחו בפסק הדין קמא לאחר שבימ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 בחן את השתלבותה במארג הראייתי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יתירה מזאת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שב ושינה את גרסתו בהליך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באופן המטיל צל כבד באשר למהימנותו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בנסיבות אלו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להתערב בקביעה כי יש להעדיף את גרסת אנטונוב בתשאוליו במשטרה על פני גרסתו המאוחרת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כפי שבאה לביטוי בעדותו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טענת המערער כי לא התקיימה הדרישה 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חיזוק מוגבר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נדחתה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סעיף </w:t>
      </w:r>
      <w:r>
        <w:rPr>
          <w:rFonts w:cs="Times New Roman" w:ascii="Times New Roman" w:hAnsi="Times New Roman"/>
          <w:spacing w:val="0"/>
          <w:sz w:val="24"/>
          <w:szCs w:val="26"/>
        </w:rPr>
        <w:t>10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 לפקודת הראיות מורה כי בנסיבות מסוימות אמרת חוץ של עד תהא קבילה כראיה בהליך פלילי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וניתן יהיה לקבוע על יסודה ממצאים שבעובדה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 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יורשע אדם על סמך אמרה שנתקבלה לפי סעיף זה אלא אם יש בחומר הראיות דבר לחיזוקה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לכך מצטרפת דרישה נוספת 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חיזוק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ראייתי במקרים שבהם אמרת החוץ היא של שותפו של הנאשם לביצוע העבירה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מתוקף סעיף </w:t>
      </w:r>
      <w:r>
        <w:rPr>
          <w:rFonts w:cs="Times New Roman" w:ascii="Times New Roman" w:hAnsi="Times New Roman"/>
          <w:spacing w:val="0"/>
          <w:sz w:val="24"/>
          <w:szCs w:val="26"/>
        </w:rPr>
        <w:t>54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לפקודת הראיות לפיו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 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בית המשפט לא ירשיע נאשם על סמך עדותו היחידה של שותפו לעבירה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אלא אם מצא בחומר הראיות דבר לחיזוקה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דרישה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כפולה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זו לחיזוק ראייתי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משמעה כי לצורך הרשעה על סמך אמרת חוץ של שותף עבירה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נחוץ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חיזוק מוגבר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התומך בגרסה שהוצגה באמרת החוץ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דרישה זו 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חיזוק מוגבר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פחוּתה מדרישת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הסיוע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הראייתי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שכן אין צורך בראיה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מסבכת ועצמאית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המלמדת על הקשר בין הנאשם לדבר העבירה עצמו לצורך ביסוס הרשעתו על סמך אמרת החוץ של שותף עבירה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במקרה דנן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בדין נקבע שהתקיימה דרישת החיזוק הראייתי המוגבר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חומר הראיות הרב מלמד על קיומן של ראיות רבות המאמתות את גרסת אנטונוב בתשאוליו במשטרה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חלקן אף מלמדות על זיקתו לביצוע העבירות עצמן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שבהן יש כדי לקיים את דרישת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החיזוק המוגבר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להרשעת המערער על סמך אמרת החוץ של אנטונוב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לצד 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קיים קושי מסוים בקביעת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שלפיה המערער נטל חלק 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 w:val="24"/>
          <w:szCs w:val="26"/>
        </w:rPr>
        <w:t>163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מהאירועים שיוחסו לו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לנוכח ספק באשר למספר המקרים שבהם אנטונוב פעל שלא בידיעתו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ללא נימוק של ממש בעניין האופן שבו חושב מספר אירועים 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יש להפחית </w:t>
      </w:r>
      <w:r>
        <w:rPr>
          <w:rFonts w:cs="Times New Roman" w:ascii="Times New Roman" w:hAnsi="Times New Roman"/>
          <w:spacing w:val="0"/>
          <w:sz w:val="24"/>
          <w:szCs w:val="26"/>
        </w:rPr>
        <w:t>14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 מאלו שנטען כי המערער ביצע יחד עם אנטונוב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בשונה מקביעת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שזיכה את המערער 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 w:val="24"/>
          <w:szCs w:val="26"/>
        </w:rPr>
        <w:t>10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 סחיטה באיומים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על 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יש לקבוע כי המערער ביצע </w:t>
      </w:r>
      <w:r>
        <w:rPr>
          <w:rFonts w:cs="Times New Roman" w:ascii="Times New Roman" w:hAnsi="Times New Roman"/>
          <w:spacing w:val="0"/>
          <w:sz w:val="24"/>
          <w:szCs w:val="26"/>
        </w:rPr>
        <w:t>159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 סחיטה באיומים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חרף האמור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מקום להקל בעונשו של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בתגובה למעשים הנלוזים של המערער ויתר הנאשמים בפרשה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הפגיעה הקשה במתלוננים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והצורך בהגנה מיוחדת על אוכלוסיות קשישות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נחוצה ענישה חמורה ומרתיעה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זאת בפרט לנוכח הקושי המשמעותי שבחשיפת מעשי מרמה וניצול המכוונים כלפי קשישים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פעמים רבות נמנעים מלחשוף כי נפלו קורבן לתחבולה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העונשים שנגזרו על המערער אינם מחמירים כלל ועיקר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ואף מקלים עימו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בזיכוי המערער 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 w:val="24"/>
          <w:szCs w:val="26"/>
        </w:rPr>
        <w:t>4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 נוספות מתוך למעלה 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 w:val="24"/>
          <w:szCs w:val="26"/>
        </w:rPr>
        <w:t>150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העבירות שבהן הורשע כדי להביא להקלה כלשהי בעונשו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/>
          <w:spacing w:val="0"/>
          <w:sz w:val="24"/>
          <w:szCs w:val="26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BODYVERDICT"/>
        <w:ind w:end="0"/>
        <w:jc w:val="start"/>
        <w:rPr>
          <w:rFonts w:cs="Miriam"/>
          <w:sz w:val="24"/>
          <w:szCs w:val="24"/>
        </w:rPr>
      </w:pPr>
      <w:r>
        <w:rPr>
          <w:rFonts w:cs="Miriam"/>
          <w:sz w:val="24"/>
          <w:szCs w:val="24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bookmarkStart w:id="15" w:name="Start_Write"/>
      <w:bookmarkEnd w:id="15"/>
      <w:r>
        <w:rPr>
          <w:rtl w:val="true"/>
        </w:rPr>
        <w:t xml:space="preserve">לפנינו ערעור על הכרעת דינו וגזר דינו של בית המשפט המחוזי בבאר שבע </w:t>
      </w:r>
      <w:r>
        <w:rPr>
          <w:rtl w:val="true"/>
        </w:rPr>
        <w:t>(</w:t>
      </w:r>
      <w:r>
        <w:rPr>
          <w:rtl w:val="true"/>
        </w:rPr>
        <w:t xml:space="preserve">השופט </w:t>
      </w:r>
      <w:r>
        <w:rPr>
          <w:rStyle w:val="Emphasis"/>
          <w:rtl w:val="true"/>
        </w:rPr>
        <w:t>א</w:t>
      </w:r>
      <w:r>
        <w:rPr>
          <w:rStyle w:val="Emphasis"/>
          <w:rtl w:val="true"/>
        </w:rPr>
        <w:t xml:space="preserve">' </w:t>
      </w:r>
      <w:r>
        <w:rPr>
          <w:rStyle w:val="Emphasis"/>
          <w:rtl w:val="true"/>
        </w:rPr>
        <w:t>משניות</w:t>
      </w:r>
      <w:r>
        <w:rPr>
          <w:rtl w:val="true"/>
        </w:rPr>
        <w:t xml:space="preserve">) </w:t>
      </w:r>
      <w:r>
        <w:rPr>
          <w:rtl w:val="true"/>
        </w:rPr>
        <w:t>ב</w:t>
      </w:r>
      <w:hyperlink r:id="rId1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57320-02-16</w:t>
        </w:r>
      </w:hyperlink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מיום </w:t>
      </w:r>
      <w:r>
        <w:rPr/>
        <w:t>9.12.2018</w:t>
      </w:r>
      <w:r>
        <w:rPr>
          <w:rtl w:val="true"/>
        </w:rPr>
        <w:t xml:space="preserve">, </w:t>
      </w:r>
      <w:r>
        <w:rPr>
          <w:rtl w:val="true"/>
        </w:rPr>
        <w:t xml:space="preserve">ומיום </w:t>
      </w:r>
      <w:r>
        <w:rPr/>
        <w:t>24.1.2019</w:t>
      </w:r>
      <w:r>
        <w:rPr>
          <w:rtl w:val="true"/>
        </w:rPr>
        <w:t xml:space="preserve">, </w:t>
      </w:r>
      <w:r>
        <w:rPr>
          <w:rtl w:val="true"/>
        </w:rPr>
        <w:t>בהתאמה</w:t>
      </w:r>
      <w:r>
        <w:rPr>
          <w:rtl w:val="true"/>
        </w:rPr>
        <w:t xml:space="preserve">, </w:t>
      </w:r>
      <w:r>
        <w:rPr>
          <w:rtl w:val="true"/>
        </w:rPr>
        <w:t xml:space="preserve">בגדרם הרשיע את </w:t>
      </w:r>
      <w:r>
        <w:rPr>
          <w:rtl w:val="true"/>
        </w:rPr>
        <w:t xml:space="preserve">המערער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163</w:t>
      </w:r>
      <w:r>
        <w:rPr>
          <w:rtl w:val="true"/>
        </w:rPr>
        <w:t xml:space="preserve"> </w:t>
      </w:r>
      <w:r>
        <w:rPr>
          <w:rtl w:val="true"/>
        </w:rPr>
        <w:t>עבירות סחיטה באיומים</w:t>
      </w:r>
      <w:r>
        <w:rPr>
          <w:rtl w:val="true"/>
        </w:rPr>
        <w:t xml:space="preserve"> שבוצעו בין היתר כלפי קשישים בגילאים מופלגים בסכום כולל של קרוב למיליון 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ובעבירת קשירת קשר לביצוע פשע</w:t>
      </w:r>
      <w:r>
        <w:rPr>
          <w:rFonts w:cs="FrankRuehl" w:ascii="FrankRuehl" w:hAnsi="FrankRuehl"/>
          <w:rtl w:val="true"/>
        </w:rPr>
        <w:t xml:space="preserve">; </w:t>
      </w:r>
      <w:r>
        <w:rPr>
          <w:rFonts w:ascii="FrankRuehl" w:hAnsi="FrankRuehl" w:cs="FrankRuehl"/>
          <w:rtl w:val="true"/>
        </w:rPr>
        <w:t xml:space="preserve">וגזר עליו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וחצי שנות מאסר בפועל</w:t>
      </w:r>
      <w:r>
        <w:rPr>
          <w:rtl w:val="true"/>
        </w:rPr>
        <w:t xml:space="preserve"> לצד ענישה נלווית</w:t>
      </w:r>
      <w:r>
        <w:rPr>
          <w:rtl w:val="true"/>
        </w:rPr>
        <w:t>.</w:t>
      </w:r>
    </w:p>
    <w:p>
      <w:pPr>
        <w:pStyle w:val="Heading1"/>
        <w:ind w:end="0"/>
        <w:jc w:val="start"/>
        <w:rPr/>
      </w:pPr>
      <w:r>
        <w:rPr>
          <w:rtl w:val="true"/>
        </w:rPr>
        <w:t>עיקרי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האישום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על פי הנטען בכתב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המערער ונאשמים נוספים קשרו קשר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גורמים נוספים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>מקום מושבם בליטא</w:t>
      </w:r>
      <w:r>
        <w:rPr>
          <w:rtl w:val="true"/>
        </w:rPr>
        <w:t xml:space="preserve">, </w:t>
      </w:r>
      <w:r>
        <w:rPr>
          <w:rtl w:val="true"/>
        </w:rPr>
        <w:t xml:space="preserve">במטרה לסחוט באיומים את כספם של </w:t>
      </w:r>
      <w:r>
        <w:rPr>
          <w:rtl w:val="true"/>
        </w:rPr>
        <w:t xml:space="preserve">קשישים ומתלוננים אחרים </w:t>
      </w:r>
      <w:r>
        <w:rPr>
          <w:rFonts w:ascii="FrankRuehl" w:hAnsi="FrankRuehl" w:cs="FrankRuehl"/>
          <w:rtl w:val="true"/>
        </w:rPr>
        <w:t>–</w:t>
      </w:r>
      <w:r>
        <w:rPr>
          <w:rtl w:val="true"/>
        </w:rPr>
        <w:t xml:space="preserve"> כולם </w:t>
      </w:r>
      <w:r>
        <w:rPr>
          <w:rtl w:val="true"/>
        </w:rPr>
        <w:t>דוברי רוסית המתגוררים בישראל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ascii="Century" w:hAnsi="Century" w:cs="Century"/>
          <w:rtl w:val="true"/>
        </w:rPr>
        <w:t>במסגרת זו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נטען כי </w:t>
      </w:r>
      <w:r>
        <w:rPr>
          <w:rFonts w:ascii="Century" w:hAnsi="Century" w:cs="Century"/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יוני</w:t>
      </w:r>
      <w:r>
        <w:rPr>
          <w:rFonts w:eastAsia="Arial TUR;Arial" w:cs="Arial TUR;Arial"/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ינואר</w:t>
      </w:r>
      <w:r>
        <w:rPr>
          <w:rFonts w:eastAsia="Arial TUR;Arial" w:cs="Arial TUR;Arial"/>
          <w:rtl w:val="true"/>
        </w:rPr>
        <w:t xml:space="preserve"> </w:t>
      </w:r>
      <w:r>
        <w:rPr/>
        <w:t>2016</w:t>
      </w:r>
      <w:r>
        <w:rPr>
          <w:rtl w:val="true"/>
        </w:rPr>
        <w:t xml:space="preserve">, </w:t>
      </w:r>
      <w:r>
        <w:rPr>
          <w:rtl w:val="true"/>
        </w:rPr>
        <w:t>הגורמים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שפעלו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מליטא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התקשרו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טלפונית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180</w:t>
      </w:r>
      <w:r>
        <w:rPr>
          <w:rtl w:val="true"/>
        </w:rPr>
        <w:t xml:space="preserve"> </w:t>
      </w:r>
      <w:r>
        <w:rPr>
          <w:rtl w:val="true"/>
        </w:rPr>
        <w:t>מתלוננים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FrankRuehl" w:hAnsi="FrankRuehl"/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90</w:t>
      </w:r>
      <w:r>
        <w:rPr>
          <w:rtl w:val="true"/>
        </w:rPr>
        <w:t xml:space="preserve"> </w:t>
      </w:r>
      <w:r>
        <w:rPr>
          <w:rFonts w:cs="FrankRuehl" w:ascii="FrankRuehl" w:hAnsi="FrankRuehl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ודרשו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ישלמו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סכומי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נכבדים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שהפצירו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לנתק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למשטרה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הזדהו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הגורמים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מליטא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עורכי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ורופאים</w:t>
      </w:r>
      <w:r>
        <w:rPr>
          <w:rtl w:val="true"/>
        </w:rPr>
        <w:t xml:space="preserve">, </w:t>
      </w:r>
      <w:r>
        <w:rPr>
          <w:rtl w:val="true"/>
        </w:rPr>
        <w:t>והציגו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מצגי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התקשרו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לפציעתו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בתאונת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דרכים</w:t>
      </w:r>
      <w:r>
        <w:rPr>
          <w:rFonts w:cs="FrankRuehl" w:ascii="FrankRuehl" w:hAnsi="FrankRuehl"/>
          <w:rtl w:val="true"/>
        </w:rPr>
        <w:t xml:space="preserve">; </w:t>
      </w:r>
      <w:r>
        <w:rPr>
          <w:rFonts w:ascii="FrankRuehl" w:hAnsi="FrankRuehl"/>
          <w:rtl w:val="true"/>
        </w:rPr>
        <w:t>ו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המבוקש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ישולם</w:t>
      </w:r>
      <w:r>
        <w:rPr>
          <w:rtl w:val="true"/>
        </w:rPr>
        <w:t xml:space="preserve">, </w:t>
      </w:r>
      <w:r>
        <w:rPr>
          <w:rtl w:val="true"/>
        </w:rPr>
        <w:t>תוגש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תלונה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קרובי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יישאו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ממושכים</w:t>
      </w:r>
      <w:r>
        <w:rPr>
          <w:rtl w:val="true"/>
        </w:rPr>
        <w:t xml:space="preserve">, </w:t>
      </w:r>
      <w:r>
        <w:rPr>
          <w:rtl w:val="true"/>
        </w:rPr>
        <w:t>ויוגשו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תביעות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אזרחיות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בסכומים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גבוהים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והנאשמים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במקביל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טלפוני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ועודכנו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ערכו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שותפיהם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שפעלו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ליטא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. </w:t>
      </w:r>
      <w:r>
        <w:rPr>
          <w:rtl w:val="true"/>
        </w:rPr>
        <w:t>לרוב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שהה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, </w:t>
      </w:r>
      <w:r>
        <w:rPr>
          <w:rtl w:val="true"/>
        </w:rPr>
        <w:t>ששמו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אנטונוב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באזור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המגורים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התקשרו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הגורמים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מליטא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והתחזה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שנפגע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מטעמו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שהתבקשו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הטלפון</w:t>
      </w:r>
      <w:r>
        <w:rPr>
          <w:rtl w:val="true"/>
        </w:rPr>
        <w:t xml:space="preserve">. </w:t>
      </w:r>
      <w:r>
        <w:rPr>
          <w:rtl w:val="true"/>
        </w:rPr>
        <w:t>בחלק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מהמקרים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שהה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באזור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180</w:t>
      </w:r>
      <w:r>
        <w:rPr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, </w:t>
      </w:r>
      <w:r>
        <w:rPr/>
        <w:t>85</w:t>
      </w:r>
      <w:r>
        <w:rPr>
          <w:rtl w:val="true"/>
        </w:rPr>
        <w:t xml:space="preserve"> </w:t>
      </w:r>
      <w:r>
        <w:rPr>
          <w:rtl w:val="true"/>
        </w:rPr>
        <w:t>שילמו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854,000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/>
        <w:t>61,095</w:t>
      </w:r>
      <w:r>
        <w:rPr>
          <w:rtl w:val="true"/>
        </w:rPr>
        <w:t xml:space="preserve"> </w:t>
      </w:r>
      <w:r>
        <w:rPr>
          <w:rtl w:val="true"/>
        </w:rPr>
        <w:t>דולר</w:t>
      </w:r>
      <w:r>
        <w:rPr>
          <w:rtl w:val="true"/>
        </w:rPr>
        <w:t xml:space="preserve">, </w:t>
      </w:r>
      <w:r>
        <w:rPr/>
        <w:t>13,980</w:t>
      </w:r>
      <w:r>
        <w:rPr>
          <w:rtl w:val="true"/>
        </w:rPr>
        <w:t xml:space="preserve"> </w:t>
      </w:r>
      <w:r>
        <w:rPr>
          <w:rtl w:val="true"/>
        </w:rPr>
        <w:t>יורו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500</w:t>
      </w:r>
      <w:r>
        <w:rPr>
          <w:rtl w:val="true"/>
        </w:rPr>
        <w:t xml:space="preserve"> </w:t>
      </w:r>
      <w:r>
        <w:rPr>
          <w:rtl w:val="true"/>
        </w:rPr>
        <w:t>ליש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סכום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ושותפיהם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בליטא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האמורה</w:t>
      </w:r>
      <w:r>
        <w:rPr>
          <w:rtl w:val="true"/>
        </w:rPr>
        <w:t xml:space="preserve">, </w:t>
      </w:r>
      <w:r>
        <w:rPr>
          <w:rtl w:val="true"/>
        </w:rPr>
        <w:t>פעל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ואח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מיליאבסקי</w:t>
      </w:r>
      <w:r>
        <w:rPr>
          <w:rtl w:val="true"/>
        </w:rPr>
        <w:t xml:space="preserve">) </w:t>
      </w:r>
      <w:r>
        <w:rPr>
          <w:rtl w:val="true"/>
        </w:rPr>
        <w:t>לגיוס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שותפים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לקידום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ולמימושו</w:t>
      </w:r>
      <w:r>
        <w:rPr>
          <w:rtl w:val="true"/>
        </w:rPr>
        <w:t>.</w:t>
      </w:r>
    </w:p>
    <w:p>
      <w:pPr>
        <w:pStyle w:val="Heading1"/>
        <w:ind w:end="0"/>
        <w:jc w:val="start"/>
        <w:rPr/>
      </w:pPr>
      <w:r>
        <w:rPr>
          <w:rtl w:val="true"/>
        </w:rPr>
        <w:t>ההליך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המחוזי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כעולה מהכרעת דינו של בית המשפט המחוזי</w:t>
      </w:r>
      <w:r>
        <w:rPr>
          <w:rtl w:val="true"/>
        </w:rPr>
        <w:t xml:space="preserve">, </w:t>
      </w:r>
      <w:r>
        <w:rPr>
          <w:rtl w:val="true"/>
        </w:rPr>
        <w:t>אנטונוב ו</w:t>
      </w:r>
      <w:r>
        <w:rPr>
          <w:rtl w:val="true"/>
        </w:rPr>
        <w:t xml:space="preserve">נאשם נוסף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סימחוב</w:t>
      </w:r>
      <w:r>
        <w:rPr>
          <w:rtl w:val="true"/>
        </w:rPr>
        <w:t xml:space="preserve">) </w:t>
      </w:r>
      <w:r>
        <w:rPr>
          <w:rtl w:val="true"/>
        </w:rPr>
        <w:t>הורשעו על פי הודאתם בהסדר טיעון</w:t>
      </w:r>
      <w:r>
        <w:rPr>
          <w:rtl w:val="true"/>
        </w:rPr>
        <w:t xml:space="preserve"> בטרם הסתיים ההליך בעניינו של המערער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  <w:t>אנטונוב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85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סחיטה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שילמו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סכומי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לדרישה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, </w:t>
      </w:r>
      <w:r>
        <w:rPr>
          <w:rtl w:val="true"/>
        </w:rPr>
        <w:t>וב</w:t>
      </w:r>
      <w:r>
        <w:rPr>
          <w:rtl w:val="true"/>
        </w:rPr>
        <w:t>-</w:t>
      </w:r>
      <w:r>
        <w:rPr/>
        <w:t>88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סחיטה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שבמסגרתן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סרבו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ונגזרו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/>
        <w:t>6.5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 xml:space="preserve">. </w:t>
      </w:r>
      <w:r>
        <w:rPr>
          <w:rtl w:val="true"/>
        </w:rPr>
        <w:t>סימחוב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בארבע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מתוכן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שילמו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לדרישה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, </w:t>
      </w:r>
      <w:r>
        <w:rPr>
          <w:rtl w:val="true"/>
        </w:rPr>
        <w:t>ונגזרו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צורף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אנטונוב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לרשימת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שהתנהל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והעיד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עדותו</w:t>
      </w:r>
      <w:r>
        <w:rPr>
          <w:rtl w:val="true"/>
        </w:rPr>
        <w:t xml:space="preserve">, </w:t>
      </w:r>
      <w:r>
        <w:rPr>
          <w:rtl w:val="true"/>
        </w:rPr>
        <w:t>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שהציג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תשאוליו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ההתארגנות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שנועדה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לסחוט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ולגבות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לפעול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לקידום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ההתארגנות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המפלילה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בתשאוליו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לחלופת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הוכרז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אנטונוב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עוין</w:t>
      </w:r>
      <w:r>
        <w:rPr>
          <w:rtl w:val="true"/>
        </w:rPr>
        <w:t xml:space="preserve">, </w:t>
      </w:r>
      <w:r>
        <w:rPr>
          <w:rtl w:val="true"/>
        </w:rPr>
        <w:t>והתביעה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תשאוליו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כראיה</w:t>
      </w:r>
      <w:r>
        <w:rPr>
          <w:rtl w:val="true"/>
        </w:rPr>
        <w:t>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בהכרעת דינו</w:t>
      </w:r>
      <w:r>
        <w:rPr>
          <w:rtl w:val="true"/>
        </w:rPr>
        <w:t xml:space="preserve">, </w:t>
      </w:r>
      <w:r>
        <w:rPr>
          <w:rtl w:val="true"/>
        </w:rPr>
        <w:t xml:space="preserve">קיבל בית המשפט המחוזי את אמרת החוץ שמסר אנטונוב בתשאוליו במשטרה כראיה לפי </w:t>
      </w:r>
      <w:hyperlink r:id="rId1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10</w:t>
        </w:r>
        <w:r>
          <w:rPr>
            <w:rStyle w:val="Hyperlink"/>
            <w:rtl w:val="true"/>
          </w:rPr>
          <w:t>א</w:t>
        </w:r>
      </w:hyperlink>
      <w:r>
        <w:rPr>
          <w:rtl w:val="true"/>
        </w:rPr>
        <w:t xml:space="preserve"> ל</w:t>
      </w:r>
      <w:hyperlink r:id="rId15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 חדש</w:t>
      </w:r>
      <w:r>
        <w:rPr>
          <w:rtl w:val="true"/>
        </w:rPr>
        <w:t xml:space="preserve">],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ascii="FrankRuehl" w:hAnsi="FrankRuehl" w:cs="FrankRuehl"/>
          <w:rtl w:val="true"/>
        </w:rPr>
        <w:t>–</w:t>
      </w:r>
      <w:r>
        <w:rPr/>
        <w:t>1971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Style w:val="Emphasis"/>
          <w:rtl w:val="true"/>
        </w:rPr>
        <w:t>פקודת הראיות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אנטונוב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בתשאוליו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שהציג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הכבושה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משנתיים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חקירתו</w:t>
      </w:r>
      <w:r>
        <w:rPr>
          <w:rtl w:val="true"/>
        </w:rPr>
        <w:t xml:space="preserve">, </w:t>
      </w:r>
      <w:r>
        <w:rPr>
          <w:rtl w:val="true"/>
        </w:rPr>
        <w:t>שלפיה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היכרותו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אנטונוב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ומיליאבסקי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עסקיו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בניין</w:t>
      </w:r>
      <w:r>
        <w:rPr>
          <w:rFonts w:cs="FrankRuehl" w:ascii="FrankRuehl" w:hAnsi="FrankRuehl"/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ושעל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לאנטונוב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למכריו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בליטא</w:t>
      </w:r>
      <w:r>
        <w:rPr>
          <w:rtl w:val="true"/>
        </w:rPr>
        <w:t xml:space="preserve">, </w:t>
      </w:r>
      <w:r>
        <w:rPr>
          <w:rtl w:val="true"/>
        </w:rPr>
        <w:t>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למקורם</w:t>
      </w:r>
      <w:r>
        <w:rPr>
          <w:rtl w:val="true"/>
        </w:rPr>
        <w:t>.</w:t>
      </w:r>
    </w:p>
    <w:p>
      <w:pPr>
        <w:pStyle w:val="Ruller41"/>
        <w:keepNext w:val="true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עוד נקבע</w:t>
      </w:r>
      <w:r>
        <w:rPr>
          <w:rtl w:val="true"/>
        </w:rPr>
        <w:t xml:space="preserve">, </w:t>
      </w:r>
      <w:r>
        <w:rPr>
          <w:rtl w:val="true"/>
        </w:rPr>
        <w:t xml:space="preserve">כי מתקיימת דרישת </w:t>
      </w:r>
      <w:r>
        <w:rPr>
          <w:rtl w:val="true"/>
        </w:rPr>
        <w:t>"</w:t>
      </w:r>
      <w:r>
        <w:rPr>
          <w:rtl w:val="true"/>
        </w:rPr>
        <w:t>החיזוק הראייתי המוגבר</w:t>
      </w:r>
      <w:r>
        <w:rPr>
          <w:rtl w:val="true"/>
        </w:rPr>
        <w:t xml:space="preserve">" </w:t>
      </w:r>
      <w:r>
        <w:rPr>
          <w:rtl w:val="true"/>
        </w:rPr>
        <w:t>הנחוצה לשם הרשעת המערער על בסיס אמרת החוץ של אנטונוב</w:t>
      </w:r>
      <w:r>
        <w:rPr>
          <w:rtl w:val="true"/>
        </w:rPr>
        <w:t xml:space="preserve">, </w:t>
      </w:r>
      <w:r>
        <w:rPr>
          <w:rtl w:val="true"/>
        </w:rPr>
        <w:t>תוך שהפנה ל</w:t>
      </w:r>
      <w:r>
        <w:rPr>
          <w:rtl w:val="true"/>
        </w:rPr>
        <w:t>"</w:t>
      </w:r>
      <w:r>
        <w:rPr>
          <w:rtl w:val="true"/>
        </w:rPr>
        <w:t>ראיות הנסיבתיות הרבות</w:t>
      </w:r>
      <w:r>
        <w:rPr>
          <w:rtl w:val="true"/>
        </w:rPr>
        <w:t xml:space="preserve">" </w:t>
      </w:r>
      <w:r>
        <w:rPr>
          <w:rtl w:val="true"/>
        </w:rPr>
        <w:t>התומכות בגרסה שהוצגה בה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Style w:val="Emphasis"/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המשמעותית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לליטא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מתיישבת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אנטונוב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נאלץ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להסתייע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שקדמה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; </w:t>
      </w:r>
      <w:r>
        <w:rPr>
          <w:rtl w:val="true"/>
        </w:rPr>
        <w:t>ולאור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האזנות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שנערכו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לאנטונוב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עסקו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בהעברות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הכספים</w:t>
      </w:r>
      <w:r>
        <w:rPr>
          <w:rtl w:val="true"/>
        </w:rPr>
        <w:t xml:space="preserve">,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אנטונוב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למגעיו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הגורמים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בליטא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שאליהם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הכספים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Style w:val="Emphasis"/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הפנה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לתיעוד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התאריכים</w:t>
      </w:r>
      <w:r>
        <w:rPr>
          <w:rFonts w:eastAsia="Arial TUR;Arial" w:cs="Arial TUR;Arial"/>
          <w:rtl w:val="true"/>
        </w:rPr>
        <w:t xml:space="preserve"> </w:t>
      </w:r>
      <w:r>
        <w:rPr/>
        <w:t>28.9.2015</w:t>
      </w:r>
      <w:r>
        <w:rPr>
          <w:rFonts w:cs="FrankRuehl" w:ascii="FrankRuehl" w:hAnsi="FrankRuehl"/>
          <w:rtl w:val="true"/>
        </w:rPr>
        <w:t>–</w:t>
      </w:r>
      <w:r>
        <w:rPr/>
        <w:t>1.6.2016</w:t>
      </w:r>
      <w:r>
        <w:rPr>
          <w:rtl w:val="true"/>
        </w:rPr>
        <w:t xml:space="preserve">, </w:t>
      </w:r>
      <w:r>
        <w:rPr>
          <w:rtl w:val="true"/>
        </w:rPr>
        <w:t>התקיימו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שיחות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טלפון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הגורמים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בליטא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הסחיטה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אנטונוב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נערכו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אנטונוב</w:t>
      </w:r>
      <w:r>
        <w:rPr>
          <w:rtl w:val="true"/>
        </w:rPr>
        <w:t xml:space="preserve">. </w:t>
      </w:r>
      <w:r>
        <w:rPr>
          <w:rtl w:val="true"/>
        </w:rPr>
        <w:t>בכלל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התקשרויותיו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המרובות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בליטא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מתיישבות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בודדות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התקיימו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הסחיטה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אנטונוב</w:t>
      </w:r>
      <w:r>
        <w:rPr>
          <w:rtl w:val="true"/>
        </w:rPr>
        <w:t xml:space="preserve">, </w:t>
      </w:r>
      <w:r>
        <w:rPr>
          <w:rtl w:val="true"/>
        </w:rPr>
        <w:t>ולעיתים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מכשיר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מתיישב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היטב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נערכו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הסחיטה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במקביל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Style w:val="Emphasis"/>
          <w:rtl w:val="true"/>
        </w:rPr>
        <w:t>שלישית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מכשיר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בסמיכות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הסחיטה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לשהותו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באזור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Style w:val="Emphasis"/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הדגיש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משיחות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שהתקיימו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אנטונוב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בסמיכות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הסחיטה</w:t>
      </w:r>
      <w:r>
        <w:rPr>
          <w:rtl w:val="true"/>
        </w:rPr>
        <w:t xml:space="preserve">, </w:t>
      </w:r>
      <w:r>
        <w:rPr>
          <w:rtl w:val="true"/>
        </w:rPr>
        <w:t>עשויות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18.12.2015</w:t>
      </w:r>
      <w:r>
        <w:rPr>
          <w:rtl w:val="true"/>
        </w:rPr>
        <w:t xml:space="preserve"> </w:t>
      </w:r>
      <w:r>
        <w:rPr>
          <w:rtl w:val="true"/>
        </w:rPr>
        <w:t>התקשר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לאנטונוב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אתמול</w:t>
      </w:r>
      <w:r>
        <w:rPr>
          <w:rtl w:val="true"/>
        </w:rPr>
        <w:t xml:space="preserve">", </w:t>
      </w:r>
      <w:r>
        <w:rPr>
          <w:rtl w:val="true"/>
        </w:rPr>
        <w:t>ונענה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בשקלים</w:t>
      </w:r>
      <w:r>
        <w:rPr>
          <w:rtl w:val="true"/>
        </w:rPr>
        <w:t xml:space="preserve">"; </w:t>
      </w:r>
      <w:r>
        <w:rPr>
          <w:rtl w:val="true"/>
        </w:rPr>
        <w:t>ויום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סחט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אנטונוב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קשישות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13,000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המבסס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שוחחו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הסחיטה</w:t>
      </w:r>
      <w:r>
        <w:rPr>
          <w:rtl w:val="true"/>
        </w:rPr>
        <w:t>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על רקע זה</w:t>
      </w:r>
      <w:r>
        <w:rPr>
          <w:rtl w:val="true"/>
        </w:rPr>
        <w:t xml:space="preserve">, </w:t>
      </w:r>
      <w:r>
        <w:rPr>
          <w:rtl w:val="true"/>
        </w:rPr>
        <w:t>נקבע כי הוכח מעבר לספק סביר כי המערער נטל חלק בהתארגנות לסחיטת המתלוננים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אנטונוב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במישרין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השותפים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בליטא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והנאשמים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ובשים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להתרשמות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אנטונוב</w:t>
      </w:r>
      <w:r>
        <w:rPr>
          <w:rtl w:val="true"/>
        </w:rPr>
        <w:t xml:space="preserve">, </w:t>
      </w:r>
      <w:r>
        <w:rPr>
          <w:rtl w:val="true"/>
        </w:rPr>
        <w:t>כעולה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אנטונוב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בודדים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להניח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מהאירועים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אנטונוב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מאותם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מקרים</w:t>
      </w:r>
      <w:r>
        <w:rPr>
          <w:rtl w:val="true"/>
        </w:rPr>
        <w:t xml:space="preserve">, </w:t>
      </w:r>
      <w:r>
        <w:rPr>
          <w:rtl w:val="true"/>
        </w:rPr>
        <w:t>המתלוננים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שילמו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סכומי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שנדרשו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>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בסיכומו של דבר</w:t>
      </w:r>
      <w:r>
        <w:rPr>
          <w:rtl w:val="true"/>
        </w:rPr>
        <w:t xml:space="preserve">, </w:t>
      </w:r>
      <w:r>
        <w:rPr>
          <w:rtl w:val="true"/>
        </w:rPr>
        <w:t xml:space="preserve">קבע בית המשפט המחוזי כי יש במעשים שיוחסו למערער כדי לקיים את יסודות עבירת הסחיטה באיומים לפי </w:t>
      </w:r>
      <w:hyperlink r:id="rId1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428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והרשיעוֹ בעבירת קשירת קשר לפשע לפי </w:t>
      </w:r>
      <w:hyperlink r:id="rId1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499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ascii="FrankRuehl" w:hAnsi="FrankRuehl" w:cs="FrankRuehl"/>
          <w:rtl w:val="true"/>
        </w:rPr>
        <w:t>–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Style w:val="Emphasis"/>
          <w:rtl w:val="true"/>
        </w:rPr>
        <w:t>החוק</w:t>
      </w:r>
      <w:r>
        <w:rPr>
          <w:rtl w:val="true"/>
        </w:rPr>
        <w:t xml:space="preserve">), </w:t>
      </w:r>
      <w:r>
        <w:rPr/>
        <w:t>80</w:t>
      </w:r>
      <w:r>
        <w:rPr>
          <w:rtl w:val="true"/>
        </w:rPr>
        <w:t xml:space="preserve"> </w:t>
      </w:r>
      <w:r>
        <w:rPr>
          <w:rtl w:val="true"/>
        </w:rPr>
        <w:t xml:space="preserve">עבירות סחיטה באיומים לפי </w:t>
      </w:r>
      <w:hyperlink r:id="rId19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428</w:t>
        </w:r>
      </w:hyperlink>
      <w:r>
        <w:rPr>
          <w:rtl w:val="true"/>
        </w:rPr>
        <w:t xml:space="preserve"> </w:t>
      </w:r>
      <w:r>
        <w:rPr>
          <w:rtl w:val="true"/>
        </w:rPr>
        <w:t>סיפא ו</w:t>
      </w:r>
      <w:r>
        <w:rPr>
          <w:rtl w:val="true"/>
        </w:rPr>
        <w:t>-</w:t>
      </w:r>
      <w:hyperlink r:id="rId20">
        <w:r>
          <w:rPr>
            <w:rStyle w:val="Hyperlink"/>
          </w:rPr>
          <w:t>29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-</w:t>
      </w:r>
      <w:hyperlink r:id="rId21">
        <w:r>
          <w:rPr>
            <w:rStyle w:val="Hyperlink"/>
          </w:rPr>
          <w:t>83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עבירות סחיטה באיומים לפי סעיפים </w:t>
      </w:r>
      <w:hyperlink r:id="rId22">
        <w:r>
          <w:rPr>
            <w:rStyle w:val="Hyperlink"/>
          </w:rPr>
          <w:t>428</w:t>
        </w:r>
      </w:hyperlink>
      <w:r>
        <w:rPr>
          <w:rtl w:val="true"/>
        </w:rPr>
        <w:t xml:space="preserve"> </w:t>
      </w:r>
      <w:r>
        <w:rPr>
          <w:rtl w:val="true"/>
        </w:rPr>
        <w:t>רישא ו</w:t>
      </w:r>
      <w:r>
        <w:rPr>
          <w:rtl w:val="true"/>
        </w:rPr>
        <w:t>-</w:t>
      </w:r>
      <w:hyperlink r:id="rId23">
        <w:r>
          <w:rPr>
            <w:rStyle w:val="Hyperlink"/>
          </w:rPr>
          <w:t>29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זה</w:t>
      </w:r>
      <w:r>
        <w:rPr>
          <w:rtl w:val="true"/>
        </w:rPr>
        <w:t>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בגזר דינו</w:t>
      </w:r>
      <w:r>
        <w:rPr>
          <w:rtl w:val="true"/>
        </w:rPr>
        <w:t xml:space="preserve">, </w:t>
      </w:r>
      <w:r>
        <w:rPr>
          <w:rtl w:val="true"/>
        </w:rPr>
        <w:t>עמד בית המשפט המחוזי על הפגיעה הקשה שגרם המערער בערכים המוגנים של כבוד האדם</w:t>
      </w:r>
      <w:r>
        <w:rPr>
          <w:rtl w:val="true"/>
        </w:rPr>
        <w:t xml:space="preserve">, </w:t>
      </w:r>
      <w:r>
        <w:rPr>
          <w:rtl w:val="true"/>
        </w:rPr>
        <w:t>בטחונו של הפרט שלוות נפשו וזכותו לקניין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בפרט מאחר שמעשיו כוונו בין היתר כלפי קשישים</w:t>
      </w:r>
      <w:r>
        <w:rPr>
          <w:rtl w:val="true"/>
        </w:rPr>
        <w:t xml:space="preserve">, </w:t>
      </w:r>
      <w:r>
        <w:rPr>
          <w:rtl w:val="true"/>
        </w:rPr>
        <w:t>תוך ניצול רצונם לסייע לבני משפחותיהם</w:t>
      </w:r>
      <w:r>
        <w:rPr>
          <w:rtl w:val="true"/>
        </w:rPr>
        <w:t xml:space="preserve">, </w:t>
      </w:r>
      <w:r>
        <w:rPr>
          <w:rtl w:val="true"/>
        </w:rPr>
        <w:t>ובאופן שהסב להם נזק נפשי משמעותי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שסקר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והדגיש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בפרשה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חסרת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בהיקפה</w:t>
      </w:r>
      <w:r>
        <w:rPr>
          <w:rtl w:val="true"/>
        </w:rPr>
        <w:t xml:space="preserve">",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/>
        <w:t>6.5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9.5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בקביעת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היקפן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המשמעותי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הכולל</w:t>
      </w:r>
      <w:r>
        <w:rPr>
          <w:rFonts w:eastAsia="Arial TUR;Arial" w:cs="Arial TUR;Arial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ואלימות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נשקלו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הקשישים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קורבנות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עוגמת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משנתיים</w:t>
      </w:r>
      <w:r>
        <w:rPr>
          <w:rtl w:val="true"/>
        </w:rPr>
        <w:t xml:space="preserve">, </w:t>
      </w:r>
      <w:r>
        <w:rPr>
          <w:rtl w:val="true"/>
        </w:rPr>
        <w:t>בעטיים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כמעט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הקטנים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וחצי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;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4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428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פשע</w:t>
      </w:r>
      <w:r>
        <w:rPr>
          <w:rtl w:val="true"/>
        </w:rPr>
        <w:t xml:space="preserve">"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; </w:t>
      </w:r>
      <w:r>
        <w:rPr>
          <w:rtl w:val="true"/>
        </w:rPr>
        <w:t>ופיצוי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/>
        <w:t>200,000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.</w:t>
      </w:r>
    </w:p>
    <w:p>
      <w:pPr>
        <w:pStyle w:val="Heading1"/>
        <w:ind w:end="0"/>
        <w:jc w:val="start"/>
        <w:rPr/>
      </w:pPr>
      <w:r>
        <w:rPr>
          <w:rtl w:val="true"/>
        </w:rPr>
        <w:t>טענות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בערעור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בנימוקי הערעור על הכרעת דינו של בית המשפט המחוזי</w:t>
      </w:r>
      <w:r>
        <w:rPr>
          <w:rtl w:val="true"/>
        </w:rPr>
        <w:t xml:space="preserve">, </w:t>
      </w:r>
      <w:r>
        <w:rPr>
          <w:rtl w:val="true"/>
        </w:rPr>
        <w:t>טוען המערער כי לא היה מקום להרשיעו על סמך אמרת החוץ של אנטונוב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רצופה שקרים וסתירות</w:t>
      </w:r>
      <w:r>
        <w:rPr>
          <w:rtl w:val="true"/>
        </w:rPr>
        <w:t xml:space="preserve">", </w:t>
      </w:r>
      <w:r>
        <w:rPr>
          <w:rtl w:val="true"/>
        </w:rPr>
        <w:t>כלשונו</w:t>
      </w:r>
      <w:r>
        <w:rPr>
          <w:rtl w:val="true"/>
        </w:rPr>
        <w:t xml:space="preserve">. </w:t>
      </w:r>
      <w:r>
        <w:rPr>
          <w:rtl w:val="true"/>
        </w:rPr>
        <w:t>בהקשר זה</w:t>
      </w:r>
      <w:r>
        <w:rPr>
          <w:rtl w:val="true"/>
        </w:rPr>
        <w:t xml:space="preserve">, </w:t>
      </w:r>
      <w:r>
        <w:rPr>
          <w:rtl w:val="true"/>
        </w:rPr>
        <w:t>טוען המערער כי בית המשפט המחוזי לא נימק את קביעתו שלפיה יש לנקוט ב</w:t>
      </w:r>
      <w:r>
        <w:rPr>
          <w:rtl w:val="true"/>
        </w:rPr>
        <w:t>"</w:t>
      </w:r>
      <w:r>
        <w:rPr>
          <w:rtl w:val="true"/>
        </w:rPr>
        <w:t>פלגינן דיבורא</w:t>
      </w:r>
      <w:r>
        <w:rPr>
          <w:rtl w:val="true"/>
        </w:rPr>
        <w:t xml:space="preserve">" </w:t>
      </w:r>
      <w:r>
        <w:rPr>
          <w:rtl w:val="true"/>
        </w:rPr>
        <w:t>ביחס לאמרת החוץ של אנטונוב</w:t>
      </w:r>
      <w:r>
        <w:rPr>
          <w:rtl w:val="true"/>
        </w:rPr>
        <w:t xml:space="preserve">, </w:t>
      </w:r>
      <w:r>
        <w:rPr>
          <w:rtl w:val="true"/>
        </w:rPr>
        <w:t>ולאמץ רק את חלקי גרסתו המלמדים על מעורבות המערער במעשים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שעליהן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הסתמך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חיזוק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. </w:t>
      </w:r>
      <w:r>
        <w:rPr>
          <w:rtl w:val="true"/>
        </w:rPr>
        <w:t>בכלל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מכשיר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שברשות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הסחיטה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180</w:t>
      </w:r>
      <w:r>
        <w:rPr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הטלפוני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פעילותם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העסקית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בהעמדתו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בררנית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נבחנה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לעומק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מעורבותם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בפרשה</w:t>
      </w:r>
      <w:r>
        <w:rPr>
          <w:rtl w:val="true"/>
        </w:rPr>
        <w:t xml:space="preserve">, </w:t>
      </w:r>
      <w:r>
        <w:rPr>
          <w:rtl w:val="true"/>
        </w:rPr>
        <w:t>שעל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מהעברות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לליטא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נחקרו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במעורבות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הסחיטה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בריבוי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פרטים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הסחיטה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אנטונוב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בדיון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לפנינו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בתמצית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בטענותיו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לזיכויו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מצדיקות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>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במסגרת עיקרי הטיעון מטעם המשיבה</w:t>
      </w:r>
      <w:r>
        <w:rPr>
          <w:rtl w:val="true"/>
        </w:rPr>
        <w:t xml:space="preserve">, </w:t>
      </w:r>
      <w:r>
        <w:rPr>
          <w:rtl w:val="true"/>
        </w:rPr>
        <w:t>נטען כי דין הערעור להידחות על שני חלקיו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חיזוקים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אנטונוב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החוץ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שהוצג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מבסס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הסחיטה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זיכויו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מיליאבסקי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חיזוקים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מקיומו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למהימנות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אנטונוב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שהוצגה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בתשאוליו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בדין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גלגולים</w:t>
      </w:r>
      <w:r>
        <w:rPr>
          <w:rtl w:val="true"/>
        </w:rPr>
        <w:t xml:space="preserve">: </w:t>
      </w:r>
      <w:r>
        <w:rPr>
          <w:rtl w:val="true"/>
        </w:rPr>
        <w:t>בתחילה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לליטא</w:t>
      </w:r>
      <w:r>
        <w:rPr>
          <w:rtl w:val="true"/>
        </w:rPr>
        <w:t xml:space="preserve">;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אומנם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ההעברות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הכספיות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הסחיטה</w:t>
      </w:r>
      <w:r>
        <w:rPr>
          <w:rtl w:val="true"/>
        </w:rPr>
        <w:t xml:space="preserve">; </w:t>
      </w:r>
      <w:r>
        <w:rPr>
          <w:rtl w:val="true"/>
        </w:rPr>
        <w:t>ובמהלך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מהעברות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בוצעו</w:t>
      </w:r>
      <w:r>
        <w:rPr>
          <w:rFonts w:eastAsia="Arial TUR;Arial" w:cs="Arial TUR;Arial"/>
          <w:rtl w:val="true"/>
        </w:rPr>
        <w:t xml:space="preserve"> </w:t>
      </w:r>
      <w:r>
        <w:rPr>
          <w:rStyle w:val="Emphasis"/>
          <w:rtl w:val="true"/>
        </w:rPr>
        <w:t>לבקשתו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הכספים</w:t>
      </w:r>
      <w:r>
        <w:rPr>
          <w:rtl w:val="true"/>
        </w:rPr>
        <w:t xml:space="preserve">, </w:t>
      </w:r>
      <w:r>
        <w:rPr>
          <w:rtl w:val="true"/>
        </w:rPr>
        <w:t>ובשים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הטלפוני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האינטנסיבי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מהמעורבים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בליטא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חיזוקים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אנטונוב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אנטונוב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התבססה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שבתשאוליו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18.12.2015</w:t>
      </w:r>
      <w:r>
        <w:rPr>
          <w:rtl w:val="true"/>
        </w:rPr>
        <w:t xml:space="preserve">;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שבפירוט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תוארו</w:t>
      </w:r>
      <w:r>
        <w:rPr>
          <w:rFonts w:eastAsia="Arial TUR;Arial" w:cs="Arial TUR;Arial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סחיטה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מתוכן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שילמו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איומים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דווקא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שבוצעו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פריטים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; </w:t>
      </w:r>
      <w:r>
        <w:rPr>
          <w:rtl w:val="true"/>
        </w:rPr>
        <w:t>ושאף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.</w:t>
      </w:r>
    </w:p>
    <w:p>
      <w:pPr>
        <w:pStyle w:val="Heading1"/>
        <w:ind w:end="0"/>
        <w:jc w:val="start"/>
        <w:rPr/>
      </w:pPr>
      <w:r>
        <w:rPr>
          <w:rtl w:val="true"/>
        </w:rPr>
        <w:t>דיון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והכרעה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עיקר טענות המערער בערעור על הכרעת הדין מופנות כלפי ממצאי עובדה ומהימנות שקבע בית המשפט המחוזי</w:t>
      </w:r>
      <w:r>
        <w:rPr>
          <w:rtl w:val="true"/>
        </w:rPr>
        <w:t xml:space="preserve">. </w:t>
      </w:r>
      <w:r>
        <w:rPr>
          <w:rtl w:val="true"/>
        </w:rPr>
        <w:t>אולם כידוע</w:t>
      </w:r>
      <w:r>
        <w:rPr>
          <w:rtl w:val="true"/>
        </w:rPr>
        <w:t xml:space="preserve">, </w:t>
      </w:r>
      <w:r>
        <w:rPr>
          <w:rtl w:val="true"/>
        </w:rPr>
        <w:t>אין זה מדרכה של ערכאת הערעור להתערב בקביעות מעין אלו</w:t>
      </w:r>
      <w:r>
        <w:rPr>
          <w:rtl w:val="true"/>
        </w:rPr>
        <w:t xml:space="preserve">, </w:t>
      </w:r>
      <w:r>
        <w:rPr>
          <w:rtl w:val="true"/>
        </w:rPr>
        <w:t>בין היתר לנוכח יתרונה של הערכאה הדיונית המתרשמת באופן ישיר מהעדויות הנשמעות בפניה ומהשתלבותן במארג הראייתי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שעיינתי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בנימוקי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ובעיקרי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הגעתי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המצדיקים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בממצאי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 xml:space="preserve">. </w:t>
      </w:r>
      <w:r>
        <w:rPr>
          <w:rtl w:val="true"/>
        </w:rPr>
        <w:t>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מנומק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ומפורט</w:t>
      </w:r>
      <w:r>
        <w:rPr>
          <w:rtl w:val="true"/>
        </w:rPr>
        <w:t xml:space="preserve">, </w:t>
      </w:r>
      <w:r>
        <w:rPr>
          <w:rtl w:val="true"/>
        </w:rPr>
        <w:t>ומבוסס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מוצגים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שהוצגו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דיוני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הוכחות</w:t>
      </w:r>
      <w:r>
        <w:rPr>
          <w:rtl w:val="true"/>
        </w:rPr>
        <w:t xml:space="preserve">, </w:t>
      </w:r>
      <w:r>
        <w:rPr>
          <w:rtl w:val="true"/>
        </w:rPr>
        <w:t>במהלכם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נשמעו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עדים</w:t>
      </w:r>
      <w:r>
        <w:rPr>
          <w:rtl w:val="true"/>
        </w:rPr>
        <w:t xml:space="preserve">, </w:t>
      </w:r>
      <w:r>
        <w:rPr>
          <w:rtl w:val="true"/>
        </w:rPr>
        <w:t>מהם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אמצעי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  <w:t>בכלל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למהימנות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אנטונוב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ונדחו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השתלבותה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במארג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שהוצג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לפניו</w:t>
      </w:r>
      <w:r>
        <w:rPr>
          <w:rtl w:val="true"/>
        </w:rPr>
        <w:t>.</w:t>
      </w:r>
      <w:r>
        <w:rPr>
          <w:rFonts w:cs="Garamond" w:ascii="Garamond" w:hAnsi="Garamond"/>
          <w:sz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tl w:val="true"/>
        </w:rPr>
        <w:t>יתירה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מזאת</w:t>
      </w:r>
      <w:r>
        <w:rPr>
          <w:rtl w:val="true"/>
        </w:rPr>
        <w:t xml:space="preserve">, </w:t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שהדגיש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המטיל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למהימנותו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rFonts w:ascii="Garamond" w:hAnsi="Garamond" w:cs="Garamond"/>
          <w:sz w:val="28"/>
        </w:rPr>
      </w:pPr>
      <w:r>
        <w:rPr>
          <w:rFonts w:ascii="Garamond" w:hAnsi="Garamond" w:cs="Garamond"/>
          <w:sz w:val="28"/>
          <w:sz w:val="28"/>
          <w:rtl w:val="true"/>
        </w:rPr>
        <w:t>בנסיבות אלו</w:t>
      </w:r>
      <w:r>
        <w:rPr>
          <w:rFonts w:cs="Garamond" w:ascii="Garamond" w:hAnsi="Garamond"/>
          <w:sz w:val="28"/>
          <w:rtl w:val="true"/>
        </w:rPr>
        <w:t xml:space="preserve">, </w:t>
      </w:r>
      <w:r>
        <w:rPr>
          <w:rFonts w:ascii="Garamond" w:hAnsi="Garamond" w:cs="Garamond"/>
          <w:sz w:val="28"/>
          <w:sz w:val="28"/>
          <w:rtl w:val="true"/>
        </w:rPr>
        <w:t xml:space="preserve">לא מצאתי להתערב </w:t>
      </w:r>
      <w:r>
        <w:rPr>
          <w:rtl w:val="true"/>
        </w:rPr>
        <w:t>בקביעה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להעדיף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אנטונוב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בתשאוליו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המאוחרת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בעדותו</w:t>
      </w:r>
      <w:r>
        <w:rPr>
          <w:rtl w:val="true"/>
        </w:rPr>
        <w:t>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אף בטענת המערער כי לא התקיימה במקרה דנן הדרישה ל</w:t>
      </w:r>
      <w:r>
        <w:rPr>
          <w:rtl w:val="true"/>
        </w:rPr>
        <w:t>"</w:t>
      </w:r>
      <w:r>
        <w:rPr>
          <w:rtl w:val="true"/>
        </w:rPr>
        <w:t>חיזוק מוגבר</w:t>
      </w:r>
      <w:r>
        <w:rPr>
          <w:rtl w:val="true"/>
        </w:rPr>
        <w:t xml:space="preserve">", </w:t>
      </w:r>
      <w:r>
        <w:rPr>
          <w:rtl w:val="true"/>
        </w:rPr>
        <w:t>אין ממש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spacing w:val="8"/>
        </w:rPr>
      </w:pPr>
      <w:hyperlink r:id="rId26">
        <w:r>
          <w:rPr>
            <w:rStyle w:val="Hyperlink"/>
            <w:spacing w:val="8"/>
            <w:rtl w:val="true"/>
          </w:rPr>
          <w:t>סעיף</w:t>
        </w:r>
        <w:r>
          <w:rPr>
            <w:rStyle w:val="Hyperlink"/>
            <w:rFonts w:eastAsia="Arial TUR;Arial" w:cs="Arial TUR;Arial"/>
            <w:spacing w:val="8"/>
            <w:rtl w:val="true"/>
          </w:rPr>
          <w:t xml:space="preserve"> </w:t>
        </w:r>
        <w:r>
          <w:rPr>
            <w:rStyle w:val="Hyperlink"/>
            <w:spacing w:val="8"/>
          </w:rPr>
          <w:t>10</w:t>
        </w:r>
        <w:r>
          <w:rPr>
            <w:rStyle w:val="Hyperlink"/>
            <w:spacing w:val="8"/>
            <w:rtl w:val="true"/>
          </w:rPr>
          <w:t>א</w:t>
        </w:r>
      </w:hyperlink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ל</w:t>
      </w:r>
      <w:hyperlink r:id="rId27">
        <w:r>
          <w:rPr>
            <w:rStyle w:val="Hyperlink"/>
            <w:color w:val="0000FF"/>
            <w:spacing w:val="8"/>
            <w:u w:val="single"/>
            <w:rtl w:val="true"/>
          </w:rPr>
          <w:t>פקודת</w:t>
        </w:r>
        <w:r>
          <w:rPr>
            <w:rStyle w:val="Hyperlink"/>
            <w:rFonts w:eastAsia="Arial TUR;Arial" w:cs="Arial TUR;Arial"/>
            <w:color w:val="0000FF"/>
            <w:spacing w:val="8"/>
            <w:u w:val="single"/>
            <w:rtl w:val="true"/>
          </w:rPr>
          <w:t xml:space="preserve"> </w:t>
        </w:r>
        <w:r>
          <w:rPr>
            <w:rStyle w:val="Hyperlink"/>
            <w:color w:val="0000FF"/>
            <w:spacing w:val="8"/>
            <w:u w:val="single"/>
            <w:rtl w:val="true"/>
          </w:rPr>
          <w:t>הראיות</w:t>
        </w:r>
      </w:hyperlink>
      <w:r>
        <w:rPr>
          <w:spacing w:val="8"/>
          <w:rtl w:val="true"/>
        </w:rPr>
        <w:t xml:space="preserve">, </w:t>
      </w:r>
      <w:r>
        <w:rPr>
          <w:spacing w:val="8"/>
          <w:rtl w:val="true"/>
        </w:rPr>
        <w:t>מורה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כי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בנסיבות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מסוימות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אמרת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חוץ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של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עד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תהא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קבילה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כראיה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בהליך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פלילי</w:t>
      </w:r>
      <w:r>
        <w:rPr>
          <w:spacing w:val="8"/>
          <w:rtl w:val="true"/>
        </w:rPr>
        <w:t xml:space="preserve">, </w:t>
      </w:r>
      <w:r>
        <w:rPr>
          <w:spacing w:val="8"/>
          <w:rtl w:val="true"/>
        </w:rPr>
        <w:t>וניתן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יהיה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לקבוע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על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יסודה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ממצאים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שבעובדה</w:t>
      </w:r>
      <w:r>
        <w:rPr>
          <w:spacing w:val="8"/>
          <w:rtl w:val="true"/>
        </w:rPr>
        <w:t xml:space="preserve">,  </w:t>
      </w:r>
      <w:r>
        <w:rPr>
          <w:spacing w:val="8"/>
          <w:rtl w:val="true"/>
        </w:rPr>
        <w:t>אולם</w:t>
      </w:r>
      <w:r>
        <w:rPr>
          <w:spacing w:val="8"/>
          <w:rtl w:val="true"/>
        </w:rPr>
        <w:t>:</w:t>
      </w:r>
    </w:p>
    <w:p>
      <w:pPr>
        <w:pStyle w:val="Quote"/>
        <w:ind w:end="1276"/>
        <w:jc w:val="both"/>
        <w:rPr/>
      </w:pPr>
      <w:r>
        <w:rPr>
          <w:rtl w:val="true"/>
        </w:rPr>
        <w:t>"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שנתקבלה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לחיזוקה</w:t>
      </w:r>
      <w:r>
        <w:rPr>
          <w:rtl w:val="true"/>
        </w:rPr>
        <w:t>"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b/>
        </w:rPr>
      </w:pP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מצטרפת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חיזוק</w:t>
      </w:r>
      <w:r>
        <w:rPr>
          <w:rtl w:val="true"/>
        </w:rPr>
        <w:t xml:space="preserve">" </w:t>
      </w:r>
      <w:r>
        <w:rPr>
          <w:rtl w:val="true"/>
        </w:rPr>
        <w:t>ראייתי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שותפו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מתוקף</w:t>
      </w:r>
      <w:r>
        <w:rPr>
          <w:rFonts w:eastAsia="Arial TUR;Arial" w:cs="Arial TUR;Arial"/>
          <w:rtl w:val="true"/>
        </w:rPr>
        <w:t xml:space="preserve"> </w:t>
      </w:r>
      <w:hyperlink r:id="rId28">
        <w:r>
          <w:rPr>
            <w:rStyle w:val="Hyperlink"/>
            <w:b/>
            <w:b/>
            <w:rtl w:val="true"/>
          </w:rPr>
          <w:t>סעיף</w:t>
        </w:r>
        <w:r>
          <w:rPr>
            <w:rStyle w:val="Hyperlink"/>
            <w:rFonts w:eastAsia="Arial TUR;Arial" w:cs="Arial TUR;Arial"/>
            <w:b/>
            <w:b/>
            <w:rtl w:val="true"/>
          </w:rPr>
          <w:t xml:space="preserve"> </w:t>
        </w:r>
        <w:r>
          <w:rPr>
            <w:rStyle w:val="Hyperlink"/>
            <w:b/>
          </w:rPr>
          <w:t>54</w:t>
        </w:r>
        <w:r>
          <w:rPr>
            <w:rStyle w:val="Hyperlink"/>
            <w:b/>
            <w:b/>
            <w:rtl w:val="true"/>
          </w:rPr>
          <w:t>א</w:t>
        </w:r>
        <w:r>
          <w:rPr>
            <w:rStyle w:val="Hyperlink"/>
            <w:b/>
            <w:rtl w:val="true"/>
          </w:rPr>
          <w:t>(</w:t>
        </w:r>
        <w:r>
          <w:rPr>
            <w:rStyle w:val="Hyperlink"/>
            <w:b/>
            <w:b/>
            <w:rtl w:val="true"/>
          </w:rPr>
          <w:t>א</w:t>
        </w:r>
        <w:r>
          <w:rPr>
            <w:rStyle w:val="Hyperlink"/>
            <w:b/>
            <w:rtl w:val="true"/>
          </w:rPr>
          <w:t>)</w:t>
        </w:r>
      </w:hyperlink>
      <w:r>
        <w:rPr>
          <w:b/>
          <w:rtl w:val="true"/>
        </w:rPr>
        <w:t xml:space="preserve"> </w:t>
      </w:r>
      <w:r>
        <w:rPr>
          <w:b/>
          <w:b/>
          <w:rtl w:val="true"/>
        </w:rPr>
        <w:t>ל</w:t>
      </w:r>
      <w:hyperlink r:id="rId29">
        <w:r>
          <w:rPr>
            <w:rStyle w:val="Hyperlink"/>
            <w:b/>
            <w:b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;Arial" w:cs="Arial TUR;Arial"/>
            <w:b/>
            <w:b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color w:val="0000FF"/>
            <w:u w:val="single"/>
            <w:rtl w:val="true"/>
          </w:rPr>
          <w:t>הראיות</w:t>
        </w:r>
      </w:hyperlink>
      <w:r>
        <w:rPr>
          <w:b/>
          <w:rtl w:val="true"/>
        </w:rPr>
        <w:t xml:space="preserve">, </w:t>
      </w:r>
      <w:r>
        <w:rPr>
          <w:b/>
          <w:b/>
          <w:rtl w:val="true"/>
        </w:rPr>
        <w:t>המורה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בין</w:t>
      </w:r>
      <w:r>
        <w:rPr>
          <w:rFonts w:eastAsia="Arial TUR;Arial" w:cs="Arial TUR;Arial"/>
          <w:b/>
          <w:b/>
          <w:rtl w:val="true"/>
        </w:rPr>
        <w:t xml:space="preserve"> </w:t>
      </w:r>
      <w:r>
        <w:rPr>
          <w:b/>
          <w:b/>
          <w:rtl w:val="true"/>
        </w:rPr>
        <w:t>היתר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כי</w:t>
      </w:r>
      <w:r>
        <w:rPr>
          <w:b/>
          <w:rtl w:val="true"/>
        </w:rPr>
        <w:t>:</w:t>
      </w:r>
    </w:p>
    <w:p>
      <w:pPr>
        <w:pStyle w:val="Quote"/>
        <w:ind w:end="1276"/>
        <w:jc w:val="both"/>
        <w:rPr/>
      </w:pPr>
      <w:r>
        <w:rPr>
          <w:rtl w:val="true"/>
        </w:rPr>
        <w:t>"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ירשיע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היחידה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שותפו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לחיזוקה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דרישה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כפולה</w:t>
      </w:r>
      <w:r>
        <w:rPr>
          <w:rtl w:val="true"/>
        </w:rPr>
        <w:t xml:space="preserve">"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לחיזוק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ראייתי</w:t>
      </w:r>
      <w:r>
        <w:rPr>
          <w:rtl w:val="true"/>
        </w:rPr>
        <w:t xml:space="preserve">, </w:t>
      </w:r>
      <w:r>
        <w:rPr>
          <w:rtl w:val="true"/>
        </w:rPr>
        <w:t>משמעה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נחוץ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חיזוק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מוגבר</w:t>
      </w:r>
      <w:r>
        <w:rPr>
          <w:rtl w:val="true"/>
        </w:rPr>
        <w:t xml:space="preserve">" </w:t>
      </w:r>
      <w:r>
        <w:rPr>
          <w:rtl w:val="true"/>
        </w:rPr>
        <w:t>התומך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שהוצגה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החוץ</w:t>
      </w:r>
      <w:r>
        <w:rPr>
          <w:rtl w:val="true"/>
        </w:rPr>
        <w:t xml:space="preserve">. </w:t>
      </w:r>
      <w:r>
        <w:rPr>
          <w:rtl w:val="true"/>
        </w:rPr>
        <w:t>דרישה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חיזוק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מוגבר</w:t>
      </w:r>
      <w:r>
        <w:rPr>
          <w:rtl w:val="true"/>
        </w:rPr>
        <w:t xml:space="preserve">" </w:t>
      </w:r>
      <w:r>
        <w:rPr>
          <w:rtl w:val="true"/>
        </w:rPr>
        <w:t>פחוּתה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מדרישת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הסיוע</w:t>
      </w:r>
      <w:r>
        <w:rPr>
          <w:rtl w:val="true"/>
        </w:rPr>
        <w:t xml:space="preserve">" </w:t>
      </w:r>
      <w:r>
        <w:rPr>
          <w:rtl w:val="true"/>
        </w:rPr>
        <w:t>הראייתי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בהקשרים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/>
          <w:rtl w:val="true"/>
        </w:rPr>
        <w:t xml:space="preserve">במובן זה </w:t>
      </w:r>
      <w:r>
        <w:rPr>
          <w:rtl w:val="true"/>
        </w:rPr>
        <w:t>שבניגוד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לדרישת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סיוע</w:t>
      </w:r>
      <w:r>
        <w:rPr>
          <w:rtl w:val="true"/>
        </w:rPr>
        <w:t xml:space="preserve">",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מסבכת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ועצמאית</w:t>
      </w:r>
      <w:r>
        <w:rPr>
          <w:rtl w:val="true"/>
        </w:rPr>
        <w:t xml:space="preserve">" </w:t>
      </w:r>
      <w:r>
        <w:rPr>
          <w:rtl w:val="true"/>
        </w:rPr>
        <w:t>המלמדת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ביסוס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למשל</w:t>
      </w:r>
      <w:r>
        <w:rPr>
          <w:rFonts w:eastAsia="Arial TUR;Arial" w:cs="Arial TUR;Arial"/>
          <w:rtl w:val="true"/>
        </w:rPr>
        <w:t xml:space="preserve"> 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4428/13</w:t>
        </w:r>
      </w:hyperlink>
      <w:r>
        <w:rPr>
          <w:rtl w:val="true"/>
        </w:rPr>
        <w:t xml:space="preserve"> </w:t>
      </w:r>
      <w:r>
        <w:rPr>
          <w:rStyle w:val="Emphasis"/>
          <w:rtl w:val="true"/>
        </w:rPr>
        <w:t>שטרית</w:t>
      </w:r>
      <w:r>
        <w:rPr>
          <w:rStyle w:val="Emphasis"/>
          <w:rFonts w:eastAsia="Arial TUR;Arial" w:cs="Arial TUR;Arial"/>
          <w:rtl w:val="true"/>
        </w:rPr>
        <w:t xml:space="preserve"> </w:t>
      </w:r>
      <w:r>
        <w:rPr>
          <w:rStyle w:val="Emphasis"/>
          <w:rtl w:val="true"/>
        </w:rPr>
        <w:t>נ</w:t>
      </w:r>
      <w:r>
        <w:rPr>
          <w:rStyle w:val="Emphasis"/>
          <w:rtl w:val="true"/>
        </w:rPr>
        <w:t xml:space="preserve">' </w:t>
      </w:r>
      <w:r>
        <w:rPr>
          <w:rStyle w:val="Emphasis"/>
          <w:rtl w:val="true"/>
        </w:rPr>
        <w:t>מדינת</w:t>
      </w:r>
      <w:r>
        <w:rPr>
          <w:rStyle w:val="Emphasis"/>
          <w:rFonts w:eastAsia="Arial TUR;Arial" w:cs="Arial TUR;Arial"/>
          <w:rtl w:val="true"/>
        </w:rPr>
        <w:t xml:space="preserve"> </w:t>
      </w:r>
      <w:r>
        <w:rPr>
          <w:rStyle w:val="Emphasis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30.4.2014</w:t>
      </w:r>
      <w:r>
        <w:rPr>
          <w:rtl w:val="true"/>
        </w:rPr>
        <w:t>)</w:t>
      </w:r>
      <w:r>
        <w:rPr>
          <w:rtl w:val="true"/>
        </w:rPr>
        <w:t>).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במקרה דנן</w:t>
      </w:r>
      <w:r>
        <w:rPr>
          <w:rtl w:val="true"/>
        </w:rPr>
        <w:t xml:space="preserve">, </w:t>
      </w:r>
      <w:r>
        <w:rPr>
          <w:rtl w:val="true"/>
        </w:rPr>
        <w:t>אני סבור כי בדין קבע בית המשפט המחוזי שהתקיימה דרישת החיזוק הראייתי המוגבר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  <w:t>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המאמתות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אנטונוב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בתשאוליו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FrankRuehl" w:hAnsi="FrankRuehl"/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מלמדות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זיקתו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בכלל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מעורבותו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המשמעותית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לליטא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כחצי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יוני</w:t>
      </w:r>
      <w:r>
        <w:rPr>
          <w:rFonts w:eastAsia="Arial TUR;Arial" w:cs="Arial TUR;Arial"/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ינואר</w:t>
      </w:r>
      <w:r>
        <w:rPr>
          <w:rFonts w:eastAsia="Arial TUR;Arial" w:cs="Arial TUR;Arial"/>
          <w:rtl w:val="true"/>
        </w:rPr>
        <w:t xml:space="preserve"> </w:t>
      </w:r>
      <w:r>
        <w:rPr/>
        <w:t>2016</w:t>
      </w:r>
      <w:r>
        <w:rPr>
          <w:rtl w:val="true"/>
        </w:rPr>
        <w:t xml:space="preserve">, </w:t>
      </w:r>
      <w:r>
        <w:rPr>
          <w:rtl w:val="true"/>
        </w:rPr>
        <w:t>תומכת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אנטונוב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בתשאוליו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. </w:t>
      </w:r>
      <w:r>
        <w:rPr>
          <w:rtl w:val="true"/>
        </w:rPr>
        <w:t>לדידי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עצמן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למאמצי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להרחיק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ממעורבות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כלשהי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הכספים</w:t>
      </w:r>
      <w:r>
        <w:rPr>
          <w:rtl w:val="true"/>
        </w:rPr>
        <w:t xml:space="preserve">, </w:t>
      </w:r>
      <w:r>
        <w:rPr>
          <w:rtl w:val="true"/>
        </w:rPr>
        <w:t>והשינוי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בגרסאותיו</w:t>
      </w:r>
      <w:r>
        <w:rPr>
          <w:rtl w:val="true"/>
        </w:rPr>
        <w:t xml:space="preserve">: </w:t>
      </w:r>
      <w:r>
        <w:rPr>
          <w:rtl w:val="true"/>
        </w:rPr>
        <w:t>בתחילה</w:t>
      </w:r>
      <w:r>
        <w:rPr>
          <w:rtl w:val="true"/>
        </w:rPr>
        <w:t xml:space="preserve">, </w:t>
      </w:r>
      <w:r>
        <w:rPr>
          <w:rtl w:val="true"/>
        </w:rPr>
        <w:t>שתק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ממצאים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המלמדים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; </w:t>
      </w:r>
      <w:r>
        <w:rPr>
          <w:rtl w:val="true"/>
        </w:rPr>
        <w:t>ואילו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מההעברות</w:t>
      </w:r>
      <w:r>
        <w:rPr>
          <w:rtl w:val="true"/>
        </w:rPr>
        <w:t xml:space="preserve">, </w:t>
      </w:r>
      <w:r>
        <w:rPr>
          <w:rtl w:val="true"/>
        </w:rPr>
        <w:t>שינה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אומנם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בביצוען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הכספים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הגורמים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מליטא</w:t>
      </w:r>
      <w:r>
        <w:rPr>
          <w:rtl w:val="true"/>
        </w:rPr>
        <w:t xml:space="preserve">,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ארוכים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שהחלו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לידיהם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מתיישב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המאוחרת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לבקשתו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אנטונוב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דרישת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החיזוק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המוגבר</w:t>
      </w:r>
      <w:r>
        <w:rPr>
          <w:rtl w:val="true"/>
        </w:rPr>
        <w:t xml:space="preserve">" </w:t>
      </w:r>
      <w:r>
        <w:rPr>
          <w:rtl w:val="true"/>
        </w:rPr>
        <w:t>להרשעת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אנטונוב</w:t>
      </w:r>
      <w:r>
        <w:rPr>
          <w:rtl w:val="true"/>
        </w:rPr>
        <w:t>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bookmarkStart w:id="16" w:name="_Ref50891656"/>
      <w:r>
        <w:rPr>
          <w:rtl w:val="true"/>
        </w:rPr>
        <w:t>לצד זאת</w:t>
      </w:r>
      <w:r>
        <w:rPr>
          <w:rtl w:val="true"/>
        </w:rPr>
        <w:t xml:space="preserve">, </w:t>
      </w:r>
      <w:r>
        <w:rPr>
          <w:rtl w:val="true"/>
        </w:rPr>
        <w:t>אכן קיים קושי מסוים בקביעת בית המשפט המחוזי שלפיה המערער נטל חלק ב</w:t>
      </w:r>
      <w:r>
        <w:rPr>
          <w:rtl w:val="true"/>
        </w:rPr>
        <w:t>-</w:t>
      </w:r>
      <w:r>
        <w:rPr/>
        <w:t>163</w:t>
      </w:r>
      <w:r>
        <w:rPr>
          <w:rtl w:val="true"/>
        </w:rPr>
        <w:t xml:space="preserve"> </w:t>
      </w:r>
      <w:r>
        <w:rPr>
          <w:rtl w:val="true"/>
        </w:rPr>
        <w:t>מהאירועים שיוחסו לו</w:t>
      </w:r>
      <w:r>
        <w:rPr>
          <w:rtl w:val="true"/>
        </w:rPr>
        <w:t xml:space="preserve">, </w:t>
      </w:r>
      <w:r>
        <w:rPr>
          <w:rtl w:val="true"/>
        </w:rPr>
        <w:t>לנוכח ספק באשר למספר המקרים שבהם אנטונוב פעל שלא בידיעתו</w:t>
      </w:r>
      <w:r>
        <w:rPr>
          <w:rtl w:val="true"/>
        </w:rPr>
        <w:t xml:space="preserve">, </w:t>
      </w:r>
      <w:r>
        <w:rPr>
          <w:rtl w:val="true"/>
        </w:rPr>
        <w:t>ללא נימוק של ממש בעניין האופן שבו חושב מספר אירועים זה</w:t>
      </w:r>
      <w:r>
        <w:rPr>
          <w:rtl w:val="true"/>
        </w:rPr>
        <w:t>.</w:t>
      </w:r>
      <w:bookmarkEnd w:id="16"/>
      <w:r>
        <w:rPr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tl w:val="true"/>
        </w:rPr>
        <w:t>כעולה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מתשאוליו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אנטונוב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ומטבלת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שצורפה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18.12.2015</w:t>
      </w:r>
      <w:r>
        <w:rPr>
          <w:rtl w:val="true"/>
        </w:rPr>
        <w:t xml:space="preserve"> </w:t>
      </w:r>
      <w:r>
        <w:rPr>
          <w:rtl w:val="true"/>
        </w:rPr>
        <w:t>אנטונוב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סחיטה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מתלוננים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תרשיחא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בדבריו</w:t>
      </w:r>
      <w:r>
        <w:rPr>
          <w:rtl w:val="true"/>
        </w:rPr>
        <w:t xml:space="preserve">, </w:t>
      </w:r>
      <w:r>
        <w:rPr>
          <w:rtl w:val="true"/>
        </w:rPr>
        <w:t>הדגיש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אנטונוב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שותפיו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: </w:t>
      </w:r>
    </w:p>
    <w:p>
      <w:pPr>
        <w:pStyle w:val="Quote"/>
        <w:ind w:hanging="1230" w:start="2874" w:end="1276"/>
        <w:jc w:val="both"/>
        <w:rPr/>
      </w:pPr>
      <w:r>
        <w:rPr>
          <w:rtl w:val="true"/>
        </w:rPr>
        <w:t>"</w:t>
      </w:r>
      <w:r>
        <w:rPr>
          <w:rtl w:val="true"/>
        </w:rPr>
        <w:t>חוקר</w:t>
      </w:r>
      <w:r>
        <w:rPr>
          <w:rtl w:val="true"/>
        </w:rPr>
        <w:t>:</w:t>
      </w:r>
      <w:r>
        <w:rPr>
          <w:rtl w:val="true"/>
        </w:rPr>
        <w:tab/>
      </w:r>
      <w:r>
        <w:rPr>
          <w:rtl w:val="true"/>
        </w:rPr>
        <w:t>ממה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שהתחלת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תרשיחא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... </w:t>
      </w:r>
      <w:r>
        <w:rPr>
          <w:rtl w:val="true"/>
        </w:rPr>
        <w:t>הליטאים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אותך</w:t>
      </w:r>
      <w:r>
        <w:rPr>
          <w:rtl w:val="true"/>
        </w:rPr>
        <w:t>?</w:t>
      </w:r>
    </w:p>
    <w:p>
      <w:pPr>
        <w:pStyle w:val="Quote"/>
        <w:ind w:end="1276"/>
        <w:jc w:val="both"/>
        <w:rPr/>
      </w:pP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אנטונוב</w:t>
      </w:r>
      <w:r>
        <w:rPr>
          <w:rtl w:val="true"/>
        </w:rPr>
        <w:t>:</w:t>
      </w:r>
      <w:r>
        <w:rPr>
          <w:rtl w:val="true"/>
        </w:rPr>
        <w:tab/>
      </w:r>
      <w:r>
        <w:rPr>
          <w:rtl w:val="true"/>
        </w:rPr>
        <w:t>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>.</w:t>
      </w:r>
    </w:p>
    <w:p>
      <w:pPr>
        <w:pStyle w:val="Quote"/>
        <w:ind w:end="1276"/>
        <w:jc w:val="both"/>
        <w:rPr/>
      </w:pPr>
      <w:r>
        <w:rPr>
          <w:rtl w:val="true"/>
        </w:rPr>
        <w:t>חוקר</w:t>
      </w:r>
      <w:r>
        <w:rPr>
          <w:rtl w:val="true"/>
        </w:rPr>
        <w:t>:</w:t>
      </w:r>
      <w:r>
        <w:rPr>
          <w:rtl w:val="true"/>
        </w:rPr>
        <w:tab/>
      </w:r>
      <w:r>
        <w:rPr>
          <w:rtl w:val="true"/>
        </w:rPr>
        <w:t>שאתה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ישירות</w:t>
      </w:r>
      <w:r>
        <w:rPr>
          <w:rtl w:val="true"/>
        </w:rPr>
        <w:t>?</w:t>
      </w:r>
    </w:p>
    <w:p>
      <w:pPr>
        <w:pStyle w:val="Quote"/>
        <w:ind w:hanging="1230" w:start="2874" w:end="1276"/>
        <w:jc w:val="both"/>
        <w:rPr/>
      </w:pPr>
      <w:r>
        <w:rPr>
          <w:rtl w:val="true"/>
        </w:rPr>
        <w:t>אנטונוב</w:t>
      </w:r>
      <w:r>
        <w:rPr>
          <w:rtl w:val="true"/>
        </w:rPr>
        <w:t>:</w:t>
      </w:r>
      <w:r>
        <w:rPr>
          <w:rtl w:val="true"/>
        </w:rPr>
        <w:tab/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... </w:t>
      </w:r>
      <w:r>
        <w:rPr>
          <w:rtl w:val="true"/>
        </w:rPr>
        <w:t>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בלעדיהם</w:t>
      </w:r>
      <w:r>
        <w:rPr>
          <w:rtl w:val="true"/>
        </w:rPr>
        <w:t>.</w:t>
      </w:r>
    </w:p>
    <w:p>
      <w:pPr>
        <w:pStyle w:val="Quote"/>
        <w:ind w:end="1276"/>
        <w:jc w:val="both"/>
        <w:rPr/>
      </w:pPr>
      <w:r>
        <w:rPr>
          <w:rtl w:val="true"/>
        </w:rPr>
        <w:t>...</w:t>
      </w:r>
    </w:p>
    <w:p>
      <w:pPr>
        <w:pStyle w:val="Quote"/>
        <w:ind w:hanging="1230" w:start="2874" w:end="1276"/>
        <w:jc w:val="both"/>
        <w:rPr/>
      </w:pPr>
      <w:r>
        <w:rPr>
          <w:rtl w:val="true"/>
        </w:rPr>
        <w:t>חוקר</w:t>
      </w:r>
      <w:r>
        <w:rPr>
          <w:rtl w:val="true"/>
        </w:rPr>
        <w:t>:</w:t>
      </w:r>
      <w:r>
        <w:rPr>
          <w:rtl w:val="true"/>
        </w:rPr>
        <w:tab/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Style w:val="Emphasis"/>
          <w:rtl w:val="true"/>
        </w:rPr>
        <w:t>י</w:t>
      </w:r>
      <w:r>
        <w:rPr>
          <w:rStyle w:val="Emphasis"/>
          <w:rtl w:val="true"/>
        </w:rPr>
        <w:t xml:space="preserve">' </w:t>
      </w:r>
      <w:r>
        <w:rPr>
          <w:rStyle w:val="Emphasis"/>
          <w:rtl w:val="true"/>
        </w:rPr>
        <w:t>א</w:t>
      </w:r>
      <w:r>
        <w:rPr>
          <w:rStyle w:val="Emphasis"/>
          <w:rtl w:val="true"/>
        </w:rPr>
        <w:t>'</w:t>
      </w:r>
      <w:r>
        <w:rPr>
          <w:rtl w:val="true"/>
        </w:rPr>
        <w:t xml:space="preserve">] </w:t>
      </w:r>
      <w:r>
        <w:rPr>
          <w:rtl w:val="true"/>
        </w:rPr>
        <w:t>הפעם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ישירות</w:t>
      </w:r>
      <w:r>
        <w:rPr>
          <w:rtl w:val="true"/>
        </w:rPr>
        <w:t xml:space="preserve">? ... </w:t>
      </w:r>
      <w:r>
        <w:rPr>
          <w:rtl w:val="true"/>
        </w:rPr>
        <w:t>במעלות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תרשיחא</w:t>
      </w:r>
      <w:r>
        <w:rPr>
          <w:rtl w:val="true"/>
        </w:rPr>
        <w:t>?</w:t>
      </w:r>
    </w:p>
    <w:p>
      <w:pPr>
        <w:pStyle w:val="Quote"/>
        <w:ind w:end="1276"/>
        <w:jc w:val="both"/>
        <w:rPr/>
      </w:pPr>
      <w:r>
        <w:rPr>
          <w:rtl w:val="true"/>
        </w:rPr>
        <w:t>אנטונוב</w:t>
      </w:r>
      <w:r>
        <w:rPr>
          <w:rtl w:val="true"/>
        </w:rPr>
        <w:t>:</w:t>
      </w:r>
      <w:r>
        <w:rPr>
          <w:rtl w:val="true"/>
        </w:rPr>
        <w:tab/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>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84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20</w:t>
      </w:r>
      <w:r>
        <w:rPr>
          <w:rtl w:val="true"/>
        </w:rPr>
        <w:t xml:space="preserve">, </w:t>
      </w:r>
      <w:r>
        <w:rPr/>
        <w:t>23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  <w:t>בהיעדר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אנטונוב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;Arial" w:cs="Arial TUR;Arial"/>
          <w:rtl w:val="true"/>
        </w:rPr>
        <w:t xml:space="preserve"> </w:t>
      </w:r>
      <w:r>
        <w:rPr/>
        <w:t>18.12.2015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להניח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אנטונוב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הגדול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אותן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להחסיר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מרשימת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להניח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הגדול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בודד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אותן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מתשאוליו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אנטונוב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פעמיים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להניח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18.12.2015</w:t>
      </w:r>
      <w:r>
        <w:rPr>
          <w:rtl w:val="true"/>
        </w:rPr>
        <w:t xml:space="preserve"> </w:t>
      </w:r>
      <w:r>
        <w:rPr>
          <w:rtl w:val="true"/>
        </w:rPr>
        <w:t>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בידיעתו</w:t>
      </w:r>
      <w:r>
        <w:rPr>
          <w:rtl w:val="true"/>
        </w:rPr>
        <w:t>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bookmarkStart w:id="17" w:name="_Ref51673169"/>
      <w:r>
        <w:rPr>
          <w:rtl w:val="true"/>
        </w:rPr>
        <w:t>עיון בפירוט העבירות שיוחסו למערער וליתר שותפיו</w:t>
      </w:r>
      <w:r>
        <w:rPr>
          <w:rtl w:val="true"/>
        </w:rPr>
        <w:t xml:space="preserve">, </w:t>
      </w:r>
      <w:r>
        <w:rPr>
          <w:rtl w:val="true"/>
        </w:rPr>
        <w:t>בהם אנטונוב</w:t>
      </w:r>
      <w:r>
        <w:rPr>
          <w:rtl w:val="true"/>
        </w:rPr>
        <w:t xml:space="preserve">, </w:t>
      </w:r>
      <w:r>
        <w:rPr>
          <w:rtl w:val="true"/>
        </w:rPr>
        <w:t xml:space="preserve">מלמד כי החל מיום </w:t>
      </w:r>
      <w:r>
        <w:rPr/>
        <w:t>18.12.2015</w:t>
      </w:r>
      <w:r>
        <w:rPr>
          <w:rtl w:val="true"/>
        </w:rPr>
        <w:t xml:space="preserve"> </w:t>
      </w:r>
      <w:r>
        <w:rPr>
          <w:rtl w:val="true"/>
        </w:rPr>
        <w:t>בוצעו</w:t>
      </w:r>
      <w:r>
        <w:rPr>
          <w:rtl w:val="true"/>
        </w:rPr>
        <w:t xml:space="preserve">, </w:t>
      </w:r>
      <w:r>
        <w:rPr>
          <w:rtl w:val="true"/>
        </w:rPr>
        <w:t>על פי הנטען</w:t>
      </w:r>
      <w:r>
        <w:rPr>
          <w:rtl w:val="true"/>
        </w:rPr>
        <w:t xml:space="preserve">,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עבירות כלפי מתלוננים שונים אשר מתוכם</w:t>
      </w:r>
      <w:r>
        <w:rPr>
          <w:rtl w:val="true"/>
        </w:rPr>
        <w:t xml:space="preserve">, </w:t>
      </w:r>
      <w:r>
        <w:rPr>
          <w:rtl w:val="true"/>
        </w:rPr>
        <w:t>שלושה שילמו סכומים שונים בשל האיומים</w:t>
      </w:r>
      <w:r>
        <w:rPr>
          <w:rtl w:val="true"/>
        </w:rPr>
        <w:t xml:space="preserve">. </w:t>
      </w:r>
      <w:r>
        <w:rPr>
          <w:rtl w:val="true"/>
        </w:rPr>
        <w:t>עוד עולה כי מבין הימים שקדמו למועד זה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13.11.2015</w:t>
      </w:r>
      <w:r>
        <w:rPr>
          <w:rtl w:val="true"/>
        </w:rPr>
        <w:t xml:space="preserve"> </w:t>
      </w:r>
      <w:r>
        <w:rPr>
          <w:rtl w:val="true"/>
        </w:rPr>
        <w:t>בוצע מספר העבירות הגדול ביותר</w:t>
      </w:r>
      <w:r>
        <w:rPr>
          <w:rtl w:val="true"/>
        </w:rPr>
        <w:t xml:space="preserve">, </w:t>
      </w:r>
      <w:r>
        <w:rPr>
          <w:rtl w:val="true"/>
        </w:rPr>
        <w:t xml:space="preserve">כלפי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מתלוננים שונים</w:t>
      </w:r>
      <w:r>
        <w:rPr>
          <w:rtl w:val="true"/>
        </w:rPr>
        <w:t xml:space="preserve">; </w:t>
      </w:r>
      <w:r>
        <w:rPr>
          <w:rtl w:val="true"/>
        </w:rPr>
        <w:t xml:space="preserve">וכי בכל אחד מהימים שקדמו ליום </w:t>
      </w:r>
      <w:r>
        <w:rPr/>
        <w:t>18.12.2015</w:t>
      </w:r>
      <w:r>
        <w:rPr>
          <w:rtl w:val="true"/>
        </w:rPr>
        <w:t xml:space="preserve">, </w:t>
      </w:r>
      <w:r>
        <w:rPr>
          <w:rtl w:val="true"/>
        </w:rPr>
        <w:t>שילמו לכל היותר שלושה מתלוננים כספים לפי דרישת המערער ושותפיו</w:t>
      </w:r>
      <w:r>
        <w:rPr>
          <w:rtl w:val="true"/>
        </w:rPr>
        <w:t>.</w:t>
      </w:r>
      <w:bookmarkEnd w:id="17"/>
      <w:r>
        <w:rPr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eastAsia="Arial TUR;Arial" w:cs="Arial TUR;Arial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אנטונוב</w:t>
      </w:r>
      <w:r>
        <w:rPr>
          <w:rtl w:val="true"/>
        </w:rPr>
        <w:t xml:space="preserve">. </w:t>
      </w:r>
      <w:r>
        <w:rPr>
          <w:rtl w:val="true"/>
        </w:rPr>
        <w:t>מתוכן</w:t>
      </w:r>
      <w:r>
        <w:rPr>
          <w:rtl w:val="true"/>
        </w:rPr>
        <w:t xml:space="preserve">,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סחיטה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31">
        <w:r>
          <w:rPr>
            <w:rStyle w:val="Hyperlink"/>
            <w:rtl w:val="true"/>
          </w:rPr>
          <w:t>סעיפים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428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32"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שבהן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הסחיטה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שולמו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ולשותפיו</w:t>
      </w:r>
      <w:r>
        <w:rPr>
          <w:rtl w:val="true"/>
        </w:rPr>
        <w:t xml:space="preserve">;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hyperlink r:id="rId34">
        <w:r>
          <w:rPr>
            <w:rStyle w:val="Hyperlink"/>
            <w:rtl w:val="true"/>
          </w:rPr>
          <w:t>סעיפים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428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35"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שבהן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שולמו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ולשותפיו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הסחיטה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סחיטה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באיומים</w:t>
      </w:r>
      <w:r>
        <w:rPr>
          <w:rtl w:val="true"/>
        </w:rPr>
        <w:t xml:space="preserve">, </w:t>
      </w:r>
      <w:r>
        <w:rPr>
          <w:rtl w:val="true"/>
        </w:rPr>
        <w:t>מתוכן</w:t>
      </w:r>
      <w:r>
        <w:rPr>
          <w:rFonts w:eastAsia="Arial TUR;Arial" w:cs="Arial TUR;Arial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לוּ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תישמע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דעתי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/>
        <w:t>159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סחיטה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באיומים</w:t>
      </w:r>
      <w:r>
        <w:rPr>
          <w:rtl w:val="true"/>
        </w:rPr>
        <w:t xml:space="preserve">, </w:t>
      </w:r>
      <w:r>
        <w:rPr>
          <w:rtl w:val="true"/>
        </w:rPr>
        <w:t>מתוכן</w:t>
      </w:r>
      <w:r>
        <w:rPr>
          <w:rFonts w:eastAsia="Arial TUR;Arial" w:cs="Arial TUR;Arial"/>
          <w:rtl w:val="true"/>
        </w:rPr>
        <w:t xml:space="preserve"> </w:t>
      </w:r>
      <w:r>
        <w:rPr/>
        <w:t>79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36">
        <w:r>
          <w:rPr>
            <w:rStyle w:val="Hyperlink"/>
            <w:rtl w:val="true"/>
          </w:rPr>
          <w:t>סעיפים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428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37"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;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80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39">
        <w:r>
          <w:rPr>
            <w:rStyle w:val="Hyperlink"/>
            <w:rtl w:val="true"/>
          </w:rPr>
          <w:t>סעיפים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428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40"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חרף קבלת טענה זו של המערער באופן חלקי</w:t>
      </w:r>
      <w:r>
        <w:rPr>
          <w:rtl w:val="true"/>
        </w:rPr>
        <w:t xml:space="preserve">, </w:t>
      </w:r>
      <w:r>
        <w:rPr>
          <w:rtl w:val="true"/>
        </w:rPr>
        <w:t>לא ראיתי מקום להקל בעונשו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>חוסנה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נמדד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ביחסהּ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לחלש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ולזקן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hyperlink r:id="rId4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8299/19</w:t>
        </w:r>
      </w:hyperlink>
      <w:r>
        <w:rPr>
          <w:rtl w:val="true"/>
        </w:rPr>
        <w:t xml:space="preserve"> </w:t>
      </w:r>
      <w:r>
        <w:rPr>
          <w:rStyle w:val="Emphasis"/>
          <w:rtl w:val="true"/>
        </w:rPr>
        <w:t>פלוני</w:t>
      </w:r>
      <w:r>
        <w:rPr>
          <w:rStyle w:val="Emphasis"/>
          <w:rFonts w:eastAsia="Arial TUR;Arial" w:cs="Arial TUR;Arial"/>
          <w:rtl w:val="true"/>
        </w:rPr>
        <w:t xml:space="preserve"> </w:t>
      </w:r>
      <w:r>
        <w:rPr>
          <w:rStyle w:val="Emphasis"/>
          <w:rtl w:val="true"/>
        </w:rPr>
        <w:t>נ</w:t>
      </w:r>
      <w:r>
        <w:rPr>
          <w:rStyle w:val="Emphasis"/>
          <w:rtl w:val="true"/>
        </w:rPr>
        <w:t xml:space="preserve">' </w:t>
      </w:r>
      <w:r>
        <w:rPr>
          <w:rStyle w:val="Emphasis"/>
          <w:rtl w:val="true"/>
        </w:rPr>
        <w:t>מדינת</w:t>
      </w:r>
      <w:r>
        <w:rPr>
          <w:rStyle w:val="Emphasis"/>
          <w:rFonts w:eastAsia="Arial TUR;Arial" w:cs="Arial TUR;Arial"/>
          <w:rtl w:val="true"/>
        </w:rPr>
        <w:t xml:space="preserve"> </w:t>
      </w:r>
      <w:r>
        <w:rPr>
          <w:rStyle w:val="Emphasis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38</w:t>
      </w:r>
      <w:r>
        <w:rPr>
          <w:rtl w:val="true"/>
        </w:rPr>
        <w:t xml:space="preserve"> (</w:t>
      </w:r>
      <w:r>
        <w:rPr/>
        <w:t>31.5.2020</w:t>
      </w:r>
      <w:r>
        <w:rPr>
          <w:rtl w:val="true"/>
        </w:rPr>
        <w:t xml:space="preserve">)). </w:t>
      </w:r>
    </w:p>
    <w:p>
      <w:pPr>
        <w:pStyle w:val="Ruller4"/>
        <w:ind w:end="0"/>
        <w:jc w:val="both"/>
        <w:rPr/>
      </w:pPr>
      <w:r>
        <w:rPr>
          <w:rtl w:val="true"/>
        </w:rPr>
        <w:t>למרבה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הצער</w:t>
      </w:r>
      <w:r>
        <w:rPr>
          <w:rtl w:val="true"/>
        </w:rPr>
        <w:t xml:space="preserve">, </w:t>
      </w:r>
      <w:r>
        <w:rPr>
          <w:rtl w:val="true"/>
        </w:rPr>
        <w:t>האוכלוסייה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המבוגרת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מוצאת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ותחבולה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פורעי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תאבי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מבקשים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בממונם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ניצול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חולשתם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תופעה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רחבת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שנחשפה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הצעת</w:t>
      </w:r>
      <w:r>
        <w:rPr>
          <w:rFonts w:eastAsia="Arial TUR;Arial" w:cs="Arial TUR;Arial"/>
          <w:rtl w:val="true"/>
        </w:rPr>
        <w:t xml:space="preserve"> </w:t>
      </w:r>
      <w:hyperlink r:id="rId4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הגנת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הצרכן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מאגר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צרכנים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מרחוק</w:t>
      </w:r>
      <w:r>
        <w:rPr>
          <w:rtl w:val="true"/>
        </w:rPr>
        <w:t xml:space="preserve">),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ף</w:t>
      </w:r>
      <w:r>
        <w:rPr>
          <w:rFonts w:ascii="FrankRuehl" w:hAnsi="FrankRuehl"/>
          <w:rtl w:val="true"/>
        </w:rPr>
        <w:t>–</w:t>
      </w:r>
      <w:r>
        <w:rPr/>
        <w:t>2020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הונחה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שולחן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הכנסת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מרכזי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בהתארגנות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שנרקחה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בשיתוף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עברייניים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השוהים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 xml:space="preserve">, </w:t>
      </w:r>
      <w:r>
        <w:rPr>
          <w:rtl w:val="true"/>
        </w:rPr>
        <w:t>במטרה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לנצל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מצוקתם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קורבנות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FrankRuehl" w:hAnsi="FrankRuehl"/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קשישים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בימים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FrankRuehl" w:hAnsi="FrankRuehl"/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היגרו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נותרו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זרה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כחצי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סחטו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ושותפיו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150</w:t>
      </w:r>
      <w:r>
        <w:rPr>
          <w:rtl w:val="true"/>
        </w:rPr>
        <w:t xml:space="preserve"> </w:t>
      </w:r>
      <w:r>
        <w:rPr>
          <w:rtl w:val="true"/>
        </w:rPr>
        <w:t>קורבנות</w:t>
      </w:r>
      <w:r>
        <w:rPr>
          <w:rtl w:val="true"/>
        </w:rPr>
        <w:t xml:space="preserve">, </w:t>
      </w:r>
      <w:r>
        <w:rPr>
          <w:rtl w:val="true"/>
        </w:rPr>
        <w:t>בסכום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למיליון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סדורה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וזדונית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נערכו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ושותפיו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מועד</w:t>
      </w:r>
      <w:r>
        <w:rPr>
          <w:rtl w:val="true"/>
        </w:rPr>
        <w:t xml:space="preserve">, </w:t>
      </w:r>
      <w:r>
        <w:rPr>
          <w:rtl w:val="true"/>
        </w:rPr>
        <w:t>איתרו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קורבנותיהם</w:t>
      </w:r>
      <w:r>
        <w:rPr>
          <w:rtl w:val="true"/>
        </w:rPr>
        <w:t xml:space="preserve">, </w:t>
      </w:r>
      <w:r>
        <w:rPr>
          <w:rtl w:val="true"/>
        </w:rPr>
        <w:t>איימו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בקרובי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משפחותיהם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יסרבו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סכומי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מבוקשם</w:t>
      </w:r>
      <w:r>
        <w:rPr>
          <w:rtl w:val="true"/>
        </w:rPr>
        <w:t xml:space="preserve">. </w:t>
      </w:r>
      <w:r>
        <w:rPr>
          <w:rtl w:val="true"/>
        </w:rPr>
        <w:t>כעולה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מתצהיריהם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מהמתלוננים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למזימת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ושותפיו</w:t>
      </w:r>
      <w:r>
        <w:rPr>
          <w:rtl w:val="true"/>
        </w:rPr>
        <w:t xml:space="preserve">, </w:t>
      </w:r>
      <w:r>
        <w:rPr>
          <w:rtl w:val="true"/>
        </w:rPr>
        <w:t>אחדים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סובלים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מדיכאון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ומחרדות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מהמעשים</w:t>
      </w:r>
      <w:r>
        <w:rPr>
          <w:rtl w:val="true"/>
        </w:rPr>
        <w:t xml:space="preserve">, </w:t>
      </w:r>
      <w:r>
        <w:rPr>
          <w:rtl w:val="true"/>
        </w:rPr>
        <w:t>וחשים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העצמי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נלקח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ascii="Century" w:hAnsi="Century" w:cs="Century"/>
          <w:spacing w:val="9"/>
          <w:rtl w:val="true"/>
        </w:rPr>
        <w:t>בתגובה למעשים נלוזים אלו</w:t>
      </w:r>
      <w:r>
        <w:rPr>
          <w:rFonts w:cs="Century" w:ascii="Century" w:hAnsi="Century"/>
          <w:spacing w:val="9"/>
          <w:rtl w:val="true"/>
        </w:rPr>
        <w:t xml:space="preserve">, </w:t>
      </w:r>
      <w:r>
        <w:rPr>
          <w:rFonts w:ascii="Century" w:hAnsi="Century" w:cs="Century"/>
          <w:spacing w:val="9"/>
          <w:rtl w:val="true"/>
        </w:rPr>
        <w:t>הפגיעה הקשה במתלוננים</w:t>
      </w:r>
      <w:r>
        <w:rPr>
          <w:rFonts w:cs="Century" w:ascii="Century" w:hAnsi="Century"/>
          <w:spacing w:val="9"/>
          <w:rtl w:val="true"/>
        </w:rPr>
        <w:t xml:space="preserve">, </w:t>
      </w:r>
      <w:r>
        <w:rPr>
          <w:rFonts w:ascii="Century" w:hAnsi="Century" w:cs="Century"/>
          <w:spacing w:val="9"/>
          <w:rtl w:val="true"/>
        </w:rPr>
        <w:t>והצורך בהגנה מיוחדת על אוכלוסיות קשישות</w:t>
      </w:r>
      <w:r>
        <w:rPr>
          <w:rFonts w:cs="Century" w:ascii="Century" w:hAnsi="Century"/>
          <w:spacing w:val="9"/>
          <w:rtl w:val="true"/>
        </w:rPr>
        <w:t xml:space="preserve">, </w:t>
      </w:r>
      <w:r>
        <w:rPr>
          <w:rFonts w:ascii="Century" w:hAnsi="Century" w:cs="Century"/>
          <w:spacing w:val="9"/>
          <w:rtl w:val="true"/>
        </w:rPr>
        <w:t xml:space="preserve">נחוצה ענישה חמורה ומרתיעה </w:t>
      </w:r>
      <w:r>
        <w:rPr>
          <w:rFonts w:cs="Century" w:ascii="Century" w:hAnsi="Century"/>
          <w:spacing w:val="9"/>
          <w:rtl w:val="true"/>
        </w:rPr>
        <w:t>(</w:t>
      </w:r>
      <w:r>
        <w:rPr>
          <w:rFonts w:ascii="Century" w:hAnsi="Century" w:cs="Century"/>
          <w:spacing w:val="9"/>
          <w:rtl w:val="true"/>
        </w:rPr>
        <w:t xml:space="preserve">ראו גם למשל </w:t>
      </w:r>
      <w:hyperlink r:id="rId43">
        <w:r>
          <w:rPr>
            <w:rStyle w:val="Hyperlink"/>
            <w:rFonts w:ascii="Century" w:hAnsi="Century" w:cs="Century"/>
            <w:color w:val="0000FF"/>
            <w:spacing w:val="9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pacing w:val="9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pacing w:val="9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pacing w:val="9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pacing w:val="9"/>
            <w:u w:val="single"/>
          </w:rPr>
          <w:t>1660/19</w:t>
        </w:r>
      </w:hyperlink>
      <w:r>
        <w:rPr>
          <w:spacing w:val="22"/>
          <w:rtl w:val="true"/>
        </w:rPr>
        <w:t xml:space="preserve"> </w:t>
      </w:r>
      <w:r>
        <w:rPr>
          <w:rStyle w:val="Emphasis"/>
        </w:rPr>
        <w:t>Kvartskhava</w:t>
      </w:r>
      <w:r>
        <w:rPr>
          <w:rStyle w:val="Emphasis"/>
          <w:rtl w:val="true"/>
        </w:rPr>
        <w:t xml:space="preserve">‏ </w:t>
      </w:r>
      <w:r>
        <w:rPr>
          <w:rStyle w:val="Emphasis"/>
          <w:rtl w:val="true"/>
        </w:rPr>
        <w:t>נ</w:t>
      </w:r>
      <w:r>
        <w:rPr>
          <w:rStyle w:val="Emphasis"/>
          <w:rtl w:val="true"/>
        </w:rPr>
        <w:t xml:space="preserve">' </w:t>
      </w:r>
      <w:r>
        <w:rPr>
          <w:rStyle w:val="Emphasis"/>
          <w:rtl w:val="true"/>
        </w:rPr>
        <w:t>מדינת</w:t>
      </w:r>
      <w:r>
        <w:rPr>
          <w:rStyle w:val="Emphasis"/>
          <w:rFonts w:eastAsia="Arial TUR;Arial" w:cs="Arial TUR;Arial"/>
          <w:rtl w:val="true"/>
        </w:rPr>
        <w:t xml:space="preserve"> </w:t>
      </w:r>
      <w:r>
        <w:rPr>
          <w:rStyle w:val="Emphasis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(</w:t>
      </w:r>
      <w:r>
        <w:rPr/>
        <w:t>23.10.2019</w:t>
      </w:r>
      <w:r>
        <w:rPr>
          <w:rtl w:val="true"/>
        </w:rPr>
        <w:t xml:space="preserve">)).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המשמעותי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שבחשיפת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וניצול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המכוונים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קשישים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נמנעים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מלחשוף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לתחבולה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יעקב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לומרנץ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וזיקנה</w:t>
      </w:r>
      <w:r>
        <w:rPr>
          <w:rtl w:val="true"/>
        </w:rPr>
        <w:t xml:space="preserve">: </w:t>
      </w:r>
      <w:r>
        <w:rPr>
          <w:rtl w:val="true"/>
        </w:rPr>
        <w:t>אספקטים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פסיכולוגיים</w:t>
      </w:r>
      <w:r>
        <w:rPr>
          <w:rtl w:val="true"/>
        </w:rPr>
        <w:t xml:space="preserve">" </w:t>
      </w:r>
      <w:r>
        <w:rPr>
          <w:rStyle w:val="Emphasis"/>
          <w:rtl w:val="true"/>
        </w:rPr>
        <w:t>זיקנה</w:t>
      </w:r>
      <w:r>
        <w:rPr>
          <w:rStyle w:val="Emphasis"/>
          <w:rFonts w:eastAsia="Arial TUR;Arial" w:cs="Arial TUR;Arial"/>
          <w:rtl w:val="true"/>
        </w:rPr>
        <w:t xml:space="preserve"> </w:t>
      </w:r>
      <w:r>
        <w:rPr>
          <w:rStyle w:val="Emphasis"/>
          <w:rtl w:val="true"/>
        </w:rPr>
        <w:t>בקו</w:t>
      </w:r>
      <w:r>
        <w:rPr>
          <w:rStyle w:val="Emphasis"/>
          <w:rFonts w:eastAsia="Arial TUR;Arial" w:cs="Arial TUR;Arial"/>
          <w:rtl w:val="true"/>
        </w:rPr>
        <w:t xml:space="preserve"> </w:t>
      </w:r>
      <w:r>
        <w:rPr>
          <w:rStyle w:val="Emphasis"/>
          <w:rtl w:val="true"/>
        </w:rPr>
        <w:t>העוני</w:t>
      </w:r>
      <w:r>
        <w:rPr>
          <w:rFonts w:eastAsia="Arial TUR;Arial" w:cs="Arial TUR;Arial"/>
          <w:rtl w:val="true"/>
        </w:rPr>
        <w:t xml:space="preserve"> </w:t>
      </w:r>
      <w:r>
        <w:rPr/>
        <w:t>146</w:t>
      </w:r>
      <w:r>
        <w:rPr>
          <w:rtl w:val="true"/>
        </w:rPr>
        <w:t xml:space="preserve">, </w:t>
      </w:r>
      <w:r>
        <w:rPr/>
        <w:t>156</w:t>
      </w:r>
      <w:r>
        <w:rPr>
          <w:rtl w:val="true"/>
        </w:rPr>
        <w:t xml:space="preserve"> (</w:t>
      </w:r>
      <w:r>
        <w:rPr>
          <w:rtl w:val="true"/>
        </w:rPr>
        <w:t>יצחק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עורך</w:t>
      </w:r>
      <w:r>
        <w:rPr>
          <w:rtl w:val="true"/>
        </w:rPr>
        <w:t xml:space="preserve">, </w:t>
      </w:r>
      <w:r>
        <w:rPr/>
        <w:t>2005</w:t>
      </w:r>
      <w:r>
        <w:rPr>
          <w:rtl w:val="true"/>
        </w:rPr>
        <w:t>)).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 xml:space="preserve">אני סבור כי העונשים שנגזרו על המערער אינם מחמירים כלל ועיקר </w:t>
      </w:r>
      <w:r>
        <w:rPr>
          <w:rtl w:val="true"/>
        </w:rPr>
        <w:t>–</w:t>
      </w:r>
      <w:r>
        <w:rPr>
          <w:rtl w:val="true"/>
        </w:rPr>
        <w:t xml:space="preserve"> ואף מקלים עימו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בזיכויו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150</w:t>
      </w:r>
      <w:r>
        <w:rPr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כלשהי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>.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Fonts w:ascii="Century" w:hAnsi="Century" w:cs="Century"/>
          <w:sz w:val="22"/>
          <w:sz w:val="22"/>
          <w:rtl w:val="true"/>
        </w:rPr>
        <w:t>סוף דבר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אציע לחבריי לקבל באופן חלקי </w:t>
      </w:r>
      <w:r>
        <w:rPr>
          <w:rFonts w:ascii="Century" w:hAnsi="Century" w:cs="Century"/>
          <w:sz w:val="22"/>
          <w:sz w:val="22"/>
          <w:rtl w:val="true"/>
        </w:rPr>
        <w:t>את הערעור על הכרעת הדין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כאמור לעיל בפסקה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FrankRuehl" w:hAnsi="FrankRuehl" w:cs="FrankRuehl"/>
          <w:rtl w:val="true"/>
        </w:rPr>
        <w:fldChar w:fldCharType="begin"/>
      </w:r>
      <w:r>
        <w:rPr>
          <w:rtl w:val="true"/>
          <w:rFonts w:ascii="FrankRuehl" w:hAnsi="FrankRuehl" w:cs="FrankRuehl"/>
        </w:rPr>
        <w:instrText xml:space="preserve"> REF _Ref51673169 \r \r \h </w:instrText>
      </w:r>
      <w:r>
        <w:rPr>
          <w:rtl w:val="true"/>
          <w:rFonts w:ascii="FrankRuehl" w:hAnsi="FrankRuehl" w:cs="FrankRuehl"/>
        </w:rPr>
        <w:fldChar w:fldCharType="separate"/>
      </w:r>
      <w:r>
        <w:rPr>
          <w:rtl w:val="true"/>
          <w:rFonts w:ascii="FrankRuehl" w:hAnsi="FrankRuehl" w:cs="FrankRuehl"/>
        </w:rPr>
        <w:t>15</w:t>
      </w:r>
      <w:r>
        <w:rPr>
          <w:rtl w:val="true"/>
          <w:rFonts w:ascii="FrankRuehl" w:hAnsi="FrankRuehl" w:cs="FrankRuehl"/>
        </w:rPr>
        <w:fldChar w:fldCharType="end"/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ולדחות את</w:t>
      </w:r>
      <w:r>
        <w:rPr>
          <w:rtl w:val="true"/>
        </w:rPr>
        <w:t xml:space="preserve"> הערעור על גזר הדין</w:t>
      </w:r>
      <w:r>
        <w:rPr>
          <w:rtl w:val="true"/>
        </w:rPr>
        <w:t>.</w:t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hanging="0"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הנדל</w:t>
      </w:r>
      <w:r>
        <w:rPr>
          <w:rtl w:val="true"/>
        </w:rPr>
        <w:t>:</w:t>
      </w:r>
    </w:p>
    <w:p>
      <w:pPr>
        <w:pStyle w:val="Ruller4"/>
        <w:ind w:hanging="0"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"/>
        <w:ind w:hanging="0" w:end="0"/>
        <w:jc w:val="end"/>
        <w:rPr/>
      </w:pPr>
      <w:r>
        <w:rPr>
          <w:rtl w:val="true"/>
        </w:rPr>
        <w:tab/>
        <w:tab/>
        <w:tab/>
        <w:tab/>
        <w:tab/>
        <w:tab/>
        <w:tab/>
        <w:tab/>
        <w:tab/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hanging="0"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ברון</w:t>
      </w:r>
      <w:r>
        <w:rPr>
          <w:rtl w:val="true"/>
        </w:rPr>
        <w:t>:</w:t>
      </w:r>
    </w:p>
    <w:p>
      <w:pPr>
        <w:pStyle w:val="Ruller4"/>
        <w:ind w:hanging="0"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 xml:space="preserve">. </w:t>
      </w:r>
    </w:p>
    <w:p>
      <w:pPr>
        <w:pStyle w:val="Ruller4"/>
        <w:ind w:hanging="0" w:end="0"/>
        <w:jc w:val="end"/>
        <w:rPr/>
      </w:pPr>
      <w:r>
        <w:rPr>
          <w:rtl w:val="true"/>
        </w:rPr>
        <w:tab/>
        <w:tab/>
        <w:tab/>
        <w:tab/>
        <w:tab/>
        <w:tab/>
        <w:tab/>
        <w:tab/>
        <w:tab/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</w:p>
    <w:p>
      <w:pPr>
        <w:pStyle w:val="Ruller4"/>
        <w:ind w:end="0"/>
        <w:jc w:val="both"/>
        <w:rPr/>
      </w:pP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tl w:val="true"/>
        </w:rPr>
        <w:t xml:space="preserve">. </w:t>
      </w:r>
    </w:p>
    <w:p>
      <w:pPr>
        <w:pStyle w:val="Ruller4"/>
        <w:ind w:hanging="0" w:end="0"/>
        <w:jc w:val="both"/>
        <w:rPr/>
      </w:pPr>
      <w:bookmarkStart w:id="18" w:name="Nitan"/>
      <w:r>
        <w:rPr>
          <w:color w:val="FFFFFF"/>
          <w:sz w:val="2"/>
          <w:szCs w:val="2"/>
        </w:rPr>
        <w:t>5129371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בתשרי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1.10.2020</w:t>
      </w:r>
      <w:r>
        <w:rPr>
          <w:rtl w:val="true"/>
        </w:rPr>
        <w:t xml:space="preserve">). </w:t>
      </w:r>
      <w:bookmarkEnd w:id="18"/>
    </w:p>
    <w:p>
      <w:pPr>
        <w:pStyle w:val="Ruller4"/>
        <w:ind w:hanging="0"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ab/>
        <w:tab/>
        <w:tab/>
      </w:r>
      <w:r>
        <w:rPr>
          <w:rtl w:val="true"/>
        </w:rPr>
        <w:tab/>
      </w:r>
      <w:r>
        <w:rPr>
          <w:rtl w:val="true"/>
        </w:rPr>
        <w:tab/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ab/>
        <w:tab/>
        <w:tab/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19017810</w:t>
      </w:r>
      <w:r>
        <w:rPr>
          <w:sz w:val="16"/>
          <w:rtl w:val="true"/>
        </w:rPr>
        <w:t>_</w:t>
      </w:r>
      <w:r>
        <w:rPr>
          <w:sz w:val="16"/>
        </w:rPr>
        <w:t>J04.docx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עע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44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הנדל </w:t>
      </w:r>
      <w:r>
        <w:rPr>
          <w:rFonts w:cs="David" w:ascii="David" w:hAnsi="David"/>
          <w:color w:val="000000"/>
          <w:szCs w:val="22"/>
        </w:rPr>
        <w:t>54678313-1781/19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45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46"/>
      <w:footerReference w:type="default" r:id="rId47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entury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16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1781/19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דימטרי קדיוליץ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907"/>
        </w:tabs>
        <w:ind w:start="0" w:hanging="0"/>
      </w:pPr>
      <w:rPr>
        <w:lang w:val="en-US" w:bidi="he-I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Ruller4"/>
    <w:next w:val="Ruller41"/>
    <w:qFormat/>
    <w:pPr>
      <w:keepNext w:val="true"/>
      <w:numPr>
        <w:ilvl w:val="0"/>
        <w:numId w:val="1"/>
      </w:numPr>
      <w:spacing w:before="360" w:after="360"/>
      <w:ind w:hanging="0" w:start="0" w:end="0"/>
      <w:jc w:val="start"/>
      <w:outlineLvl w:val="0"/>
    </w:pPr>
    <w:rPr>
      <w:rFonts w:ascii="Century" w:hAnsi="Century" w:cs="Miriam"/>
      <w:b/>
      <w:spacing w:val="0"/>
      <w:szCs w:val="24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lang w:val="en-US" w:bidi="he-I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CharChar3">
    <w:name w:val=" Char Char3"/>
    <w:qFormat/>
    <w:rPr>
      <w:rFonts w:ascii="Century" w:hAnsi="Century" w:cs="Miriam"/>
      <w:b/>
      <w:sz w:val="22"/>
      <w:szCs w:val="24"/>
    </w:rPr>
  </w:style>
  <w:style w:type="character" w:styleId="Emphasis">
    <w:name w:val="Emphasis"/>
    <w:qFormat/>
    <w:rPr>
      <w:rFonts w:ascii="Century" w:hAnsi="Century" w:cs="Miriam"/>
      <w:b/>
      <w:spacing w:val="0"/>
      <w:szCs w:val="24"/>
    </w:rPr>
  </w:style>
  <w:style w:type="character" w:styleId="QuoteChar">
    <w:name w:val="Quote Char"/>
    <w:qFormat/>
    <w:rPr>
      <w:rFonts w:ascii="Arial TUR;Arial" w:hAnsi="Arial TUR;Arial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4">
    <w:name w:val="Ruller4"/>
    <w:basedOn w:val="Normal"/>
    <w:qFormat/>
    <w:pPr>
      <w:spacing w:lineRule="auto" w:line="360" w:before="0" w:after="360"/>
      <w:ind w:firstLine="799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2"/>
      </w:numPr>
      <w:spacing w:before="0" w:after="420"/>
    </w:pPr>
    <w:rPr>
      <w:rFonts w:ascii="Garamond" w:hAnsi="Garamond" w:cs="Garamond"/>
      <w:sz w:val="28"/>
    </w:rPr>
  </w:style>
  <w:style w:type="paragraph" w:styleId="Quote">
    <w:name w:val="Quote"/>
    <w:basedOn w:val="Normal"/>
    <w:next w:val="Normal"/>
    <w:qFormat/>
    <w:pPr>
      <w:spacing w:before="0" w:after="420"/>
      <w:ind w:hanging="0" w:start="1644" w:end="1276"/>
      <w:contextualSpacing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0996170" TargetMode="External"/><Relationship Id="rId3" Type="http://schemas.openxmlformats.org/officeDocument/2006/relationships/hyperlink" Target="http://www.nevo.co.il/law/98569" TargetMode="External"/><Relationship Id="rId4" Type="http://schemas.openxmlformats.org/officeDocument/2006/relationships/hyperlink" Target="http://www.nevo.co.il/law/98569/10a" TargetMode="External"/><Relationship Id="rId5" Type="http://schemas.openxmlformats.org/officeDocument/2006/relationships/hyperlink" Target="http://www.nevo.co.il/law/98569/54a.a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29" TargetMode="External"/><Relationship Id="rId8" Type="http://schemas.openxmlformats.org/officeDocument/2006/relationships/hyperlink" Target="http://www.nevo.co.il/law/70301/29.b" TargetMode="External"/><Relationship Id="rId9" Type="http://schemas.openxmlformats.org/officeDocument/2006/relationships/hyperlink" Target="http://www.nevo.co.il/law/70301/83" TargetMode="External"/><Relationship Id="rId10" Type="http://schemas.openxmlformats.org/officeDocument/2006/relationships/hyperlink" Target="http://www.nevo.co.il/law/70301/428" TargetMode="External"/><Relationship Id="rId11" Type="http://schemas.openxmlformats.org/officeDocument/2006/relationships/hyperlink" Target="http://www.nevo.co.il/law/70301/499.a.1" TargetMode="External"/><Relationship Id="rId12" Type="http://schemas.openxmlformats.org/officeDocument/2006/relationships/hyperlink" Target="http://www.nevo.co.il/law/70305" TargetMode="External"/><Relationship Id="rId13" Type="http://schemas.openxmlformats.org/officeDocument/2006/relationships/hyperlink" Target="http://www.nevo.co.il/case/20996170" TargetMode="External"/><Relationship Id="rId14" Type="http://schemas.openxmlformats.org/officeDocument/2006/relationships/hyperlink" Target="http://www.nevo.co.il/law/98569/10a" TargetMode="External"/><Relationship Id="rId15" Type="http://schemas.openxmlformats.org/officeDocument/2006/relationships/hyperlink" Target="http://www.nevo.co.il/law/98569" TargetMode="External"/><Relationship Id="rId16" Type="http://schemas.openxmlformats.org/officeDocument/2006/relationships/hyperlink" Target="http://www.nevo.co.il/law/70301/428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499.a.1" TargetMode="External"/><Relationship Id="rId19" Type="http://schemas.openxmlformats.org/officeDocument/2006/relationships/hyperlink" Target="http://www.nevo.co.il/law/70301/428" TargetMode="External"/><Relationship Id="rId20" Type="http://schemas.openxmlformats.org/officeDocument/2006/relationships/hyperlink" Target="http://www.nevo.co.il/law/70301/29.b" TargetMode="External"/><Relationship Id="rId21" Type="http://schemas.openxmlformats.org/officeDocument/2006/relationships/hyperlink" Target="http://www.nevo.co.il/law/70301/83" TargetMode="External"/><Relationship Id="rId22" Type="http://schemas.openxmlformats.org/officeDocument/2006/relationships/hyperlink" Target="http://www.nevo.co.il/law/70301/428" TargetMode="External"/><Relationship Id="rId23" Type="http://schemas.openxmlformats.org/officeDocument/2006/relationships/hyperlink" Target="http://www.nevo.co.il/law/70301/29.b" TargetMode="External"/><Relationship Id="rId24" Type="http://schemas.openxmlformats.org/officeDocument/2006/relationships/hyperlink" Target="http://www.nevo.co.il/law/70301/428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98569/10a" TargetMode="External"/><Relationship Id="rId27" Type="http://schemas.openxmlformats.org/officeDocument/2006/relationships/hyperlink" Target="http://www.nevo.co.il/law/98569" TargetMode="External"/><Relationship Id="rId28" Type="http://schemas.openxmlformats.org/officeDocument/2006/relationships/hyperlink" Target="http://www.nevo.co.il/law/98569/54a.a" TargetMode="External"/><Relationship Id="rId29" Type="http://schemas.openxmlformats.org/officeDocument/2006/relationships/hyperlink" Target="http://www.nevo.co.il/law/98569" TargetMode="External"/><Relationship Id="rId30" Type="http://schemas.openxmlformats.org/officeDocument/2006/relationships/hyperlink" Target="http://www.nevo.co.il/case/7681184" TargetMode="External"/><Relationship Id="rId31" Type="http://schemas.openxmlformats.org/officeDocument/2006/relationships/hyperlink" Target="http://www.nevo.co.il/law/70301/428" TargetMode="External"/><Relationship Id="rId32" Type="http://schemas.openxmlformats.org/officeDocument/2006/relationships/hyperlink" Target="http://www.nevo.co.il/law/70301/29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law/70301/428" TargetMode="External"/><Relationship Id="rId35" Type="http://schemas.openxmlformats.org/officeDocument/2006/relationships/hyperlink" Target="http://www.nevo.co.il/law/70301/29" TargetMode="External"/><Relationship Id="rId36" Type="http://schemas.openxmlformats.org/officeDocument/2006/relationships/hyperlink" Target="http://www.nevo.co.il/law/70301/428" TargetMode="External"/><Relationship Id="rId37" Type="http://schemas.openxmlformats.org/officeDocument/2006/relationships/hyperlink" Target="http://www.nevo.co.il/law/70301/29" TargetMode="External"/><Relationship Id="rId38" Type="http://schemas.openxmlformats.org/officeDocument/2006/relationships/hyperlink" Target="http://www.nevo.co.il/law/70301" TargetMode="External"/><Relationship Id="rId39" Type="http://schemas.openxmlformats.org/officeDocument/2006/relationships/hyperlink" Target="http://www.nevo.co.il/law/70301/428" TargetMode="External"/><Relationship Id="rId40" Type="http://schemas.openxmlformats.org/officeDocument/2006/relationships/hyperlink" Target="http://www.nevo.co.il/law/70301/29" TargetMode="External"/><Relationship Id="rId41" Type="http://schemas.openxmlformats.org/officeDocument/2006/relationships/hyperlink" Target="http://www.nevo.co.il/case/26272196" TargetMode="External"/><Relationship Id="rId42" Type="http://schemas.openxmlformats.org/officeDocument/2006/relationships/hyperlink" Target="http://www.nevo.co.il/law/70305" TargetMode="External"/><Relationship Id="rId43" Type="http://schemas.openxmlformats.org/officeDocument/2006/relationships/hyperlink" Target="http://www.nevo.co.il/case/25512388" TargetMode="External"/><Relationship Id="rId44" Type="http://schemas.openxmlformats.org/officeDocument/2006/relationships/hyperlink" Target="http://supreme.court.gov.il/" TargetMode="External"/><Relationship Id="rId45" Type="http://schemas.openxmlformats.org/officeDocument/2006/relationships/hyperlink" Target="http://www.nevo.co.il/advertisements/nevo-100.doc" TargetMode="External"/><Relationship Id="rId46" Type="http://schemas.openxmlformats.org/officeDocument/2006/relationships/header" Target="header1.xml"/><Relationship Id="rId47" Type="http://schemas.openxmlformats.org/officeDocument/2006/relationships/footer" Target="footer1.xml"/><Relationship Id="rId48" Type="http://schemas.openxmlformats.org/officeDocument/2006/relationships/numbering" Target="numbering.xml"/><Relationship Id="rId49" Type="http://schemas.openxmlformats.org/officeDocument/2006/relationships/fontTable" Target="fontTable.xml"/><Relationship Id="rId50" Type="http://schemas.openxmlformats.org/officeDocument/2006/relationships/settings" Target="settings.xml"/><Relationship Id="rId5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2020-10-04T08:01:00Z</dcterms:created>
  <dc:creator>h4</dc:creator>
  <dc:description/>
  <cp:keywords/>
  <dc:language>en-IL</dc:language>
  <cp:lastModifiedBy>orly</cp:lastModifiedBy>
  <cp:lastPrinted>2020-10-01T09:22:00Z</cp:lastPrinted>
  <dcterms:modified xsi:type="dcterms:W3CDTF">2020-10-04T08:01:00Z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דימטרי קדיוליץ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ProcID=276&amp;PartA=10222&amp;PartC=05</vt:lpwstr>
  </property>
  <property fmtid="{D5CDD505-2E9C-101B-9397-08002B2CF9AE}" pid="9" name="CASESLISTTMP1">
    <vt:lpwstr>20996170:2;7681184;26272196;25512388</vt:lpwstr>
  </property>
  <property fmtid="{D5CDD505-2E9C-101B-9397-08002B2CF9AE}" pid="10" name="CITY">
    <vt:lpwstr/>
  </property>
  <property fmtid="{D5CDD505-2E9C-101B-9397-08002B2CF9AE}" pid="11" name="DATE">
    <vt:lpwstr>20201001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נ' הנדל;ע' ברון;י' אלרון</vt:lpwstr>
  </property>
  <property fmtid="{D5CDD505-2E9C-101B-9397-08002B2CF9AE}" pid="15" name="LAWLISTTMP1">
    <vt:lpwstr>98569/010a:2;054a.a</vt:lpwstr>
  </property>
  <property fmtid="{D5CDD505-2E9C-101B-9397-08002B2CF9AE}" pid="16" name="LAWLISTTMP2">
    <vt:lpwstr>70301/428:8;499.a.1;029.b:2;083;029:4</vt:lpwstr>
  </property>
  <property fmtid="{D5CDD505-2E9C-101B-9397-08002B2CF9AE}" pid="17" name="LAWLISTTMP3">
    <vt:lpwstr>70305</vt:lpwstr>
  </property>
  <property fmtid="{D5CDD505-2E9C-101B-9397-08002B2CF9AE}" pid="18" name="LAWYER">
    <vt:lpwstr>חיים שוויצר;בנימין גריקו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METAKZER">
    <vt:lpwstr>פאני</vt:lpwstr>
  </property>
  <property fmtid="{D5CDD505-2E9C-101B-9397-08002B2CF9AE}" pid="25" name="NEWPARTA">
    <vt:lpwstr/>
  </property>
  <property fmtid="{D5CDD505-2E9C-101B-9397-08002B2CF9AE}" pid="26" name="NEWPARTB">
    <vt:lpwstr/>
  </property>
  <property fmtid="{D5CDD505-2E9C-101B-9397-08002B2CF9AE}" pid="27" name="NEWPARTC">
    <vt:lpwstr/>
  </property>
  <property fmtid="{D5CDD505-2E9C-101B-9397-08002B2CF9AE}" pid="28" name="NEWPROC">
    <vt:lpwstr/>
  </property>
  <property fmtid="{D5CDD505-2E9C-101B-9397-08002B2CF9AE}" pid="29" name="NOSE11">
    <vt:lpwstr>ראיות</vt:lpwstr>
  </property>
  <property fmtid="{D5CDD505-2E9C-101B-9397-08002B2CF9AE}" pid="30" name="NOSE110">
    <vt:lpwstr/>
  </property>
  <property fmtid="{D5CDD505-2E9C-101B-9397-08002B2CF9AE}" pid="31" name="NOSE12">
    <vt:lpwstr>ראיות</vt:lpwstr>
  </property>
  <property fmtid="{D5CDD505-2E9C-101B-9397-08002B2CF9AE}" pid="32" name="NOSE13">
    <vt:lpwstr>דיון פלילי</vt:lpwstr>
  </property>
  <property fmtid="{D5CDD505-2E9C-101B-9397-08002B2CF9AE}" pid="33" name="NOSE14">
    <vt:lpwstr>עונשין</vt:lpwstr>
  </property>
  <property fmtid="{D5CDD505-2E9C-101B-9397-08002B2CF9AE}" pid="34" name="NOSE15">
    <vt:lpwstr>עונשין</vt:lpwstr>
  </property>
  <property fmtid="{D5CDD505-2E9C-101B-9397-08002B2CF9AE}" pid="35" name="NOSE16">
    <vt:lpwstr/>
  </property>
  <property fmtid="{D5CDD505-2E9C-101B-9397-08002B2CF9AE}" pid="36" name="NOSE17">
    <vt:lpwstr/>
  </property>
  <property fmtid="{D5CDD505-2E9C-101B-9397-08002B2CF9AE}" pid="37" name="NOSE18">
    <vt:lpwstr/>
  </property>
  <property fmtid="{D5CDD505-2E9C-101B-9397-08002B2CF9AE}" pid="38" name="NOSE19">
    <vt:lpwstr/>
  </property>
  <property fmtid="{D5CDD505-2E9C-101B-9397-08002B2CF9AE}" pid="39" name="NOSE1ID">
    <vt:lpwstr>89;89;18;77;77</vt:lpwstr>
  </property>
  <property fmtid="{D5CDD505-2E9C-101B-9397-08002B2CF9AE}" pid="40" name="NOSE21">
    <vt:lpwstr>חיזוק</vt:lpwstr>
  </property>
  <property fmtid="{D5CDD505-2E9C-101B-9397-08002B2CF9AE}" pid="41" name="NOSE210">
    <vt:lpwstr/>
  </property>
  <property fmtid="{D5CDD505-2E9C-101B-9397-08002B2CF9AE}" pid="42" name="NOSE22">
    <vt:lpwstr>הודעה</vt:lpwstr>
  </property>
  <property fmtid="{D5CDD505-2E9C-101B-9397-08002B2CF9AE}" pid="43" name="NOSE23">
    <vt:lpwstr>ערעור</vt:lpwstr>
  </property>
  <property fmtid="{D5CDD505-2E9C-101B-9397-08002B2CF9AE}" pid="44" name="NOSE24">
    <vt:lpwstr>ענישה</vt:lpwstr>
  </property>
  <property fmtid="{D5CDD505-2E9C-101B-9397-08002B2CF9AE}" pid="45" name="NOSE25">
    <vt:lpwstr>ענישה</vt:lpwstr>
  </property>
  <property fmtid="{D5CDD505-2E9C-101B-9397-08002B2CF9AE}" pid="46" name="NOSE26">
    <vt:lpwstr/>
  </property>
  <property fmtid="{D5CDD505-2E9C-101B-9397-08002B2CF9AE}" pid="47" name="NOSE27">
    <vt:lpwstr/>
  </property>
  <property fmtid="{D5CDD505-2E9C-101B-9397-08002B2CF9AE}" pid="48" name="NOSE28">
    <vt:lpwstr/>
  </property>
  <property fmtid="{D5CDD505-2E9C-101B-9397-08002B2CF9AE}" pid="49" name="NOSE29">
    <vt:lpwstr/>
  </property>
  <property fmtid="{D5CDD505-2E9C-101B-9397-08002B2CF9AE}" pid="50" name="NOSE2ID">
    <vt:lpwstr>1628;1623;504;1446;1446</vt:lpwstr>
  </property>
  <property fmtid="{D5CDD505-2E9C-101B-9397-08002B2CF9AE}" pid="51" name="NOSE31">
    <vt:lpwstr>חיזור מוגבר</vt:lpwstr>
  </property>
  <property fmtid="{D5CDD505-2E9C-101B-9397-08002B2CF9AE}" pid="52" name="NOSE310">
    <vt:lpwstr/>
  </property>
  <property fmtid="{D5CDD505-2E9C-101B-9397-08002B2CF9AE}" pid="53" name="NOSE32">
    <vt:lpwstr>הודעה מפלילה של שותף לאישום</vt:lpwstr>
  </property>
  <property fmtid="{D5CDD505-2E9C-101B-9397-08002B2CF9AE}" pid="54" name="NOSE33">
    <vt:lpwstr>אי-התערבות בממצאים עובדתיים</vt:lpwstr>
  </property>
  <property fmtid="{D5CDD505-2E9C-101B-9397-08002B2CF9AE}" pid="55" name="NOSE34">
    <vt:lpwstr>מדיניות ענישה: עבירות נגד קשישים</vt:lpwstr>
  </property>
  <property fmtid="{D5CDD505-2E9C-101B-9397-08002B2CF9AE}" pid="56" name="NOSE35">
    <vt:lpwstr>מדיניות ענישה: סחיטה באיומים</vt:lpwstr>
  </property>
  <property fmtid="{D5CDD505-2E9C-101B-9397-08002B2CF9AE}" pid="57" name="NOSE36">
    <vt:lpwstr/>
  </property>
  <property fmtid="{D5CDD505-2E9C-101B-9397-08002B2CF9AE}" pid="58" name="NOSE37">
    <vt:lpwstr/>
  </property>
  <property fmtid="{D5CDD505-2E9C-101B-9397-08002B2CF9AE}" pid="59" name="NOSE38">
    <vt:lpwstr/>
  </property>
  <property fmtid="{D5CDD505-2E9C-101B-9397-08002B2CF9AE}" pid="60" name="NOSE39">
    <vt:lpwstr/>
  </property>
  <property fmtid="{D5CDD505-2E9C-101B-9397-08002B2CF9AE}" pid="61" name="NOSE3ID">
    <vt:lpwstr>;10084;3849;14903;16809</vt:lpwstr>
  </property>
  <property fmtid="{D5CDD505-2E9C-101B-9397-08002B2CF9AE}" pid="62" name="PADIDATE">
    <vt:lpwstr>20201004</vt:lpwstr>
  </property>
  <property fmtid="{D5CDD505-2E9C-101B-9397-08002B2CF9AE}" pid="63" name="PADIMAIL">
    <vt:lpwstr>YES</vt:lpwstr>
  </property>
  <property fmtid="{D5CDD505-2E9C-101B-9397-08002B2CF9AE}" pid="64" name="PAGE">
    <vt:lpwstr/>
  </property>
  <property fmtid="{D5CDD505-2E9C-101B-9397-08002B2CF9AE}" pid="65" name="PART">
    <vt:lpwstr/>
  </property>
  <property fmtid="{D5CDD505-2E9C-101B-9397-08002B2CF9AE}" pid="66" name="PROCESS">
    <vt:lpwstr>עפ</vt:lpwstr>
  </property>
  <property fmtid="{D5CDD505-2E9C-101B-9397-08002B2CF9AE}" pid="67" name="PROCNUM">
    <vt:lpwstr>1781</vt:lpwstr>
  </property>
  <property fmtid="{D5CDD505-2E9C-101B-9397-08002B2CF9AE}" pid="68" name="PROCYEAR">
    <vt:lpwstr>19</vt:lpwstr>
  </property>
  <property fmtid="{D5CDD505-2E9C-101B-9397-08002B2CF9AE}" pid="69" name="PSAKDIN">
    <vt:lpwstr>פסק-דין</vt:lpwstr>
  </property>
  <property fmtid="{D5CDD505-2E9C-101B-9397-08002B2CF9AE}" pid="70" name="TYPE">
    <vt:lpwstr>1</vt:lpwstr>
  </property>
  <property fmtid="{D5CDD505-2E9C-101B-9397-08002B2CF9AE}" pid="71" name="TYPE_ABS_DATE">
    <vt:lpwstr>410120201001</vt:lpwstr>
  </property>
  <property fmtid="{D5CDD505-2E9C-101B-9397-08002B2CF9AE}" pid="72" name="TYPE_N_DATE">
    <vt:lpwstr>41020201001</vt:lpwstr>
  </property>
  <property fmtid="{D5CDD505-2E9C-101B-9397-08002B2CF9AE}" pid="73" name="VOLUME">
    <vt:lpwstr/>
  </property>
  <property fmtid="{D5CDD505-2E9C-101B-9397-08002B2CF9AE}" pid="74" name="WORDNUMPAGES">
    <vt:lpwstr>15</vt:lpwstr>
  </property>
</Properties>
</file>