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1810/22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ארי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17651-07-20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30.1.2022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3.5.2022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סוקר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קינן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אקתרינה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רנקו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הילה שמיר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גישות פמיניסטיות לרגולציה של הזנות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מבט אוהד על הפער שבין המשפט עלי ספר לבין המשפט בפעולה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חברה ותרבות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מסדירים רגולציה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משפט ומדיניות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2016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121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אליקים רובינשטיין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סחר בבני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אדם לעיסוק בזנות – עד קצוי הבושה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עד שורשי החובה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קרית המשפט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ב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2002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15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 -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134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220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220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5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0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2000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205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ג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8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איסור צריכת זנות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הוראת שעה ותיקון חקיקה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2019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bookmarkStart w:id="11" w:name="ABSTRACT_START"/>
      <w:bookmarkEnd w:id="11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 חרף שיקולי השיקום בעניינה של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שהורשעה בעבירות של </w:t>
      </w:r>
      <w:r>
        <w:rPr>
          <w:rFonts w:ascii="Times New Roman" w:hAnsi="Times New Roman" w:cs="Times New Roman"/>
          <w:spacing w:val="0"/>
          <w:szCs w:val="26"/>
          <w:rtl w:val="true"/>
        </w:rPr>
        <w:t>סרסרות למעשה זנות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ועבירות כלכליות הקשורות לכך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המאסר בפועל בן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החודשים שהושת עליה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מעניק משקל מספק לחומרת העבירות שבהן הורשעה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ולפיכך החמיר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שיעמוד על </w:t>
      </w:r>
      <w:r>
        <w:rPr>
          <w:rFonts w:cs="Times New Roman" w:ascii="Times New Roman" w:hAnsi="Times New Roman"/>
          <w:spacing w:val="0"/>
          <w:szCs w:val="26"/>
        </w:rPr>
        <w:t>36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סרסרות למעשי זנות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כלכליות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ערעור – התערבות במידת העונש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המשיבה הורשעה בעבירות של סרסרות למעשה זנות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החזקת מקום לשם זנות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פרסום שירותי זנות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השמטת הכנסה מתוך דו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שיש לכללה בדו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במזיד ובכוונה להתחמק ממס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שימוש במרמה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ערמה או תחבולה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במזיד ובכוונה להתחמק ממס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הלבנת הון אסורה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ופעולה ברכוש אסור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גזר על המשיבה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מאסרים על תנאי וקנס בסך </w:t>
      </w:r>
      <w:r>
        <w:rPr>
          <w:rFonts w:cs="Times New Roman" w:ascii="Times New Roman" w:hAnsi="Times New Roman"/>
          <w:spacing w:val="0"/>
          <w:szCs w:val="26"/>
        </w:rPr>
        <w:t>200,000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 ולחלופין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נוספים תמורתו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הוטל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חילוט סכום של </w:t>
      </w:r>
      <w:r>
        <w:rPr>
          <w:rFonts w:cs="Times New Roman" w:ascii="Times New Roman" w:hAnsi="Times New Roman"/>
          <w:spacing w:val="0"/>
          <w:szCs w:val="26"/>
        </w:rPr>
        <w:t>1.4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מיליון 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מכספי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עסקינן ב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המדינה על קולת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המשנה לנשיאה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פוגלמן ובהסכמת השופטים סולברג וברק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אמנם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לא תיטה להתערב בחומרת העונש שהטילה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המקרה דנן בא בקהל המקרים החריגים שבהם מוצדקת התערבות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אמנם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המקרה ניתן היה לחרוג ממתחם העונש ההולם בגין 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אך </w:t>
      </w:r>
      <w:r>
        <w:rPr>
          <w:rFonts w:ascii="Times New Roman" w:hAnsi="Times New Roman" w:cs="Times New Roman"/>
          <w:spacing w:val="0"/>
          <w:szCs w:val="26"/>
          <w:rtl w:val="true"/>
        </w:rPr>
        <w:t>אף בשים לב להליכי השיקום של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האיזון שערך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כשגזר את עונשה של המשיבה מקל עמה באופן חריג ביחס לנסיבות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כבר נפסק אודות </w:t>
      </w:r>
      <w:r>
        <w:rPr>
          <w:rFonts w:ascii="Times New Roman" w:hAnsi="Times New Roman" w:cs="Times New Roman"/>
          <w:spacing w:val="0"/>
          <w:szCs w:val="26"/>
          <w:rtl w:val="true"/>
        </w:rPr>
        <w:t>השימוש הזהיר שראוי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לעשות 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חריגה ממתחם הענישה בשל 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המשיבה מצויה בהליך שיקומי משמעותי וממושך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והוא </w:t>
      </w:r>
      <w:r>
        <w:rPr>
          <w:rFonts w:ascii="Times New Roman" w:hAnsi="Times New Roman" w:cs="Times New Roman"/>
          <w:spacing w:val="0"/>
          <w:szCs w:val="26"/>
          <w:rtl w:val="true"/>
        </w:rPr>
        <w:t>הוביל להפחתה בסיכון בעניינה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המשיבה מביעה חרטה ומדבריה משתקפים הבנת הפסול שבמעשיה ורצונה העז לקיים אורח חיים נורמטיבי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גורמי הטיפול הביעו עמדה שלפיה עונש המאסר בפועל שהוטל על המשיבה עשוי לפגום בהליך השיקום שלה ובמשפחתה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שיקולים כבדי משקל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שהוטל על המשיבה לא מעניק משקל מספק לחומרת העבירות שבהן הורשעה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פרק זמן של 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המשיבה ניהלה והפעילה בית בושת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שבו הועסקו נשים רבות ואשר פעל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ימים בשבוע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והפיקה ממנו הכנסות על סך 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מיליון 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במקביל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פעלה המשיבה להסוואת התנהלותה העבריינית ולהשאת רווחיה מהעסק הלא חוקי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עסקינן בעבירות חמורות וממושכות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שפוגעות עמוקות בכבודן של הנשים שעבדו בבית הבושת שניהלה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 שנקבעו לצורך מיגור תופעת הזנות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ובהן גם העבירות שבהן הורשעה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נועדו להגן על נשים וגברים בזנות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שפעמים רבות משתייכים לקבוצות המוחלשות ביותר בחברה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נאלצים להתמודד עם מאפייניה הפוגעניים ועם השלכותיה הקשות של תופעה 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המשיבה הורשעה גם בעבירות כלכליות שטומנות בחובן פגיעה בקופה הציבורית ובעקרון השוויון בנשיאה בנטל המס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 הכלכליות נעשו בסכומי כסף גבוהים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ואופן ביצוען מעיד על תכנון מוקדם ותחכום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</w:t>
      </w:r>
      <w:r>
        <w:rPr>
          <w:rFonts w:ascii="Times New Roman" w:hAnsi="Times New Roman" w:cs="Times New Roman"/>
          <w:spacing w:val="0"/>
          <w:szCs w:val="26"/>
          <w:rtl w:val="true"/>
        </w:rPr>
        <w:t>וג העבירות הכלכליות שביצעה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נסיבות ביצוען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מצדיקות ענישה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וכח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לכלל שלפיו אין ערכאת הערעור נוהגת למצות את חומרת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המאסר בפועל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הועמד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</w:t>
      </w:r>
      <w:r>
        <w:rPr>
          <w:rFonts w:cs="Times New Roman" w:ascii="Times New Roman" w:hAnsi="Times New Roman"/>
          <w:spacing w:val="0"/>
          <w:szCs w:val="26"/>
        </w:rPr>
        <w:t>36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חלקי גזר הדין יעמדו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spacing w:lineRule="auto" w:line="360"/>
        <w:ind w:end="0"/>
        <w:jc w:val="both"/>
        <w:rPr>
          <w:rFonts w:ascii="Century" w:hAnsi="Century" w:cs="Miriam"/>
          <w:b/>
          <w:spacing w:val="0"/>
          <w:szCs w:val="24"/>
        </w:rPr>
      </w:pPr>
      <w:bookmarkStart w:id="17" w:name="Writer_Name"/>
      <w:bookmarkEnd w:id="17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  <w:bookmarkStart w:id="18" w:name="Start_Write"/>
      <w:bookmarkStart w:id="19" w:name="Start_Write"/>
      <w:bookmarkEnd w:id="19"/>
    </w:p>
    <w:p>
      <w:pPr>
        <w:pStyle w:val="Ruller43"/>
        <w:numPr>
          <w:ilvl w:val="0"/>
          <w:numId w:val="0"/>
        </w:numPr>
        <w:ind w:hanging="0" w:start="0" w:end="0"/>
        <w:jc w:val="both"/>
        <w:textAlignment w:val="auto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המשי</w:t>
      </w:r>
      <w:r>
        <w:rPr>
          <w:rFonts w:ascii="Century" w:hAnsi="Century" w:cs="Century"/>
          <w:sz w:val="22"/>
          <w:sz w:val="22"/>
          <w:rtl w:val="true"/>
        </w:rPr>
        <w:t>בה הורשעה על פי הודאתה במסגרת הסדר טיעון בעבירות של סרסרות למעשה זנות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החזקת מקום לשם זנות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פרסום שירותי זנות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השמטת הכנסה מתוך דו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שיש לכללה בדו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במזיד ובכוונה להתחמק ממס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שימוש במרמה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ערמה או תחבולה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במזיד ובכוונה להתחמק ממס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הלבנת הון אסורה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ופעולה ברכוש אסור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המשפט המחוזי בתל אביב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יפו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כב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גזר על המשיבה </w:t>
      </w:r>
      <w:r>
        <w:rPr>
          <w:rFonts w:cs="Century" w:ascii="Century" w:hAnsi="Century"/>
          <w:sz w:val="22"/>
        </w:rPr>
        <w:t>24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חודשי מאסר בפועל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בניכוי ימי מעצרה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מאסרים על תנאי כמפורט בגזר הדין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וקנס בסך </w:t>
      </w:r>
      <w:r>
        <w:rPr>
          <w:rFonts w:cs="Century" w:ascii="Century" w:hAnsi="Century"/>
          <w:sz w:val="22"/>
        </w:rPr>
        <w:t>200,000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ח ולחלופין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נוספים תמורתו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הורה בית המשפט על חילוט סכום של </w:t>
      </w:r>
      <w:r>
        <w:rPr>
          <w:rFonts w:cs="Century" w:ascii="Century" w:hAnsi="Century"/>
          <w:sz w:val="22"/>
        </w:rPr>
        <w:t>1.4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מיליון 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מכספי המשיבה לקרן החילוט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לפנינו ערעור המדינה על קולת העונש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כתב האישום המתוקן מיום </w:t>
      </w:r>
      <w:r>
        <w:rPr/>
        <w:t>11.5.2021</w:t>
      </w:r>
      <w:r>
        <w:rPr>
          <w:rtl w:val="true"/>
        </w:rPr>
        <w:t xml:space="preserve">, </w:t>
      </w:r>
      <w:r>
        <w:rPr>
          <w:rtl w:val="true"/>
        </w:rPr>
        <w:t>מייחס למשיבה מעורבות בשלושה אישומים</w:t>
      </w:r>
      <w:r>
        <w:rPr>
          <w:rtl w:val="true"/>
        </w:rPr>
        <w:t xml:space="preserve">. </w:t>
      </w:r>
      <w:r>
        <w:rPr>
          <w:rtl w:val="true"/>
        </w:rPr>
        <w:t xml:space="preserve">על פי האישומים הראשון והשני </w:t>
      </w:r>
      <w:r>
        <w:rPr>
          <w:rtl w:val="true"/>
        </w:rPr>
        <w:t>(</w:t>
      </w:r>
      <w:r>
        <w:rPr>
          <w:rtl w:val="true"/>
        </w:rPr>
        <w:t>שני אישומים אלה יכונו להלן ביחד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הראשונים</w:t>
      </w:r>
      <w:r>
        <w:rPr>
          <w:rtl w:val="true"/>
        </w:rPr>
        <w:t xml:space="preserve">), </w:t>
      </w:r>
      <w:r>
        <w:rPr>
          <w:rtl w:val="true"/>
        </w:rPr>
        <w:t xml:space="preserve">בין חודש אוקטובר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 xml:space="preserve">לבין יום </w:t>
      </w:r>
      <w:r>
        <w:rPr/>
        <w:t>19.3.2018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הפעילות</w:t>
      </w:r>
      <w:r>
        <w:rPr>
          <w:rtl w:val="true"/>
        </w:rPr>
        <w:t xml:space="preserve">) </w:t>
      </w:r>
      <w:r>
        <w:rPr>
          <w:rtl w:val="true"/>
        </w:rPr>
        <w:t>הפעילה וניהלה המשיבה באמצעות אחרים בית בושת שבו סופקו שירותי מין בתשלום בבניין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הבושת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העסק</w:t>
      </w:r>
      <w:r>
        <w:rPr>
          <w:rtl w:val="true"/>
        </w:rPr>
        <w:t xml:space="preserve">). </w:t>
      </w:r>
      <w:r>
        <w:rPr>
          <w:rtl w:val="true"/>
        </w:rPr>
        <w:t>לצורך הסתרת פעילות בית הבושת וההכנסות שמופקות ממנו</w:t>
      </w:r>
      <w:r>
        <w:rPr>
          <w:rtl w:val="true"/>
        </w:rPr>
        <w:t xml:space="preserve">, </w:t>
      </w:r>
      <w:r>
        <w:rPr>
          <w:rtl w:val="true"/>
        </w:rPr>
        <w:t>שילמה המשיבה אלפי ש</w:t>
      </w:r>
      <w:r>
        <w:rPr>
          <w:rtl w:val="true"/>
        </w:rPr>
        <w:t>"</w:t>
      </w:r>
      <w:r>
        <w:rPr>
          <w:rtl w:val="true"/>
        </w:rPr>
        <w:t>ח באופן חודשי לאישה בשם 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האחרת</w:t>
      </w:r>
      <w:r>
        <w:rPr>
          <w:rtl w:val="true"/>
        </w:rPr>
        <w:t xml:space="preserve">) </w:t>
      </w:r>
      <w:r>
        <w:rPr>
          <w:rtl w:val="true"/>
        </w:rPr>
        <w:t>עבור ניהול בית הבושת וניקיונו</w:t>
      </w:r>
      <w:r>
        <w:rPr>
          <w:rtl w:val="true"/>
        </w:rPr>
        <w:t xml:space="preserve">; </w:t>
      </w:r>
      <w:r>
        <w:rPr>
          <w:rtl w:val="true"/>
        </w:rPr>
        <w:t>עבור הצגתה של האחרת כבעלת העסק בפני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רשויות המס</w:t>
      </w:r>
      <w:r>
        <w:rPr>
          <w:rtl w:val="true"/>
        </w:rPr>
        <w:t xml:space="preserve">, </w:t>
      </w:r>
      <w:r>
        <w:rPr>
          <w:rtl w:val="true"/>
        </w:rPr>
        <w:t>בנקים והמשטרה</w:t>
      </w:r>
      <w:r>
        <w:rPr>
          <w:rtl w:val="true"/>
        </w:rPr>
        <w:t xml:space="preserve">; </w:t>
      </w:r>
      <w:r>
        <w:rPr>
          <w:rtl w:val="true"/>
        </w:rPr>
        <w:t>ועבור ניהול שוטף של בית הבושת לרבות התקשרות מול ספקים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בהנחיית המשיבה</w:t>
      </w:r>
      <w:r>
        <w:rPr>
          <w:rtl w:val="true"/>
        </w:rPr>
        <w:t xml:space="preserve">, </w:t>
      </w:r>
      <w:r>
        <w:rPr>
          <w:rtl w:val="true"/>
        </w:rPr>
        <w:t>עובר לתקופת הפעילות</w:t>
      </w:r>
      <w:r>
        <w:rPr>
          <w:rtl w:val="true"/>
        </w:rPr>
        <w:t xml:space="preserve">, </w:t>
      </w:r>
      <w:r>
        <w:rPr>
          <w:rtl w:val="true"/>
        </w:rPr>
        <w:t>נרשמה האחרת כעוסק מורשה ברשות המסים</w:t>
      </w:r>
      <w:r>
        <w:rPr>
          <w:rtl w:val="true"/>
        </w:rPr>
        <w:t xml:space="preserve">, </w:t>
      </w:r>
      <w:r>
        <w:rPr>
          <w:rtl w:val="true"/>
        </w:rPr>
        <w:t>וזאת לצורך הסוואת פעילות העסק ומטרתו</w:t>
      </w:r>
      <w:r>
        <w:rPr>
          <w:rtl w:val="true"/>
        </w:rPr>
        <w:t xml:space="preserve">; </w:t>
      </w:r>
      <w:r>
        <w:rPr>
          <w:rtl w:val="true"/>
        </w:rPr>
        <w:t xml:space="preserve">ובחודש יולי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 xml:space="preserve">הנחתה המשיבה את האחרת לחתום על חוזה שכירות עבור הפעלת בית הבושת תמורת תשלום חודשי של </w:t>
      </w:r>
      <w:r>
        <w:rPr/>
        <w:t>7,000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אשר שולם מכספי האתנן</w:t>
      </w:r>
      <w:r>
        <w:rPr>
          <w:rtl w:val="true"/>
        </w:rPr>
        <w:t xml:space="preserve">. </w:t>
      </w:r>
      <w:r>
        <w:rPr>
          <w:rtl w:val="true"/>
        </w:rPr>
        <w:t>לאחר החתימה על חוזה השכירות</w:t>
      </w:r>
      <w:r>
        <w:rPr>
          <w:rtl w:val="true"/>
        </w:rPr>
        <w:t xml:space="preserve">, </w:t>
      </w:r>
      <w:r>
        <w:rPr>
          <w:rtl w:val="true"/>
        </w:rPr>
        <w:t xml:space="preserve">במשך תקופה של חודשיים ערכה המשיבה שיפוץ בנכס על מנת להתאימו לצרכי בית הבושת כך שיכלול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חדרי טיפול ובהם מיטות עיסוי ומקלחות נפרדות</w:t>
      </w:r>
      <w:r>
        <w:rPr>
          <w:rtl w:val="true"/>
        </w:rPr>
        <w:t xml:space="preserve">, </w:t>
      </w:r>
      <w:r>
        <w:rPr>
          <w:rtl w:val="true"/>
        </w:rPr>
        <w:t>וחדר נוסף שיכלול מיטת עיסוי וג</w:t>
      </w:r>
      <w:r>
        <w:rPr>
          <w:rtl w:val="true"/>
        </w:rPr>
        <w:t>'</w:t>
      </w:r>
      <w:r>
        <w:rPr>
          <w:rtl w:val="true"/>
        </w:rPr>
        <w:t>קוזי</w:t>
      </w:r>
      <w:r>
        <w:rPr>
          <w:rtl w:val="true"/>
        </w:rPr>
        <w:t xml:space="preserve">. </w:t>
      </w:r>
      <w:r>
        <w:rPr>
          <w:rtl w:val="true"/>
        </w:rPr>
        <w:t xml:space="preserve">עוד צוין באישומים הראשונים כי במהלך תקופת הפעילות ולכל היותר עד לסוף שנת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 xml:space="preserve">סייע למשיבה אדם נוסף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בנוגע לאופן הפעלת העסק</w:t>
      </w:r>
      <w:r>
        <w:rPr>
          <w:rtl w:val="true"/>
        </w:rPr>
        <w:t xml:space="preserve">, </w:t>
      </w:r>
      <w:r>
        <w:rPr>
          <w:rtl w:val="true"/>
        </w:rPr>
        <w:t>כעולה מן האישומים הראשונים</w:t>
      </w:r>
      <w:r>
        <w:rPr>
          <w:rtl w:val="true"/>
        </w:rPr>
        <w:t xml:space="preserve">, </w:t>
      </w:r>
      <w:r>
        <w:rPr>
          <w:rtl w:val="true"/>
        </w:rPr>
        <w:t xml:space="preserve">המשיבה קבעה שבית הבושת יפעל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 בשבוע</w:t>
      </w:r>
      <w:r>
        <w:rPr>
          <w:rtl w:val="true"/>
        </w:rPr>
        <w:t xml:space="preserve">, </w:t>
      </w:r>
      <w:r>
        <w:rPr>
          <w:rtl w:val="true"/>
        </w:rPr>
        <w:t xml:space="preserve">במתכונת של כשתי משמרות יומיות ובסך הכול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משמרות שבועיות</w:t>
      </w:r>
      <w:r>
        <w:rPr>
          <w:rtl w:val="true"/>
        </w:rPr>
        <w:t xml:space="preserve">; </w:t>
      </w:r>
      <w:r>
        <w:rPr>
          <w:rtl w:val="true"/>
        </w:rPr>
        <w:t xml:space="preserve">בכל משמרת </w:t>
      </w:r>
      <w:r>
        <w:rPr/>
        <w:t>7-5</w:t>
      </w:r>
      <w:r>
        <w:rPr>
          <w:rtl w:val="true"/>
        </w:rPr>
        <w:t xml:space="preserve"> </w:t>
      </w:r>
      <w:r>
        <w:rPr>
          <w:rtl w:val="true"/>
        </w:rPr>
        <w:t>נשים סיפקו שירותי מין בתמורה לתשלום 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10</w:t>
      </w:r>
      <w:r>
        <w:rPr>
          <w:rtl w:val="true"/>
        </w:rPr>
        <w:t xml:space="preserve"> "</w:t>
      </w:r>
      <w:r>
        <w:rPr>
          <w:rtl w:val="true"/>
        </w:rPr>
        <w:t>לקוחות</w:t>
      </w:r>
      <w:r>
        <w:rPr>
          <w:rtl w:val="true"/>
        </w:rPr>
        <w:t xml:space="preserve">" </w:t>
      </w:r>
      <w:r>
        <w:rPr>
          <w:rtl w:val="true"/>
        </w:rPr>
        <w:t>לכל אישה</w:t>
      </w:r>
      <w:r>
        <w:rPr>
          <w:rtl w:val="true"/>
        </w:rPr>
        <w:t xml:space="preserve">. </w:t>
      </w:r>
      <w:r>
        <w:rPr>
          <w:rtl w:val="true"/>
        </w:rPr>
        <w:t>המשיבה קבעה את תעריפי פעילות בית הבושת</w:t>
      </w:r>
      <w:r>
        <w:rPr>
          <w:rtl w:val="true"/>
        </w:rPr>
        <w:t xml:space="preserve">, </w:t>
      </w:r>
      <w:r>
        <w:rPr>
          <w:rtl w:val="true"/>
        </w:rPr>
        <w:t>כשמחצית התשלום שולם לאישה שסיפקה את שירותי המין ומחציתו הועברה למשיבה בתום המשמרת</w:t>
      </w:r>
      <w:r>
        <w:rPr>
          <w:rtl w:val="true"/>
        </w:rPr>
        <w:t xml:space="preserve">. </w:t>
      </w:r>
      <w:r>
        <w:rPr>
          <w:rtl w:val="true"/>
        </w:rPr>
        <w:t>בנוסף לקביעת אופן פעילות העסק</w:t>
      </w:r>
      <w:r>
        <w:rPr>
          <w:rtl w:val="true"/>
        </w:rPr>
        <w:t xml:space="preserve">, </w:t>
      </w:r>
      <w:r>
        <w:rPr>
          <w:rtl w:val="true"/>
        </w:rPr>
        <w:t>המשיבה פרסמה בהיקף נרחב את בית הבושת ושירותי המין שמוצעים בו במסגרת מקומונים</w:t>
      </w:r>
      <w:r>
        <w:rPr>
          <w:rtl w:val="true"/>
        </w:rPr>
        <w:t xml:space="preserve">, </w:t>
      </w:r>
      <w:r>
        <w:rPr>
          <w:rtl w:val="true"/>
        </w:rPr>
        <w:t>אתרי אינטרנט או באמצעות חלוקת כרטיסי ביקור על ידה או על ידי האחרת</w:t>
      </w:r>
      <w:r>
        <w:rPr>
          <w:rtl w:val="true"/>
        </w:rPr>
        <w:t xml:space="preserve">, </w:t>
      </w:r>
      <w:r>
        <w:rPr>
          <w:rtl w:val="true"/>
        </w:rPr>
        <w:t>והעסיקה איש תחזוקה לצורך תיקון ליקויים בבית הבושת</w:t>
      </w:r>
      <w:r>
        <w:rPr>
          <w:rtl w:val="true"/>
        </w:rPr>
        <w:t xml:space="preserve">. </w:t>
      </w:r>
      <w:r>
        <w:rPr>
          <w:rtl w:val="true"/>
        </w:rPr>
        <w:t xml:space="preserve">עוד במסגרת פעילות בית הבושת העסיקה המשיבה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נשים נוספות כפקידות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הפקידות</w:t>
      </w:r>
      <w:r>
        <w:rPr>
          <w:rtl w:val="true"/>
        </w:rPr>
        <w:t xml:space="preserve">) </w:t>
      </w:r>
      <w:r>
        <w:rPr>
          <w:rtl w:val="true"/>
        </w:rPr>
        <w:t>אשר סייעו בניהול העסק לצד האחרת והאחר</w:t>
      </w:r>
      <w:r>
        <w:rPr>
          <w:rtl w:val="true"/>
        </w:rPr>
        <w:t xml:space="preserve">. </w:t>
      </w:r>
      <w:r>
        <w:rPr>
          <w:rtl w:val="true"/>
        </w:rPr>
        <w:t>יוער כי הפקידות הואשמו אף הן במסגרת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10.5.2021</w:t>
      </w:r>
      <w:r>
        <w:rPr>
          <w:rtl w:val="true"/>
        </w:rPr>
        <w:t xml:space="preserve"> </w:t>
      </w:r>
      <w:r>
        <w:rPr>
          <w:rtl w:val="true"/>
        </w:rPr>
        <w:t xml:space="preserve">הורשעו על פי הודאתן במסגרת הסדר </w:t>
      </w:r>
      <w:r>
        <w:rPr>
          <w:rtl w:val="true"/>
        </w:rPr>
        <w:t>טיעון בעבירות</w:t>
      </w:r>
      <w:r>
        <w:rPr>
          <w:rtl w:val="true"/>
        </w:rPr>
        <w:t xml:space="preserve"> של סיוע לסרסרות למעשה זנות והחזקת מקום לשם זנות</w:t>
      </w:r>
      <w:r>
        <w:rPr>
          <w:rtl w:val="true"/>
        </w:rPr>
        <w:t xml:space="preserve">; </w:t>
      </w:r>
      <w:r>
        <w:rPr>
          <w:rtl w:val="true"/>
        </w:rPr>
        <w:t>טרם ניתן גזר דין בעניינן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בהתאם לאישום השני</w:t>
      </w:r>
      <w:r>
        <w:rPr>
          <w:rtl w:val="true"/>
        </w:rPr>
        <w:t xml:space="preserve">, </w:t>
      </w:r>
      <w:r>
        <w:rPr>
          <w:rtl w:val="true"/>
        </w:rPr>
        <w:t>במהלך תקופת הפעילות הפיקה המשיבה מן העסק הכנסות בסכום של כ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שעליהן לא דיווחה כדין לרשות המסים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בסיועה של האחרת לאורך תקופת הפעילות</w:t>
      </w:r>
      <w:r>
        <w:rPr>
          <w:rtl w:val="true"/>
        </w:rPr>
        <w:t xml:space="preserve">, </w:t>
      </w:r>
      <w:r>
        <w:rPr>
          <w:rtl w:val="true"/>
        </w:rPr>
        <w:t>ובסיועו של האחר בתקופה הרלוונטית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בכל אחת משנות המס בתקופת הפעילות</w:t>
      </w:r>
      <w:r>
        <w:rPr>
          <w:rtl w:val="true"/>
        </w:rPr>
        <w:t xml:space="preserve">, </w:t>
      </w:r>
      <w:r>
        <w:rPr>
          <w:rtl w:val="true"/>
        </w:rPr>
        <w:t xml:space="preserve">המשיבה לא הודיעה לפקיד השומה על פתיחת העסק כמצוות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134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>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הכנסה</w:t>
      </w:r>
      <w:r>
        <w:rPr>
          <w:rtl w:val="true"/>
        </w:rPr>
        <w:t xml:space="preserve">); </w:t>
      </w:r>
      <w:r>
        <w:rPr>
          <w:rtl w:val="true"/>
        </w:rPr>
        <w:t>לא ניהלה ספרים</w:t>
      </w:r>
      <w:r>
        <w:rPr>
          <w:rtl w:val="true"/>
        </w:rPr>
        <w:t xml:space="preserve">, </w:t>
      </w:r>
      <w:r>
        <w:rPr>
          <w:rtl w:val="true"/>
        </w:rPr>
        <w:t>פנקסי חשבונות ורשומות כדין על הכנסותיה שנובעות מן העסק או שנובעות מעיסוקה כמנהלת</w:t>
      </w:r>
      <w:r>
        <w:rPr>
          <w:rtl w:val="true"/>
        </w:rPr>
        <w:t xml:space="preserve">, </w:t>
      </w:r>
      <w:r>
        <w:rPr>
          <w:rtl w:val="true"/>
        </w:rPr>
        <w:t>ולא הפיקה חשבוניות או קבלות בגין פעילות העסק</w:t>
      </w:r>
      <w:r>
        <w:rPr>
          <w:rtl w:val="true"/>
        </w:rPr>
        <w:t xml:space="preserve">; </w:t>
      </w:r>
      <w:r>
        <w:rPr>
          <w:rtl w:val="true"/>
        </w:rPr>
        <w:t>שילמה במזומן את הוצאות העסק בגין פרסום</w:t>
      </w:r>
      <w:r>
        <w:rPr>
          <w:rtl w:val="true"/>
        </w:rPr>
        <w:t xml:space="preserve">, </w:t>
      </w:r>
      <w:r>
        <w:rPr>
          <w:rtl w:val="true"/>
        </w:rPr>
        <w:t>שכירות הנכס והחלפת המגבות בבית הבושת</w:t>
      </w:r>
      <w:r>
        <w:rPr>
          <w:rtl w:val="true"/>
        </w:rPr>
        <w:t xml:space="preserve">, </w:t>
      </w:r>
      <w:r>
        <w:rPr>
          <w:rtl w:val="true"/>
        </w:rPr>
        <w:t>באמצעות האחרת או אחרים נוספים</w:t>
      </w:r>
      <w:r>
        <w:rPr>
          <w:rtl w:val="true"/>
        </w:rPr>
        <w:t xml:space="preserve">; </w:t>
      </w:r>
      <w:r>
        <w:rPr>
          <w:rtl w:val="true"/>
        </w:rPr>
        <w:t>שילמה לאחרת כמתואר לעיל</w:t>
      </w:r>
      <w:r>
        <w:rPr>
          <w:rtl w:val="true"/>
        </w:rPr>
        <w:t xml:space="preserve">, </w:t>
      </w:r>
      <w:r>
        <w:rPr>
          <w:rtl w:val="true"/>
        </w:rPr>
        <w:t>במטרה להסוות את בעלותה בעסק</w:t>
      </w:r>
      <w:r>
        <w:rPr>
          <w:rtl w:val="true"/>
        </w:rPr>
        <w:t xml:space="preserve">; </w:t>
      </w:r>
      <w:r>
        <w:rPr>
          <w:rtl w:val="true"/>
        </w:rPr>
        <w:t>והעלימה את הכנסותיה מן העסק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האישום השלישי</w:t>
      </w:r>
      <w:r>
        <w:rPr>
          <w:rtl w:val="true"/>
        </w:rPr>
        <w:t xml:space="preserve">, </w:t>
      </w:r>
      <w:r>
        <w:rPr>
          <w:rtl w:val="true"/>
        </w:rPr>
        <w:t>סכום הכסף שאותו הפיקה המשיבה מהכנסות הנכס כמתואר באישום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הינו </w:t>
      </w:r>
      <w:r>
        <w:rPr>
          <w:rtl w:val="true"/>
        </w:rPr>
        <w:t>"</w:t>
      </w:r>
      <w:r>
        <w:rPr>
          <w:rtl w:val="true"/>
        </w:rPr>
        <w:t>רכוש אסור</w:t>
      </w:r>
      <w:r>
        <w:rPr>
          <w:rtl w:val="true"/>
        </w:rPr>
        <w:t xml:space="preserve">" </w:t>
      </w:r>
      <w:r>
        <w:rPr>
          <w:rtl w:val="true"/>
        </w:rPr>
        <w:t xml:space="preserve">שעלה מעבירות מקור לפי 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הון</w:t>
      </w:r>
      <w:r>
        <w:rPr>
          <w:rtl w:val="true"/>
        </w:rPr>
        <w:t xml:space="preserve">), </w:t>
      </w:r>
      <w:r>
        <w:rPr>
          <w:rtl w:val="true"/>
        </w:rPr>
        <w:t>ואשר מקורו בעבירות שמתוארות באישום הראשון</w:t>
      </w:r>
      <w:r>
        <w:rPr>
          <w:rtl w:val="true"/>
        </w:rPr>
        <w:t xml:space="preserve">. </w:t>
      </w:r>
      <w:r>
        <w:rPr>
          <w:rtl w:val="true"/>
        </w:rPr>
        <w:t>עוד צוין במסגרת האישום השלישי</w:t>
      </w:r>
      <w:r>
        <w:rPr>
          <w:rtl w:val="true"/>
        </w:rPr>
        <w:t xml:space="preserve">, </w:t>
      </w:r>
      <w:r>
        <w:rPr>
          <w:rtl w:val="true"/>
        </w:rPr>
        <w:t>כי המשיבה נקטה בפעולות שיטתיות ועקביות על מנת להסתיר ולהסוות את מקור ההכנסות מן העסק</w:t>
      </w:r>
      <w:r>
        <w:rPr>
          <w:rtl w:val="true"/>
        </w:rPr>
        <w:t xml:space="preserve">, </w:t>
      </w:r>
      <w:r>
        <w:rPr>
          <w:rtl w:val="true"/>
        </w:rPr>
        <w:t>בנוסף למתואר בכתב האישום השני</w:t>
      </w:r>
      <w:r>
        <w:rPr>
          <w:rtl w:val="true"/>
        </w:rPr>
        <w:t xml:space="preserve">: </w:t>
      </w:r>
      <w:r>
        <w:rPr>
          <w:rtl w:val="true"/>
        </w:rPr>
        <w:t>המשיבה הנחתה את האחרת לפתוח חשבון בנק עסקי על שמה של האחרת לצורך ניהול הכנסות בית הבושת</w:t>
      </w:r>
      <w:r>
        <w:rPr>
          <w:rtl w:val="true"/>
        </w:rPr>
        <w:t xml:space="preserve">, </w:t>
      </w:r>
      <w:r>
        <w:rPr>
          <w:rtl w:val="true"/>
        </w:rPr>
        <w:t xml:space="preserve">כאשר בפועל ביצעה המשיבה פעולות בחשבון זה </w:t>
      </w:r>
      <w:r>
        <w:rPr>
          <w:rtl w:val="true"/>
        </w:rPr>
        <w:t>(</w:t>
      </w:r>
      <w:r>
        <w:rPr>
          <w:rtl w:val="true"/>
        </w:rPr>
        <w:t xml:space="preserve">סך מחזור הכספים בחשבון בנק זה במהלך שנות הפעילות עמד על </w:t>
      </w:r>
      <w:r>
        <w:rPr/>
        <w:t>9,673,883.88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עוד כעולה מאישום זה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בחודש אוקטובר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המשיבה הטמיעה סכום של כמיליון ש</w:t>
      </w:r>
      <w:r>
        <w:rPr>
          <w:rtl w:val="true"/>
        </w:rPr>
        <w:t>"</w:t>
      </w:r>
      <w:r>
        <w:rPr>
          <w:rtl w:val="true"/>
        </w:rPr>
        <w:t>ח במסגרת רכישת דירה</w:t>
      </w:r>
      <w:r>
        <w:rPr>
          <w:rtl w:val="true"/>
        </w:rPr>
        <w:t xml:space="preserve">, </w:t>
      </w:r>
      <w:r>
        <w:rPr>
          <w:rtl w:val="true"/>
        </w:rPr>
        <w:t>אשר נרשמה על שם בת זוגה</w:t>
      </w:r>
      <w:r>
        <w:rPr>
          <w:rtl w:val="true"/>
        </w:rPr>
        <w:t xml:space="preserve">, </w:t>
      </w:r>
      <w:r>
        <w:rPr>
          <w:rtl w:val="true"/>
        </w:rPr>
        <w:t>תוך ערבוב הסכום המתואר עם מקורות כספיים חוקיים שניטלו כהלוואה</w:t>
      </w:r>
      <w:r>
        <w:rPr>
          <w:rtl w:val="true"/>
        </w:rPr>
        <w:t xml:space="preserve">, </w:t>
      </w:r>
      <w:r>
        <w:rPr>
          <w:rtl w:val="true"/>
        </w:rPr>
        <w:t>ואף החזירה את ההלוואה לרכישת הדירה באמצעות כסף מזומן מהכנסות העסק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מעשים אלה יוחסו למשיבה בכתב האישום המתוקן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עבירת סרסרות למעשה זנות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החזקת מקום לשם זנות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204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פרסום שירותי זנות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205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לחוק זה </w:t>
      </w:r>
      <w:r>
        <w:rPr>
          <w:rtl w:val="true"/>
        </w:rPr>
        <w:t>(</w:t>
      </w:r>
      <w:r>
        <w:rPr>
          <w:rtl w:val="true"/>
        </w:rPr>
        <w:t>העבירות לפי חוק העונשין יכונו 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הזנות</w:t>
      </w:r>
      <w:r>
        <w:rPr>
          <w:rtl w:val="true"/>
        </w:rPr>
        <w:t xml:space="preserve">); </w:t>
      </w:r>
      <w:r>
        <w:rPr>
          <w:rtl w:val="true"/>
        </w:rPr>
        <w:t>ריבוי עבירות של השמטת הכנסה מתוך דו</w:t>
      </w:r>
      <w:r>
        <w:rPr>
          <w:rtl w:val="true"/>
        </w:rPr>
        <w:t>"</w:t>
      </w:r>
      <w:r>
        <w:rPr>
          <w:rtl w:val="true"/>
        </w:rPr>
        <w:t>ח שיש לכללה בדו</w:t>
      </w:r>
      <w:r>
        <w:rPr>
          <w:rtl w:val="true"/>
        </w:rPr>
        <w:t>"</w:t>
      </w:r>
      <w:r>
        <w:rPr>
          <w:rtl w:val="true"/>
        </w:rPr>
        <w:t>ח במזיד ובכוונה להתחמק ממס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; </w:t>
      </w:r>
      <w:r>
        <w:rPr>
          <w:rtl w:val="true"/>
        </w:rPr>
        <w:t>ושל שימוש במרמה</w:t>
      </w:r>
      <w:r>
        <w:rPr>
          <w:rtl w:val="true"/>
        </w:rPr>
        <w:t xml:space="preserve">, </w:t>
      </w:r>
      <w:r>
        <w:rPr>
          <w:rtl w:val="true"/>
        </w:rPr>
        <w:t>ערמה או תחבולה</w:t>
      </w:r>
      <w:r>
        <w:rPr>
          <w:rtl w:val="true"/>
        </w:rPr>
        <w:t xml:space="preserve">, </w:t>
      </w:r>
      <w:r>
        <w:rPr>
          <w:rtl w:val="true"/>
        </w:rPr>
        <w:t>במזיד ובכוונה להתחמק ממס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 מס הכנסה</w:t>
      </w:r>
      <w:r>
        <w:rPr>
          <w:rtl w:val="true"/>
        </w:rPr>
        <w:t xml:space="preserve">; </w:t>
      </w:r>
      <w:r>
        <w:rPr>
          <w:rtl w:val="true"/>
        </w:rPr>
        <w:t>ועבירות הלבנת הון אסורה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; </w:t>
      </w:r>
      <w:r>
        <w:rPr>
          <w:rtl w:val="true"/>
        </w:rPr>
        <w:t>ופעולה ברכוש אסור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איסור הלבנת הון </w:t>
      </w:r>
      <w:r>
        <w:rPr>
          <w:rtl w:val="true"/>
        </w:rPr>
        <w:t>(</w:t>
      </w:r>
      <w:r>
        <w:rPr>
          <w:rtl w:val="true"/>
        </w:rPr>
        <w:t>העבירות לפי פקודת מס הכנסה ולפי חוק איסור הלבנת הון יכונו 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הכלכליות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המשיבה הודתה במעשים במסגרת הסדר טיעון שלא כלל הסכמה לעניין העונש</w:t>
      </w:r>
      <w:r>
        <w:rPr>
          <w:rtl w:val="true"/>
        </w:rPr>
        <w:t xml:space="preserve">, </w:t>
      </w:r>
      <w:r>
        <w:rPr>
          <w:rtl w:val="true"/>
        </w:rPr>
        <w:t xml:space="preserve">אך הוסכם כי רכיב החילוט יעמוד על סך </w:t>
      </w:r>
      <w:r>
        <w:rPr/>
        <w:t>1,400,000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12.5.2021</w:t>
      </w:r>
      <w:r>
        <w:rPr>
          <w:rtl w:val="true"/>
        </w:rPr>
        <w:t xml:space="preserve"> </w:t>
      </w:r>
      <w:r>
        <w:rPr>
          <w:rtl w:val="true"/>
        </w:rPr>
        <w:t>הרשיע 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שגיא</w:t>
      </w:r>
      <w:r>
        <w:rPr>
          <w:rtl w:val="true"/>
        </w:rPr>
        <w:t xml:space="preserve">) </w:t>
      </w:r>
      <w:r>
        <w:rPr>
          <w:rtl w:val="true"/>
        </w:rPr>
        <w:t>את המשיבה על פי הודאתה בעבירות המתוארות</w:t>
      </w:r>
      <w:r>
        <w:rPr>
          <w:rtl w:val="true"/>
        </w:rPr>
        <w:t xml:space="preserve">. </w:t>
      </w:r>
      <w:r>
        <w:rPr>
          <w:rtl w:val="true"/>
        </w:rPr>
        <w:t>בהסכמת הצדדים</w:t>
      </w:r>
      <w:r>
        <w:rPr>
          <w:rtl w:val="true"/>
        </w:rPr>
        <w:t xml:space="preserve">, </w:t>
      </w:r>
      <w:r>
        <w:rPr>
          <w:rtl w:val="true"/>
        </w:rPr>
        <w:t>הורה בית המשפט על עריכת תסקיר שירות מבחן בעניינה של המשיבה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2.1.2022</w:t>
      </w:r>
      <w:r>
        <w:rPr>
          <w:rtl w:val="true"/>
        </w:rPr>
        <w:t xml:space="preserve"> </w:t>
      </w:r>
      <w:r>
        <w:rPr>
          <w:rtl w:val="true"/>
        </w:rPr>
        <w:t xml:space="preserve">הגיש שירות המבחן למבוגרים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tl w:val="true"/>
        </w:rPr>
        <w:t xml:space="preserve">) </w:t>
      </w:r>
      <w:r>
        <w:rPr>
          <w:rtl w:val="true"/>
        </w:rPr>
        <w:t>את התסקיר</w:t>
      </w:r>
      <w:r>
        <w:rPr>
          <w:rtl w:val="true"/>
        </w:rPr>
        <w:t xml:space="preserve">, </w:t>
      </w:r>
      <w:r>
        <w:rPr>
          <w:rtl w:val="true"/>
        </w:rPr>
        <w:t>שבגדרו המליץ על הטלת מאסר בעבודות שירות ברף הגבוה ככל שתימצא המשיבה מתאימה לביצוען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וצו שירות מבחן לתקופה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בסיס התרשמות שירות המבחן מנכונותה של המשיבה להמשיך בהליך הטיפולי ובהליך השיקום</w:t>
      </w:r>
      <w:r>
        <w:rPr>
          <w:rtl w:val="true"/>
        </w:rPr>
        <w:t xml:space="preserve">, </w:t>
      </w:r>
      <w:r>
        <w:rPr>
          <w:rtl w:val="true"/>
        </w:rPr>
        <w:t>וכן התהליך השיקומי המשמעותי שעברה אשר מפחית את הסיכון שנשקף ממנה</w:t>
      </w:r>
      <w:r>
        <w:rPr>
          <w:rtl w:val="true"/>
        </w:rPr>
        <w:t xml:space="preserve">. </w:t>
      </w:r>
      <w:r>
        <w:rPr>
          <w:rtl w:val="true"/>
        </w:rPr>
        <w:t>עוד צוין בתסקיר כי עונש מאסר בפועל יקטע את הליך השיקום של המשיבה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6.1.2022</w:t>
      </w:r>
      <w:r>
        <w:rPr>
          <w:rtl w:val="true"/>
        </w:rPr>
        <w:t xml:space="preserve"> </w:t>
      </w:r>
      <w:r>
        <w:rPr>
          <w:rtl w:val="true"/>
        </w:rPr>
        <w:t>התקיים דיון במעמד הצדדים</w:t>
      </w:r>
      <w:r>
        <w:rPr>
          <w:rtl w:val="true"/>
        </w:rPr>
        <w:t xml:space="preserve">, </w:t>
      </w:r>
      <w:r>
        <w:rPr>
          <w:rtl w:val="true"/>
        </w:rPr>
        <w:t>שבמסגרתו הובאו ראיות מטעם המשיבה לעניין העונש</w:t>
      </w:r>
      <w:r>
        <w:rPr>
          <w:rtl w:val="true"/>
        </w:rPr>
        <w:t xml:space="preserve">. </w:t>
      </w:r>
      <w:r>
        <w:rPr>
          <w:rtl w:val="true"/>
        </w:rPr>
        <w:t xml:space="preserve">המערערת עתרה לקבוע מתחם ענישה בן </w:t>
      </w:r>
      <w:r>
        <w:rPr/>
        <w:t>6-4</w:t>
      </w:r>
      <w:r>
        <w:rPr>
          <w:rtl w:val="true"/>
        </w:rPr>
        <w:t xml:space="preserve"> </w:t>
      </w:r>
      <w:r>
        <w:rPr>
          <w:rtl w:val="true"/>
        </w:rPr>
        <w:t>שנות מאסר בפועל בגין עבירות הזנות</w:t>
      </w:r>
      <w:r>
        <w:rPr>
          <w:rtl w:val="true"/>
        </w:rPr>
        <w:t xml:space="preserve">, </w:t>
      </w:r>
      <w:r>
        <w:rPr>
          <w:rtl w:val="true"/>
        </w:rPr>
        <w:t xml:space="preserve">מתחם דומה בגין העבירות הכלכליות וקנס כספי בסך </w:t>
      </w:r>
      <w:r>
        <w:rPr/>
        <w:t>20-10</w:t>
      </w:r>
      <w:r>
        <w:rPr>
          <w:rtl w:val="true"/>
        </w:rPr>
        <w:t xml:space="preserve"> </w:t>
      </w:r>
      <w:r>
        <w:rPr>
          <w:rtl w:val="true"/>
        </w:rPr>
        <w:t>אחוזים מגובה הסכום לגביו ביצעה המשיבה את העבירות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 xml:space="preserve">ביום </w:t>
      </w:r>
      <w:r>
        <w:rPr/>
        <w:t>30.1.2022</w:t>
      </w:r>
      <w:r>
        <w:rPr>
          <w:rtl w:val="true"/>
        </w:rPr>
        <w:t xml:space="preserve"> </w:t>
      </w:r>
      <w:r>
        <w:rPr>
          <w:rtl w:val="true"/>
        </w:rPr>
        <w:t>גזר בית המשפט המחוזי את דינה של המשיבה כמפורט ברישה לפסק הדין</w:t>
      </w:r>
      <w:r>
        <w:rPr>
          <w:rtl w:val="true"/>
        </w:rPr>
        <w:t xml:space="preserve">. </w:t>
      </w:r>
      <w:r>
        <w:rPr>
          <w:rtl w:val="true"/>
        </w:rPr>
        <w:t xml:space="preserve">בהסכמת הצדדים קבע בית המשפט שני מתחמי ענישה נפרדים בהתאם לסוג העבירות </w:t>
      </w:r>
      <w:r>
        <w:rPr>
          <w:rtl w:val="true"/>
        </w:rPr>
        <w:t>(</w:t>
      </w:r>
      <w:r>
        <w:rPr>
          <w:rtl w:val="true"/>
        </w:rPr>
        <w:t>מתחם ענישה אחד עבור עבירות הזנות ומתחם ענישה שני עבור העבירות הכלכליות</w:t>
      </w:r>
      <w:r>
        <w:rPr>
          <w:rtl w:val="true"/>
        </w:rPr>
        <w:t xml:space="preserve">); </w:t>
      </w:r>
      <w:r>
        <w:rPr>
          <w:rtl w:val="true"/>
        </w:rPr>
        <w:t>וכי על המשיבה ייגזר עונש כולל בשים לב להרשעתה ברצף מעשים אשר קשורים זה בזה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בנוגע לעבירות הזנות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</w:t>
      </w:r>
      <w:r>
        <w:rPr>
          <w:rFonts w:ascii="Century" w:hAnsi="Century" w:cs="Century"/>
          <w:rtl w:val="true"/>
        </w:rPr>
        <w:t>עמד על הערכים המוגנים שנפגעו ממעשיה של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ובהם פגיעה בכבודן ובנפשן של נשים שנמצאות במעגל הזנות וניצולן לעשיית רווחים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הנסיבות שקשורות בביצוע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תקופת הפעילות הממושכת של בית הבושת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וחלקה המשמעותי של המשיבה בניהול העסק ובביצוע העבירות</w:t>
      </w:r>
      <w:r>
        <w:rPr>
          <w:rtl w:val="true"/>
        </w:rPr>
        <w:t xml:space="preserve">. </w:t>
      </w:r>
      <w:r>
        <w:rPr>
          <w:rtl w:val="true"/>
        </w:rPr>
        <w:t>לצד זאת הדגיש בית המשפט</w:t>
      </w:r>
      <w:r>
        <w:rPr>
          <w:rtl w:val="true"/>
        </w:rPr>
        <w:t xml:space="preserve">, </w:t>
      </w:r>
      <w:r>
        <w:rPr>
          <w:rtl w:val="true"/>
        </w:rPr>
        <w:t>כי בעת ביצוע עבירות הזנות המשיבה לא נקטה במדיניות כוחנית או בריונית כלפי הנשים שעבדו בבית הבושת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עמד על מדיניות הענישה הנוהגת בעבירות זנות וקבע כי מתחם העונש ההולם ביחס לעבירות אלה יעמוד על בין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בנוגע לעבירות הכלכליות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עמד על הערכים המוגנים בבסיס עבירות אלה ובהם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שמירה על הקופה הציבורית ועל השוויון בנשיאת נטל תשלומי המסים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והגנה על המערכת הפיננסית מפני החדרת כספים שמקורם בפעילות פיננסית עבריינית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שהדגיש את חומרתן הרבה של עבירות מסוג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נסיבות ביצוע העבירות הכלכליות ובהן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היקף ההכנסות שהפיקה המשיבה מן העסק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מיליון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הפעולות שנקטה המשיבה ומשך הזמן בו ביצעה אותן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ואופן הביצוע המתוכנן והשיטתי של העבירות הכלכליות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ציין כי מדיניות הענישה בעבירות הכלכליות מתאפיינת במנעד רחב בהתאם לנסיבות המקרה ובהן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היקף העבירות ומשך הזמן שבו בוצעו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מידת תכנון ותחכום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ומידת הנזק שנגרם לקופת המדינה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הדגיש בית המשפט את מגמת ההחמרה בענישה בעבירות מסוג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כי מתחם העונש ההולם ביחס לעבירות הכלכליות יעמוד על בין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וקנס כספי בסכום שבין </w:t>
      </w:r>
      <w:r>
        <w:rPr>
          <w:rFonts w:cs="Century" w:ascii="Century" w:hAnsi="Century"/>
        </w:rPr>
        <w:t>200,000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 מיליון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הדין עמד בית המשפט על נסיבות המקרה שלא קשורות בביצוע העבירות ובהן</w:t>
      </w:r>
      <w:r>
        <w:rPr>
          <w:rtl w:val="true"/>
        </w:rPr>
        <w:t xml:space="preserve">, </w:t>
      </w:r>
      <w:r>
        <w:rPr>
          <w:rtl w:val="true"/>
        </w:rPr>
        <w:t>היותה של המשיבה אם לארבעה קטינים</w:t>
      </w:r>
      <w:r>
        <w:rPr>
          <w:rtl w:val="true"/>
        </w:rPr>
        <w:t xml:space="preserve">; </w:t>
      </w:r>
      <w:r>
        <w:rPr>
          <w:rtl w:val="true"/>
        </w:rPr>
        <w:t>מורכבות חייה האישיים והמשפחתיים כפי שעולה מתסקיר שירות המבחן ומחוות הדעת שהוכנה על ידי המטפלת של המשיבה במרכז טיפול ושיקום עצורים</w:t>
      </w:r>
      <w:r>
        <w:rPr>
          <w:rtl w:val="true"/>
        </w:rPr>
        <w:t xml:space="preserve">; </w:t>
      </w:r>
      <w:r>
        <w:rPr>
          <w:rtl w:val="true"/>
        </w:rPr>
        <w:t>עברה הפלילי של המשיבה שכולל שתי הרשעות בעבירות של סרסרות למעשי זנות</w:t>
      </w:r>
      <w:r>
        <w:rPr>
          <w:rtl w:val="true"/>
        </w:rPr>
        <w:t xml:space="preserve">, </w:t>
      </w:r>
      <w:r>
        <w:rPr>
          <w:rtl w:val="true"/>
        </w:rPr>
        <w:t>החזקת מקום לשם זנות</w:t>
      </w:r>
      <w:r>
        <w:rPr>
          <w:rtl w:val="true"/>
        </w:rPr>
        <w:t xml:space="preserve">, </w:t>
      </w:r>
      <w:r>
        <w:rPr>
          <w:rtl w:val="true"/>
        </w:rPr>
        <w:t xml:space="preserve">שיבוש מהלכי משפט והחזקת סם לצריכה עצמית </w:t>
      </w:r>
      <w:r>
        <w:rPr>
          <w:rtl w:val="true"/>
        </w:rPr>
        <w:t>(</w:t>
      </w:r>
      <w:r>
        <w:rPr>
          <w:rtl w:val="true"/>
        </w:rPr>
        <w:t>צוין כי ההרשעות התיישנו אך מופיעות במרשם הפלילי</w:t>
      </w:r>
      <w:r>
        <w:rPr>
          <w:rtl w:val="true"/>
        </w:rPr>
        <w:t xml:space="preserve">); </w:t>
      </w:r>
      <w:r>
        <w:rPr>
          <w:rtl w:val="true"/>
        </w:rPr>
        <w:t>ונטילת אחריות מצד המשיבה על מעשיה</w:t>
      </w:r>
      <w:r>
        <w:rPr>
          <w:rtl w:val="true"/>
        </w:rPr>
        <w:t xml:space="preserve">, </w:t>
      </w:r>
      <w:r>
        <w:rPr>
          <w:rtl w:val="true"/>
        </w:rPr>
        <w:t>אשר באה לידי ביטוי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בהודייתה בעבירות במסגרת הסדר טיעון</w:t>
      </w:r>
      <w:r>
        <w:rPr>
          <w:rtl w:val="true"/>
        </w:rPr>
        <w:t xml:space="preserve">, </w:t>
      </w:r>
      <w:r>
        <w:rPr>
          <w:rtl w:val="true"/>
        </w:rPr>
        <w:t>והתרשמות בית המשפט כי המשיבה מצרה על האופן בו התנהלה ומפנימה את הפסול במעשיה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 המשפט ציין כי בשים לב לגילם הצעיר של ילדי המשיבה</w:t>
      </w:r>
      <w:r>
        <w:rPr>
          <w:rtl w:val="true"/>
        </w:rPr>
        <w:t xml:space="preserve">, </w:t>
      </w:r>
      <w:r>
        <w:rPr>
          <w:rtl w:val="true"/>
        </w:rPr>
        <w:t>ולתפקידה המרכזי בטיפול בהם ובאמה אשר סובלת מבעיות רפואיות שונות</w:t>
      </w:r>
      <w:r>
        <w:rPr>
          <w:rtl w:val="true"/>
        </w:rPr>
        <w:t xml:space="preserve">, </w:t>
      </w:r>
      <w:r>
        <w:rPr>
          <w:rtl w:val="true"/>
        </w:rPr>
        <w:t>הטלת עונש מאסר בפועל לתקופה ממושכת עלול להוביל לפגיעה בילדיה ובאמה</w:t>
      </w:r>
      <w:r>
        <w:rPr>
          <w:rtl w:val="true"/>
        </w:rPr>
        <w:t xml:space="preserve">. </w:t>
      </w:r>
      <w:r>
        <w:rPr>
          <w:rtl w:val="true"/>
        </w:rPr>
        <w:t>לבסוף ציין בית המשפט כי בקביעת העונש יש לייחס משקל לכך שלא נטען כי המשיבה פעלה להסרת המחדל האזרחי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קבע כי יש מקום לסטות לקולה ממתחמי הענישה שנקבעו משיקולי שיקום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 קביעתו כי המשיבה נמצאת בעיצומו של הליך שיקומי משמעותי במרכז הטיפולי</w:t>
      </w:r>
      <w:r>
        <w:rPr>
          <w:rtl w:val="true"/>
        </w:rPr>
        <w:t xml:space="preserve">, </w:t>
      </w:r>
      <w:r>
        <w:rPr>
          <w:rtl w:val="true"/>
        </w:rPr>
        <w:t>שבמסגרתו הצליחה ליצור יחסי אמון עם המטפלים ולהבין את דפוסי ההתנהגות שהובילו לביצוע העבירות</w:t>
      </w:r>
      <w:r>
        <w:rPr>
          <w:rtl w:val="true"/>
        </w:rPr>
        <w:t xml:space="preserve">; </w:t>
      </w:r>
      <w:r>
        <w:rPr>
          <w:rtl w:val="true"/>
        </w:rPr>
        <w:t>שיתוף הפעולה מצד המשיבה עם שירות המבחן והבעת רצונה להמשיך ולהסתייע בשירות</w:t>
      </w:r>
      <w:r>
        <w:rPr>
          <w:rtl w:val="true"/>
        </w:rPr>
        <w:t xml:space="preserve">; </w:t>
      </w:r>
      <w:r>
        <w:rPr>
          <w:rtl w:val="true"/>
        </w:rPr>
        <w:t>הימצאות המשיבה מזה תקופה משמעותית בטיפול פסיכיאטרי בשל מצבה הנפשי</w:t>
      </w:r>
      <w:r>
        <w:rPr>
          <w:rtl w:val="true"/>
        </w:rPr>
        <w:t xml:space="preserve">; </w:t>
      </w:r>
      <w:r>
        <w:rPr>
          <w:rtl w:val="true"/>
        </w:rPr>
        <w:t>התמדתה בעבודה נורמטיבית ושינוי מקום מגוריה</w:t>
      </w:r>
      <w:r>
        <w:rPr>
          <w:rtl w:val="true"/>
        </w:rPr>
        <w:t xml:space="preserve">; </w:t>
      </w:r>
      <w:r>
        <w:rPr>
          <w:rtl w:val="true"/>
        </w:rPr>
        <w:t>וסביבתה התומכת</w:t>
      </w:r>
      <w:r>
        <w:rPr>
          <w:rtl w:val="true"/>
        </w:rPr>
        <w:t xml:space="preserve">, </w:t>
      </w:r>
      <w:r>
        <w:rPr>
          <w:rtl w:val="true"/>
        </w:rPr>
        <w:t>אשר לטעמם של גורמי הטיפול</w:t>
      </w:r>
      <w:r>
        <w:rPr>
          <w:rtl w:val="true"/>
        </w:rPr>
        <w:t xml:space="preserve">, </w:t>
      </w:r>
      <w:r>
        <w:rPr>
          <w:rtl w:val="true"/>
        </w:rPr>
        <w:t>מסייעת בהליך השיקום</w:t>
      </w:r>
      <w:r>
        <w:rPr>
          <w:rtl w:val="true"/>
        </w:rPr>
        <w:t xml:space="preserve">. </w:t>
      </w:r>
      <w:r>
        <w:rPr>
          <w:rtl w:val="true"/>
        </w:rPr>
        <w:t>עוד קבע בית המשפט</w:t>
      </w:r>
      <w:r>
        <w:rPr>
          <w:rtl w:val="true"/>
        </w:rPr>
        <w:t xml:space="preserve">, </w:t>
      </w:r>
      <w:r>
        <w:rPr>
          <w:rtl w:val="true"/>
        </w:rPr>
        <w:t>כי הבעת החרטה מצד המשיבה</w:t>
      </w:r>
      <w:r>
        <w:rPr>
          <w:rtl w:val="true"/>
        </w:rPr>
        <w:t xml:space="preserve">, </w:t>
      </w:r>
      <w:r>
        <w:rPr>
          <w:rtl w:val="true"/>
        </w:rPr>
        <w:t>ורצונה לקיים אורח חיים נורמטיבי</w:t>
      </w:r>
      <w:r>
        <w:rPr>
          <w:rtl w:val="true"/>
        </w:rPr>
        <w:t xml:space="preserve">, </w:t>
      </w:r>
      <w:r>
        <w:rPr>
          <w:rtl w:val="true"/>
        </w:rPr>
        <w:t>מעידים על כך שאין מדובר בפוטנציאל שיקומי בלבד</w:t>
      </w:r>
      <w:r>
        <w:rPr>
          <w:rtl w:val="true"/>
        </w:rPr>
        <w:t xml:space="preserve">, </w:t>
      </w:r>
      <w:r>
        <w:rPr>
          <w:rtl w:val="true"/>
        </w:rPr>
        <w:t>וכי תהליך השיקום מורגש כבר כעת</w:t>
      </w:r>
      <w:r>
        <w:rPr>
          <w:rtl w:val="true"/>
        </w:rPr>
        <w:t xml:space="preserve">. </w:t>
      </w:r>
      <w:r>
        <w:rPr>
          <w:rtl w:val="true"/>
        </w:rPr>
        <w:t>נוכח כל האמור גזר בית המשפט את דינה של המשיבה כמפורט ברישה לפסק הדין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המערערת טוענת</w:t>
      </w:r>
      <w:r>
        <w:rPr>
          <w:rtl w:val="true"/>
        </w:rPr>
        <w:t xml:space="preserve">, </w:t>
      </w:r>
      <w:r>
        <w:rPr>
          <w:rtl w:val="true"/>
        </w:rPr>
        <w:t>בעיקרם של דברים</w:t>
      </w:r>
      <w:r>
        <w:rPr>
          <w:rtl w:val="true"/>
        </w:rPr>
        <w:t xml:space="preserve">, </w:t>
      </w:r>
      <w:r>
        <w:rPr>
          <w:rtl w:val="true"/>
        </w:rPr>
        <w:t>שהסטייה המשמעותית ממתחמי הענישה שנקבעו משיקולי שיקום אינה הולמת את חומרת העבירות שבוצעו</w:t>
      </w:r>
      <w:r>
        <w:rPr>
          <w:rtl w:val="true"/>
        </w:rPr>
        <w:t xml:space="preserve">, </w:t>
      </w:r>
      <w:r>
        <w:rPr>
          <w:rtl w:val="true"/>
        </w:rPr>
        <w:t>וכי המקרה דנן אינו נופל בגדר המקרים החריגים שמצדיקים סטייה לקולה מטעמי שיקום</w:t>
      </w:r>
      <w:r>
        <w:rPr>
          <w:rtl w:val="true"/>
        </w:rPr>
        <w:t xml:space="preserve">. </w:t>
      </w:r>
      <w:r>
        <w:rPr>
          <w:rtl w:val="true"/>
        </w:rPr>
        <w:t>לעמדת המערערת</w:t>
      </w:r>
      <w:r>
        <w:rPr>
          <w:rtl w:val="true"/>
        </w:rPr>
        <w:t xml:space="preserve">, </w:t>
      </w:r>
      <w:r>
        <w:rPr>
          <w:rtl w:val="true"/>
        </w:rPr>
        <w:t>נוכח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כמו גם עברה הפלילי של המשיבה</w:t>
      </w:r>
      <w:r>
        <w:rPr>
          <w:rtl w:val="true"/>
        </w:rPr>
        <w:t xml:space="preserve">, </w:t>
      </w:r>
      <w:r>
        <w:rPr>
          <w:rtl w:val="true"/>
        </w:rPr>
        <w:t>קיים ספק בהתאמתו של המקרה דנן לחריגה ממתחם הענישה בשל שיקולי שיקום</w:t>
      </w:r>
      <w:r>
        <w:rPr>
          <w:rtl w:val="true"/>
        </w:rPr>
        <w:t xml:space="preserve">. </w:t>
      </w:r>
      <w:r>
        <w:rPr>
          <w:rtl w:val="true"/>
        </w:rPr>
        <w:t>המערערת מוסיפה וטוענת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שגה בכך שזקף לזכותה של המשיבה את נסיבות ביצוע עבירות הזנות ובהן היעדר סממני כפייה או התנהלות כוחנית כלפי הנשים שעבדו בבית הבושת</w:t>
      </w:r>
      <w:r>
        <w:rPr>
          <w:rtl w:val="true"/>
        </w:rPr>
        <w:t xml:space="preserve">; </w:t>
      </w:r>
      <w:r>
        <w:rPr>
          <w:rtl w:val="true"/>
        </w:rPr>
        <w:t>בכך שלא ייחס משקל לעברה הפלילי של המשיבה ולטיב העבירות שביצעה בעברה</w:t>
      </w:r>
      <w:r>
        <w:rPr>
          <w:rtl w:val="true"/>
        </w:rPr>
        <w:t xml:space="preserve">, </w:t>
      </w:r>
      <w:r>
        <w:rPr>
          <w:rtl w:val="true"/>
        </w:rPr>
        <w:t>אשר דומות לעבירות הזנות נושא כתב האישום המתוקן</w:t>
      </w:r>
      <w:r>
        <w:rPr>
          <w:rtl w:val="true"/>
        </w:rPr>
        <w:t xml:space="preserve">, </w:t>
      </w:r>
      <w:r>
        <w:rPr>
          <w:rtl w:val="true"/>
        </w:rPr>
        <w:t>ואשר מעידות על הצורך בהרתעת המשיבה מפני ביצוע עבירות מסוג זה פעם נוספת</w:t>
      </w:r>
      <w:r>
        <w:rPr>
          <w:rtl w:val="true"/>
        </w:rPr>
        <w:t xml:space="preserve">; </w:t>
      </w:r>
      <w:r>
        <w:rPr>
          <w:rtl w:val="true"/>
        </w:rPr>
        <w:t>ובכך שלא נתן משקל מספק להיקף ולנסיבות ביצוע העבירות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שהתקיים לפנינו התנגדה המשיבה להחמרה בענישה וסמכה ידיה על 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אשר נתמך בתסקיר שירות המבחן שניתן בעניינה</w:t>
      </w:r>
      <w:r>
        <w:rPr>
          <w:rtl w:val="true"/>
        </w:rPr>
        <w:t xml:space="preserve">. </w:t>
      </w:r>
      <w:r>
        <w:rPr>
          <w:rtl w:val="true"/>
        </w:rPr>
        <w:t>המשיבה הדגישה את נסיבות חייה האישיות המורכבות ובהן הטיפול בארבעת ילדיה הקטינים</w:t>
      </w:r>
      <w:r>
        <w:rPr>
          <w:rtl w:val="true"/>
        </w:rPr>
        <w:t xml:space="preserve">, </w:t>
      </w:r>
      <w:r>
        <w:rPr>
          <w:rtl w:val="true"/>
        </w:rPr>
        <w:t>והקשיים הכלכליים שעמם היא מתמודדת</w:t>
      </w:r>
      <w:r>
        <w:rPr>
          <w:rtl w:val="true"/>
        </w:rPr>
        <w:t xml:space="preserve">. </w:t>
      </w:r>
      <w:r>
        <w:rPr>
          <w:rtl w:val="true"/>
        </w:rPr>
        <w:t>עוד טענה המשיבה כי היא נמצאת בעיצומו של הליך שיקומי והדגישה כי בכוונתה להמשיך בו</w:t>
      </w:r>
      <w:r>
        <w:rPr>
          <w:rtl w:val="true"/>
        </w:rPr>
        <w:t xml:space="preserve">. </w:t>
      </w:r>
      <w:r>
        <w:rPr>
          <w:rtl w:val="true"/>
        </w:rPr>
        <w:t>לבסוף טענה המשיבה כי אף אם מדובר בגזר דין מקל</w:t>
      </w:r>
      <w:r>
        <w:rPr>
          <w:rtl w:val="true"/>
        </w:rPr>
        <w:t xml:space="preserve">, </w:t>
      </w:r>
      <w:r>
        <w:rPr>
          <w:rtl w:val="true"/>
        </w:rPr>
        <w:t>אין מדובר במקרה שמצדיק את התערבות ערכאת הערעור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1.5.2022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השתלבה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ששקלנו את נימוקי הערעור והאזנו לטיעוני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יש לקבל את ערעור המדינה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לא תיטה להתערב בחומרת העונש שהטילה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אך המקרה דנן בא בקהלם של המקרים החריגים שבהם מוצדקת התערבות כאמור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ביאדסה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10.5.2022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זיאדאת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6.3.2022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27.2.2022</w:t>
      </w:r>
      <w:r>
        <w:rPr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במסגרת גזר הדין הדגיש בית המשפט המחוזי את חומרת העבירות ואת נסיבות ביצוען וקבע מתחם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בגין עבירות הזנות ומתחם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בגין העבירות הכלכליות </w:t>
      </w:r>
      <w:r>
        <w:rPr>
          <w:rtl w:val="true"/>
        </w:rPr>
        <w:t>(</w:t>
      </w:r>
      <w:r>
        <w:rPr>
          <w:rtl w:val="true"/>
        </w:rPr>
        <w:t>לצד קנס כפי שכבר תואר לעיל</w:t>
      </w:r>
      <w:r>
        <w:rPr>
          <w:rtl w:val="true"/>
        </w:rPr>
        <w:t xml:space="preserve">).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</w:t>
      </w:r>
      <w:r>
        <w:rPr>
          <w:rtl w:val="true"/>
        </w:rPr>
        <w:t xml:space="preserve">"[...] </w:t>
      </w:r>
      <w:r>
        <w:rPr>
          <w:rtl w:val="true"/>
        </w:rPr>
        <w:t>שאלמלא שיקולי השיקום</w:t>
      </w:r>
      <w:r>
        <w:rPr>
          <w:rtl w:val="true"/>
        </w:rPr>
        <w:t xml:space="preserve">, </w:t>
      </w:r>
      <w:r>
        <w:rPr>
          <w:rtl w:val="true"/>
        </w:rPr>
        <w:t>נכון היה לגזור על הנאשמת כ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מצאתי לסטות ממתחמי העונש ההולם מטעמי שיקום</w:t>
      </w:r>
      <w:r>
        <w:rPr>
          <w:rtl w:val="true"/>
        </w:rPr>
        <w:t xml:space="preserve">, </w:t>
      </w:r>
      <w:r>
        <w:rPr>
          <w:rtl w:val="true"/>
        </w:rPr>
        <w:t>זאת בדרך של הפחתה מתקופת המאסר הכוללת</w:t>
      </w:r>
      <w:r>
        <w:rPr>
          <w:rtl w:val="true"/>
        </w:rPr>
        <w:t>" 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מקובל עלינו כי בנסיבות המקרה דנן ניתן היה לחרוג ממתחם העונש ההולם בגין שיקולי שיקום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אף בשים לב להליכי השיקום של המשיבה</w:t>
      </w:r>
      <w:r>
        <w:rPr>
          <w:rtl w:val="true"/>
        </w:rPr>
        <w:t xml:space="preserve">, </w:t>
      </w:r>
      <w:r>
        <w:rPr>
          <w:rtl w:val="true"/>
        </w:rPr>
        <w:t>אנו סבורים כי האיזון שערך בית המשפט כשגזר את עונשה של המשיבה מקל עמה באופן חריג ביחס לנסיבות ביצוע העבירה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משפט זה עמד לא אחת על השימוש הזהיר שראוי שיעשה </w:t>
      </w:r>
      <w:hyperlink r:id="rId3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שעניינו חריגה ממתחם הענישה בשל שיקולי שיקום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27.4.2022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סלומינסקי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1.7.2019</w:t>
      </w:r>
      <w:r>
        <w:rPr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18.4.2018</w:t>
      </w:r>
      <w:r>
        <w:rPr>
          <w:rtl w:val="true"/>
        </w:rPr>
        <w:t xml:space="preserve">)).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כפי שפירט בית המשפט המחוזי באריכות</w:t>
      </w:r>
      <w:r>
        <w:rPr>
          <w:rtl w:val="true"/>
        </w:rPr>
        <w:t xml:space="preserve">, </w:t>
      </w:r>
      <w:r>
        <w:rPr>
          <w:rtl w:val="true"/>
        </w:rPr>
        <w:t>נדמה שהמשיבה מצויה בהליך שיקומי משמעותי וממושך שכולל מסגרות שונות</w:t>
      </w:r>
      <w:r>
        <w:rPr>
          <w:rtl w:val="true"/>
        </w:rPr>
        <w:t xml:space="preserve">. </w:t>
      </w:r>
      <w:r>
        <w:rPr>
          <w:rtl w:val="true"/>
        </w:rPr>
        <w:t>כעולה מהחומרים שהובאו לפנינו</w:t>
      </w:r>
      <w:r>
        <w:rPr>
          <w:rtl w:val="true"/>
        </w:rPr>
        <w:t xml:space="preserve">, </w:t>
      </w:r>
      <w:r>
        <w:rPr>
          <w:rtl w:val="true"/>
        </w:rPr>
        <w:t>הליך השיקום נותן את אותותיו בכל תחומי חייה והוביל להפחתה בסיכון בעניינה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המשיבה מביעה חרטה ומדבריה משתקפים הבנת הפסול שבמעשיה ורצונה העז לקיים אורח חיים נורמטיבי</w:t>
      </w:r>
      <w:r>
        <w:rPr>
          <w:rtl w:val="true"/>
        </w:rPr>
        <w:t xml:space="preserve">. </w:t>
      </w:r>
      <w:r>
        <w:rPr>
          <w:rtl w:val="true"/>
        </w:rPr>
        <w:t>לאמור יש להוסיף כי גורמי הטיפול הביעו עמדה שלפיה עונש המאסר בפועל שהוטל על המשיבה עשוי לפגום בהליך השיקום שלה ובמשפחתה</w:t>
      </w:r>
      <w:r>
        <w:rPr>
          <w:rtl w:val="true"/>
        </w:rPr>
        <w:t xml:space="preserve">, </w:t>
      </w:r>
      <w:r>
        <w:rPr>
          <w:rtl w:val="true"/>
        </w:rPr>
        <w:t>וזאת בשים לב לנסיבותיה האישיות שפורטו לעיל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חרף שיקולים כבדי משקל אלה</w:t>
      </w:r>
      <w:r>
        <w:rPr>
          <w:rtl w:val="true"/>
        </w:rPr>
        <w:t xml:space="preserve">, </w:t>
      </w:r>
      <w:r>
        <w:rPr>
          <w:rtl w:val="true"/>
        </w:rPr>
        <w:t>העונש שהוטל על המשיבה לא מעניק משקל מספק לחומרת העבירות שבהן הורשעה המשיבה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במסגרת תקופת הפעילות </w:t>
      </w:r>
      <w:r>
        <w:rPr>
          <w:rtl w:val="true"/>
        </w:rPr>
        <w:t>(</w:t>
      </w:r>
      <w:r>
        <w:rPr>
          <w:rtl w:val="true"/>
        </w:rPr>
        <w:t>פרק זמן של 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המשיבה ניהלה והפעילה בית בושת</w:t>
      </w:r>
      <w:r>
        <w:rPr>
          <w:rtl w:val="true"/>
        </w:rPr>
        <w:t xml:space="preserve">, </w:t>
      </w:r>
      <w:r>
        <w:rPr>
          <w:rtl w:val="true"/>
        </w:rPr>
        <w:t xml:space="preserve">שבו הועסקו נשים רבות ואשר פעל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 בשבוע</w:t>
      </w:r>
      <w:r>
        <w:rPr>
          <w:rtl w:val="true"/>
        </w:rPr>
        <w:t xml:space="preserve">, </w:t>
      </w:r>
      <w:r>
        <w:rPr>
          <w:rtl w:val="true"/>
        </w:rPr>
        <w:t>והפיקה ממנו הכנסות על סך כ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פעלה המשיבה בצורה מתמשכת ומתוחכמת</w:t>
      </w:r>
      <w:r>
        <w:rPr>
          <w:rtl w:val="true"/>
        </w:rPr>
        <w:t xml:space="preserve">, </w:t>
      </w:r>
      <w:r>
        <w:rPr>
          <w:rtl w:val="true"/>
        </w:rPr>
        <w:t>במטרה להסוואת התנהלותה העבריינית ולהשיא את רווחיה מן העסק הלא חוקי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עבירות הזנות שבהן הורשעה המשיבה בוצעו במשך פרק זמן ארוך</w:t>
      </w:r>
      <w:r>
        <w:rPr>
          <w:rtl w:val="true"/>
        </w:rPr>
        <w:t xml:space="preserve">, </w:t>
      </w:r>
      <w:r>
        <w:rPr>
          <w:rtl w:val="true"/>
        </w:rPr>
        <w:t>כאשר המשיבה היא שהפעילה וניהלה את בית הבושת לאורך תקופת הפעילות</w:t>
      </w:r>
      <w:r>
        <w:rPr>
          <w:rtl w:val="true"/>
        </w:rPr>
        <w:t xml:space="preserve">. </w:t>
      </w:r>
      <w:r>
        <w:rPr>
          <w:rtl w:val="true"/>
        </w:rPr>
        <w:t xml:space="preserve">המשיבה קבעה כי בית הבושת יפעל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 בשבוע</w:t>
      </w:r>
      <w:r>
        <w:rPr>
          <w:rtl w:val="true"/>
        </w:rPr>
        <w:t xml:space="preserve">, </w:t>
      </w:r>
      <w:r>
        <w:rPr>
          <w:rtl w:val="true"/>
        </w:rPr>
        <w:t xml:space="preserve">בשתי משמרות מדי יום וכי בכל משמרת יספקו מספר נשים שירותי מין לעשרות </w:t>
      </w:r>
      <w:r>
        <w:rPr>
          <w:rtl w:val="true"/>
        </w:rPr>
        <w:t>"</w:t>
      </w:r>
      <w:r>
        <w:rPr>
          <w:rtl w:val="true"/>
        </w:rPr>
        <w:t>לקוחות</w:t>
      </w:r>
      <w:r>
        <w:rPr>
          <w:rtl w:val="true"/>
        </w:rPr>
        <w:t xml:space="preserve">". </w:t>
      </w:r>
      <w:r>
        <w:rPr>
          <w:rtl w:val="true"/>
        </w:rPr>
        <w:t>המשיבה עסקה גם בפרסום והפצת פעילות בית הבושת</w:t>
      </w:r>
      <w:r>
        <w:rPr>
          <w:rtl w:val="true"/>
        </w:rPr>
        <w:t xml:space="preserve">, </w:t>
      </w:r>
      <w:r>
        <w:rPr>
          <w:rtl w:val="true"/>
        </w:rPr>
        <w:t>וכן בגביית האתנן מן הנשים שסיפקו שירותי מין באמצעות האחרת ובאמצעות הפקידות</w:t>
      </w:r>
      <w:r>
        <w:rPr>
          <w:rtl w:val="true"/>
        </w:rPr>
        <w:t xml:space="preserve">, </w:t>
      </w:r>
      <w:r>
        <w:rPr>
          <w:rtl w:val="true"/>
        </w:rPr>
        <w:t>כל זאת למטרת בצע כסף</w:t>
      </w:r>
      <w:r>
        <w:rPr>
          <w:rtl w:val="true"/>
        </w:rPr>
        <w:t xml:space="preserve">. </w:t>
      </w:r>
      <w:r>
        <w:rPr>
          <w:rtl w:val="true"/>
        </w:rPr>
        <w:t>עסקינן בעבירות חמורות וממושכות</w:t>
      </w:r>
      <w:r>
        <w:rPr>
          <w:rtl w:val="true"/>
        </w:rPr>
        <w:t xml:space="preserve">, </w:t>
      </w:r>
      <w:r>
        <w:rPr>
          <w:rtl w:val="true"/>
        </w:rPr>
        <w:t>אשר פוגעות עמוקות בכבודן של הנשים שעבדו בבית הבושת שניהלה המשיבה</w:t>
      </w:r>
      <w:r>
        <w:rPr>
          <w:rtl w:val="true"/>
        </w:rPr>
        <w:t xml:space="preserve">. </w:t>
      </w:r>
      <w:r>
        <w:rPr>
          <w:rtl w:val="true"/>
        </w:rPr>
        <w:t xml:space="preserve">כפי שציינה 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tl w:val="true"/>
        </w:rPr>
        <w:t xml:space="preserve"> בפרשה אחרת</w:t>
      </w:r>
      <w:r>
        <w:rPr>
          <w:rtl w:val="true"/>
        </w:rPr>
        <w:t xml:space="preserve">: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']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סרסרות</w:t>
      </w:r>
      <w:r>
        <w:rPr>
          <w:rtl w:val="true"/>
        </w:rPr>
        <w:t xml:space="preserve">, </w:t>
      </w:r>
      <w:r>
        <w:rPr>
          <w:rtl w:val="true"/>
        </w:rPr>
        <w:t>שידול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רשת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ושגשוגה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תעשיה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תעשיה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בזנו</w:t>
      </w:r>
      <w:r>
        <w:rPr>
          <w:rtl w:val="true"/>
        </w:rPr>
        <w:t>ת</w:t>
      </w:r>
      <w:r>
        <w:rPr>
          <w:rtl w:val="true"/>
        </w:rPr>
        <w:t>" 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5863/10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גוטייר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11.7.2011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העבירות שנקבעו לצורך מיגור תופעת הזנות</w:t>
      </w:r>
      <w:r>
        <w:rPr>
          <w:rtl w:val="true"/>
        </w:rPr>
        <w:t xml:space="preserve">, </w:t>
      </w:r>
      <w:r>
        <w:rPr>
          <w:rtl w:val="true"/>
        </w:rPr>
        <w:t>ובהן גם העבירות שבהן הורשעה המשיבה</w:t>
      </w:r>
      <w:r>
        <w:rPr>
          <w:rtl w:val="true"/>
        </w:rPr>
        <w:t xml:space="preserve">, </w:t>
      </w:r>
      <w:r>
        <w:rPr>
          <w:rtl w:val="true"/>
        </w:rPr>
        <w:t>נועדו להגן על נשים וגברים בזנות</w:t>
      </w:r>
      <w:r>
        <w:rPr>
          <w:rtl w:val="true"/>
        </w:rPr>
        <w:t xml:space="preserve">, </w:t>
      </w:r>
      <w:r>
        <w:rPr>
          <w:rtl w:val="true"/>
        </w:rPr>
        <w:t xml:space="preserve">שפעמים רבות משתייכים לקבוצות המוחלשות ביותר בחברה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) </w:t>
      </w:r>
      <w:r>
        <w:rPr>
          <w:rtl w:val="true"/>
        </w:rPr>
        <w:t xml:space="preserve">ונאלצים להתמודד עם מאפייניה הפוגעניים ועם השלכותיה הקשות של תופעה זו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הצוות הבין משרדי לבחינת הכלים לצמצום צריכת זנות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tl w:val="true"/>
        </w:rPr>
        <w:t xml:space="preserve"> </w:t>
      </w:r>
      <w:r>
        <w:rPr/>
        <w:t>61-60</w:t>
      </w:r>
      <w:r>
        <w:rPr>
          <w:rtl w:val="true"/>
        </w:rPr>
        <w:t xml:space="preserve"> (</w:t>
      </w:r>
      <w:r>
        <w:rPr/>
        <w:t>2017</w:t>
      </w:r>
      <w:r>
        <w:rPr>
          <w:rtl w:val="true"/>
        </w:rPr>
        <w:t xml:space="preserve">)). </w:t>
      </w:r>
      <w:r>
        <w:rPr>
          <w:rtl w:val="true"/>
        </w:rPr>
        <w:t xml:space="preserve">על הצורך בצמצום תופעה זו ניתן ללמוד גם מחקיקתו של 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צריכת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הוראת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שעה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ותיקון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color w:val="0000FF"/>
            <w:u w:val="single"/>
            <w:rtl w:val="true"/>
          </w:rPr>
          <w:t xml:space="preserve">),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זנות</w:t>
      </w:r>
      <w:r>
        <w:rPr>
          <w:rtl w:val="true"/>
        </w:rPr>
        <w:t xml:space="preserve">), </w:t>
      </w:r>
      <w:r>
        <w:rPr>
          <w:rtl w:val="true"/>
        </w:rPr>
        <w:t>שקובע</w:t>
      </w:r>
      <w:r>
        <w:rPr>
          <w:rtl w:val="true"/>
        </w:rPr>
        <w:t xml:space="preserve">, </w:t>
      </w:r>
      <w:r>
        <w:rPr>
          <w:rtl w:val="true"/>
        </w:rPr>
        <w:t>כהוראת שעה</w:t>
      </w:r>
      <w:r>
        <w:rPr>
          <w:rtl w:val="true"/>
        </w:rPr>
        <w:t xml:space="preserve">, </w:t>
      </w:r>
      <w:r>
        <w:rPr>
          <w:rtl w:val="true"/>
        </w:rPr>
        <w:t xml:space="preserve">איסור על צריכת מעשי זנות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גם את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לחוק זה</w:t>
      </w:r>
      <w:r>
        <w:rPr>
          <w:rtl w:val="true"/>
        </w:rPr>
        <w:t xml:space="preserve">). </w:t>
      </w:r>
      <w:r>
        <w:rPr>
          <w:rtl w:val="true"/>
        </w:rPr>
        <w:t>המעשים שבהם הורשעה המשיבה מגלמים פגיעה משמעותית בערכים המוגנים</w:t>
      </w:r>
      <w:r>
        <w:rPr>
          <w:rtl w:val="true"/>
        </w:rPr>
        <w:t xml:space="preserve">, </w:t>
      </w:r>
      <w:r>
        <w:rPr>
          <w:rtl w:val="true"/>
        </w:rPr>
        <w:t xml:space="preserve">וזאת אף אם לא מתקיימים במקרה דנן חלק ממאפייני החומרה בפרשות מעין אלו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 מיוחסת למשיבה אלימות כלפי הנשים שעבדו בבית הבושת ולא מיוחסות לה עבירות נלוות דוגמת הבאת אדם לידי זנות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המשיבה הורשעה גם בעבירות כלכליות שטומנות בחובן פגיעה בקופה הציבורית ובעקרון השוויון בנשיאה בנטל המס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11.9.2014</w:t>
      </w:r>
      <w:r>
        <w:rPr>
          <w:rtl w:val="true"/>
        </w:rPr>
        <w:t xml:space="preserve">)). </w:t>
      </w:r>
      <w:r>
        <w:rPr>
          <w:rtl w:val="true"/>
        </w:rPr>
        <w:t>בעבירות מעין אלו ניתן להצביע</w:t>
      </w:r>
      <w:r>
        <w:rPr>
          <w:rtl w:val="true"/>
        </w:rPr>
        <w:t xml:space="preserve">,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 xml:space="preserve">על מנעד רחב של עונשים שנגזרים ממאפייניו של המקרה הספציפי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1109/21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קבועה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23.12.2021</w:t>
      </w:r>
      <w:r>
        <w:rPr>
          <w:rtl w:val="true"/>
        </w:rPr>
        <w:t xml:space="preserve">);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3725/19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זידאן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27.1.2020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3446/18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חרחש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19.6.2018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19.9.2017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אוחנה</w:t>
      </w:r>
      <w:r>
        <w:rPr>
          <w:rtl w:val="true"/>
        </w:rPr>
        <w:t xml:space="preserve">)). </w:t>
      </w:r>
      <w:r>
        <w:rPr>
          <w:rtl w:val="true"/>
        </w:rPr>
        <w:t xml:space="preserve">במקרה דנן העבירות הכלכליות נעשו בסכומי כסף גבוהים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), </w:t>
      </w:r>
      <w:r>
        <w:rPr>
          <w:rtl w:val="true"/>
        </w:rPr>
        <w:t>ואופן ביצוען מעיד על תכנון מוקדם ותחכום אשר בא לידי ביטוי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בפתיחת חשבון בנק ופתיחת עוסק מורשה על שם האחרת</w:t>
      </w:r>
      <w:r>
        <w:rPr>
          <w:rtl w:val="true"/>
        </w:rPr>
        <w:t xml:space="preserve">, </w:t>
      </w:r>
      <w:r>
        <w:rPr>
          <w:rtl w:val="true"/>
        </w:rPr>
        <w:t>וברכישת דירה ורישומה על שם בת זוגה באמצעות חלק מהכנסות בית הבושת</w:t>
      </w:r>
      <w:r>
        <w:rPr>
          <w:rtl w:val="true"/>
        </w:rPr>
        <w:t xml:space="preserve">. </w:t>
      </w:r>
      <w:r>
        <w:rPr>
          <w:rtl w:val="true"/>
        </w:rPr>
        <w:t>סוג העבירות הכלכליות שביצעה המשיבה</w:t>
      </w:r>
      <w:r>
        <w:rPr>
          <w:rtl w:val="true"/>
        </w:rPr>
        <w:t xml:space="preserve">, </w:t>
      </w:r>
      <w:r>
        <w:rPr>
          <w:rtl w:val="true"/>
        </w:rPr>
        <w:t>כמו גם נסיבות ביצוען</w:t>
      </w:r>
      <w:r>
        <w:rPr>
          <w:rtl w:val="true"/>
        </w:rPr>
        <w:t xml:space="preserve">, </w:t>
      </w:r>
      <w:r>
        <w:rPr>
          <w:rtl w:val="true"/>
        </w:rPr>
        <w:t xml:space="preserve">מצדיקות ענישה מחמירה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). </w:t>
      </w:r>
      <w:r>
        <w:rPr>
          <w:rtl w:val="true"/>
        </w:rPr>
        <w:t>לאמור יש להוסיף כי המדינה ציינה שלחובת המשיבה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שכולל הרשעות בעבירות דומות לעבירות בהן הורשעה במסגרת ההליך דנן </w:t>
      </w:r>
      <w:r>
        <w:rPr>
          <w:rtl w:val="true"/>
        </w:rPr>
        <w:t>(</w:t>
      </w:r>
      <w:r>
        <w:rPr>
          <w:rtl w:val="true"/>
        </w:rPr>
        <w:t>עבירות אלו התיישנו אך טרם נמחקו מהמרשם הפלילי</w:t>
      </w:r>
      <w:r>
        <w:rPr>
          <w:rtl w:val="true"/>
        </w:rPr>
        <w:t xml:space="preserve">) </w:t>
      </w:r>
      <w:r>
        <w:rPr>
          <w:rtl w:val="true"/>
        </w:rPr>
        <w:t>וכי אף במסגרת ההליך הקודם הסכימה המדינה להתחשבות בנסיבות חייה ובהליך השיקומי שבו הייתה מצויה אז</w:t>
      </w:r>
      <w:r>
        <w:rPr>
          <w:rtl w:val="true"/>
        </w:rPr>
        <w:t xml:space="preserve">; </w:t>
      </w:r>
      <w:r>
        <w:rPr>
          <w:rtl w:val="true"/>
        </w:rPr>
        <w:t>וחרף האמור ביצעה המשיבה את העבירות שבהן הורשעה כעת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כל האמור לעיל</w:t>
      </w:r>
      <w:r>
        <w:rPr>
          <w:rtl w:val="true"/>
        </w:rPr>
        <w:t xml:space="preserve">, </w:t>
      </w:r>
      <w:r>
        <w:rPr>
          <w:rtl w:val="true"/>
        </w:rPr>
        <w:t>ערעור המדינה על קולת העונש מתקבל</w:t>
      </w:r>
      <w:r>
        <w:rPr>
          <w:rtl w:val="true"/>
        </w:rPr>
        <w:t xml:space="preserve">. </w:t>
      </w:r>
      <w:r>
        <w:rPr>
          <w:rtl w:val="true"/>
        </w:rPr>
        <w:t>בשים לב לכלל שלפיו אין ערכאת הערעור נוהגת למצות את חומרת הדין</w:t>
      </w:r>
      <w:r>
        <w:rPr>
          <w:rtl w:val="true"/>
        </w:rPr>
        <w:t xml:space="preserve">, </w:t>
      </w:r>
      <w:r>
        <w:rPr>
          <w:rtl w:val="true"/>
        </w:rPr>
        <w:t xml:space="preserve">אנו מעמידים את עונש המאסר בפועל בגין העבירות נושא כתב האישום המתוקן בענייננו על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 ימי מעצרה של המשיבה</w:t>
      </w:r>
      <w:r>
        <w:rPr>
          <w:rtl w:val="true"/>
        </w:rPr>
        <w:t xml:space="preserve">. </w:t>
      </w:r>
      <w:r>
        <w:rPr>
          <w:rtl w:val="true"/>
        </w:rPr>
        <w:t>יתר חלקי גזר הדין יעמדו בעינם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לפני סיום מצאנו להעיר כי תקוותנו היא שהמשיבה תמשיך </w:t>
      </w:r>
      <w:r>
        <w:rPr>
          <w:rtl w:val="true"/>
        </w:rPr>
        <w:t>–</w:t>
      </w:r>
      <w:r>
        <w:rPr>
          <w:rtl w:val="true"/>
        </w:rPr>
        <w:t xml:space="preserve"> גם בתקופת מאסרה </w:t>
      </w:r>
      <w:r>
        <w:rPr>
          <w:rtl w:val="true"/>
        </w:rPr>
        <w:t>–</w:t>
      </w:r>
      <w:r>
        <w:rPr>
          <w:rtl w:val="true"/>
        </w:rPr>
        <w:t xml:space="preserve"> בהליך השיקום שאותו החלה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כמו גם האינטרס הציבורי</w:t>
      </w:r>
      <w:r>
        <w:rPr>
          <w:rtl w:val="true"/>
        </w:rPr>
        <w:t xml:space="preserve">, </w:t>
      </w:r>
      <w:r>
        <w:rPr>
          <w:rtl w:val="true"/>
        </w:rPr>
        <w:t>יצאו נשכרים מהמשך הליך זה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2"/>
        <w:gridCol w:w="2782"/>
        <w:gridCol w:w="2799"/>
      </w:tblGrid>
      <w:tr>
        <w:trPr/>
        <w:tc>
          <w:tcPr>
            <w:tcW w:w="278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2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9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ה</w:t>
            </w:r>
            <w:r>
              <w:rPr>
                <w:rtl w:val="true"/>
              </w:rPr>
              <w:t>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הערעור שהגישה המדינה על קולת העונש במקרה זה מעורר דילמה קשה במיוחד</w:t>
      </w:r>
      <w:r>
        <w:rPr>
          <w:rtl w:val="true"/>
        </w:rPr>
        <w:t xml:space="preserve">. </w:t>
      </w: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ובהמשך לכך גם חברי המשנה לנשיאה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tl w:val="true"/>
        </w:rPr>
        <w:t>, "</w:t>
      </w:r>
      <w:r>
        <w:rPr>
          <w:rtl w:val="true"/>
        </w:rPr>
        <w:t>מיסגר</w:t>
      </w:r>
      <w:r>
        <w:rPr>
          <w:rtl w:val="true"/>
        </w:rPr>
        <w:t xml:space="preserve">" </w:t>
      </w:r>
      <w:r>
        <w:rPr>
          <w:rtl w:val="true"/>
        </w:rPr>
        <w:t>את הדילמה כעימות בין שיקולי שיקום לבין שיקולים הנוגעים למדיניות הענישה הראויה</w:t>
      </w:r>
      <w:r>
        <w:rPr>
          <w:rtl w:val="true"/>
        </w:rPr>
        <w:t xml:space="preserve">, </w:t>
      </w:r>
      <w:r>
        <w:rPr>
          <w:rtl w:val="true"/>
        </w:rPr>
        <w:t xml:space="preserve">ובהקשר זה הזכיר את הגישה של </w:t>
      </w:r>
      <w:r>
        <w:rPr>
          <w:rtl w:val="true"/>
        </w:rPr>
        <w:t>"</w:t>
      </w:r>
      <w:r>
        <w:rPr>
          <w:rtl w:val="true"/>
        </w:rPr>
        <w:t>שימוש זהיר</w:t>
      </w:r>
      <w:r>
        <w:rPr>
          <w:rtl w:val="true"/>
        </w:rPr>
        <w:t xml:space="preserve">" </w:t>
      </w:r>
      <w:r>
        <w:rPr>
          <w:rtl w:val="true"/>
        </w:rPr>
        <w:t>בחריגה ממתחם הענישה בשל שיקולי שיקום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אקדים ואומר כי אני מסכימה עם חברי המשנה לנשיאה כי יש מקום לקבל את הערעור ולהחמיר</w:t>
      </w:r>
      <w:r>
        <w:rPr>
          <w:rtl w:val="true"/>
        </w:rPr>
        <w:t xml:space="preserve">, </w:t>
      </w:r>
      <w:r>
        <w:rPr>
          <w:rtl w:val="true"/>
        </w:rPr>
        <w:t>ולו במידת מה</w:t>
      </w:r>
      <w:r>
        <w:rPr>
          <w:rtl w:val="true"/>
        </w:rPr>
        <w:t xml:space="preserve">, </w:t>
      </w:r>
      <w:r>
        <w:rPr>
          <w:rtl w:val="true"/>
        </w:rPr>
        <w:t>בעונשה של המערערת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הטעם למסקנה שאליה הגעתי אינו מידת הזהירות שיש לנקוט בה בחריגה ממתחם הענישה בשל שיקולי שיקום</w:t>
      </w:r>
      <w:r>
        <w:rPr>
          <w:rtl w:val="true"/>
        </w:rPr>
        <w:t xml:space="preserve">. </w:t>
      </w:r>
      <w:r>
        <w:rPr>
          <w:rtl w:val="true"/>
        </w:rPr>
        <w:t>זהירות זו חייבת להיות מלווה תמיד בנכונות לתת משקל נכבד לשיקולי שיקום במקרים המתאימים</w:t>
      </w:r>
      <w:r>
        <w:rPr>
          <w:rtl w:val="true"/>
        </w:rPr>
        <w:t xml:space="preserve">. </w:t>
      </w:r>
      <w:r>
        <w:rPr>
          <w:rtl w:val="true"/>
        </w:rPr>
        <w:t>מבחינתי</w:t>
      </w:r>
      <w:r>
        <w:rPr>
          <w:rtl w:val="true"/>
        </w:rPr>
        <w:t xml:space="preserve">, </w:t>
      </w:r>
      <w:r>
        <w:rPr>
          <w:rtl w:val="true"/>
        </w:rPr>
        <w:t>העיקר במקרה זה הוא נקודת המוצא העונשית</w:t>
      </w:r>
      <w:r>
        <w:rPr>
          <w:rtl w:val="true"/>
        </w:rPr>
        <w:t xml:space="preserve">, </w:t>
      </w:r>
      <w:r>
        <w:rPr>
          <w:rtl w:val="true"/>
        </w:rPr>
        <w:t>שהייתה נמוכה מכפי הראוי</w:t>
      </w:r>
      <w:r>
        <w:rPr>
          <w:rtl w:val="true"/>
        </w:rPr>
        <w:t xml:space="preserve">. </w:t>
      </w:r>
      <w:r>
        <w:rPr>
          <w:rtl w:val="true"/>
        </w:rPr>
        <w:t>במלים אחרות</w:t>
      </w:r>
      <w:r>
        <w:rPr>
          <w:rtl w:val="true"/>
        </w:rPr>
        <w:t xml:space="preserve">, </w:t>
      </w:r>
      <w:r>
        <w:rPr>
          <w:rtl w:val="true"/>
        </w:rPr>
        <w:t>העובדה שהרף התחתון של מתחם הענישה של העבירות הקשורות בהפעלת בית בושת היה נמוך יתר על המידה בהתחשב במדיניות הענישה הראויה</w:t>
      </w:r>
      <w:r>
        <w:rPr>
          <w:rtl w:val="true"/>
        </w:rPr>
        <w:t xml:space="preserve">, </w:t>
      </w:r>
      <w:r>
        <w:rPr>
          <w:rtl w:val="true"/>
        </w:rPr>
        <w:t>השפיעה על גזירת עונשה של המבקשת בתוך המתחם</w:t>
      </w:r>
      <w:r>
        <w:rPr>
          <w:rtl w:val="true"/>
        </w:rPr>
        <w:t xml:space="preserve">. </w:t>
      </w:r>
      <w:r>
        <w:rPr>
          <w:rtl w:val="true"/>
        </w:rPr>
        <w:t>הקושי הוא אם כן לא בהתחשבות בשיקולי השיקום</w:t>
      </w:r>
      <w:r>
        <w:rPr>
          <w:rtl w:val="true"/>
        </w:rPr>
        <w:t xml:space="preserve">, </w:t>
      </w:r>
      <w:r>
        <w:rPr>
          <w:rtl w:val="true"/>
        </w:rPr>
        <w:t>אלא בהתווייתה של מדיניות הענישה</w:t>
      </w:r>
      <w:r>
        <w:rPr>
          <w:rtl w:val="true"/>
        </w:rPr>
        <w:t xml:space="preserve">, </w:t>
      </w:r>
      <w:r>
        <w:rPr>
          <w:rtl w:val="true"/>
        </w:rPr>
        <w:t>לנוכח החומרה המופלגת שיש לייחס לעבירות של סרסרות לזנות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לצד המחלוקת הקיימת לעתים ביחס למדיניות הראויה ביחס לחקיקה הנסבה על תופעת הזנות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9">
        <w:r>
          <w:rPr>
            <w:rStyle w:val="Hyperlink"/>
            <w:rtl w:val="true"/>
          </w:rPr>
          <w:t>הילה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שמיר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גישות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פמיניסטיות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לרגולציה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של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הזנות</w:t>
        </w:r>
        <w:r>
          <w:rPr>
            <w:rStyle w:val="Hyperlink"/>
            <w:rtl w:val="true"/>
          </w:rPr>
          <w:t xml:space="preserve">: </w:t>
        </w:r>
        <w:r>
          <w:rPr>
            <w:rStyle w:val="Hyperlink"/>
            <w:rtl w:val="true"/>
          </w:rPr>
          <w:t>מבט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אוהד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על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הפער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שבין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המשפט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עלי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ספר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לבין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המשפט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בפעולה</w:t>
        </w:r>
      </w:hyperlink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מסדירים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רגולציה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ומדיניות</w:t>
      </w:r>
      <w:r>
        <w:rPr>
          <w:rtl w:val="true"/>
        </w:rPr>
        <w:t xml:space="preserve"> </w:t>
      </w:r>
      <w:r>
        <w:rPr/>
        <w:t>121</w:t>
      </w:r>
      <w:r>
        <w:rPr>
          <w:rtl w:val="true"/>
        </w:rPr>
        <w:t xml:space="preserve"> (</w:t>
      </w:r>
      <w:r>
        <w:rPr>
          <w:rtl w:val="true"/>
        </w:rPr>
        <w:t>ישי בלנק ואחרים עורכים</w:t>
      </w:r>
      <w:r>
        <w:rPr>
          <w:rtl w:val="true"/>
        </w:rPr>
        <w:t xml:space="preserve">, </w:t>
      </w:r>
      <w:r>
        <w:rPr/>
        <w:t>2016</w:t>
      </w:r>
      <w:r>
        <w:rPr>
          <w:rtl w:val="true"/>
        </w:rPr>
        <w:t xml:space="preserve">)), </w:t>
      </w:r>
      <w:r>
        <w:rPr>
          <w:rtl w:val="true"/>
        </w:rPr>
        <w:t>קיימת תמימות דעים נרחבת יחסית באשר לחומרה הרבה שיש לייחס לעבירות של סרסרות לזנות וחיים על רווחיהם של אנשים ונשים החיים בזנות</w:t>
      </w:r>
      <w:r>
        <w:rPr>
          <w:rtl w:val="true"/>
        </w:rPr>
        <w:t xml:space="preserve">. </w:t>
      </w:r>
      <w:r>
        <w:rPr>
          <w:rtl w:val="true"/>
        </w:rPr>
        <w:t>גישה זו יש ליישם גם כאן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כאשר המערערת לבדה עומדת לפנינו</w:t>
      </w:r>
      <w:r>
        <w:rPr>
          <w:rtl w:val="true"/>
        </w:rPr>
        <w:t xml:space="preserve">, </w:t>
      </w:r>
      <w:r>
        <w:rPr>
          <w:rtl w:val="true"/>
        </w:rPr>
        <w:t>אי אפשר שלא לחוש את מצוקתה ומצוקת משפחתה</w:t>
      </w:r>
      <w:r>
        <w:rPr>
          <w:rtl w:val="true"/>
        </w:rPr>
        <w:t xml:space="preserve">. </w:t>
      </w:r>
      <w:r>
        <w:rPr>
          <w:rtl w:val="true"/>
        </w:rPr>
        <w:t>אינני מקלה בכך ראש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אי אפשר שלא להישיר מבט לכך שהמערערת ניהלה </w:t>
      </w:r>
      <w:r>
        <w:rPr>
          <w:rtl w:val="true"/>
        </w:rPr>
        <w:t>"</w:t>
      </w:r>
      <w:r>
        <w:rPr>
          <w:rtl w:val="true"/>
        </w:rPr>
        <w:t>עסק</w:t>
      </w:r>
      <w:r>
        <w:rPr>
          <w:rtl w:val="true"/>
        </w:rPr>
        <w:t xml:space="preserve">" </w:t>
      </w:r>
      <w:r>
        <w:rPr>
          <w:rtl w:val="true"/>
        </w:rPr>
        <w:t>שבו הפיקה הכנסות מפליגות על גבן של נשים שעסקו בזנות במשך שעות ארוכות במשך כל יום</w:t>
      </w:r>
      <w:r>
        <w:rPr>
          <w:rtl w:val="true"/>
        </w:rPr>
        <w:t xml:space="preserve">. </w:t>
      </w:r>
      <w:r>
        <w:rPr>
          <w:rtl w:val="true"/>
        </w:rPr>
        <w:t>כאשר מדובר בעבירות מסוג זה ראוי להזכיר ולזכור כי הפגיעה אינה רק בערכים מוגנים חשובים לחברה</w:t>
      </w:r>
      <w:r>
        <w:rPr>
          <w:rtl w:val="true"/>
        </w:rPr>
        <w:t xml:space="preserve">, </w:t>
      </w:r>
      <w:r>
        <w:rPr>
          <w:rtl w:val="true"/>
        </w:rPr>
        <w:t>אלא בבני אדם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ניתן לסיים את הדיון מבלי לציין</w:t>
      </w:r>
      <w:r>
        <w:rPr>
          <w:rtl w:val="true"/>
        </w:rPr>
        <w:t xml:space="preserve">, </w:t>
      </w:r>
      <w:r>
        <w:rPr>
          <w:rtl w:val="true"/>
        </w:rPr>
        <w:t>כי כדי לחלץ ממעגל הזנות את קרבנותיו</w:t>
      </w:r>
      <w:r>
        <w:rPr>
          <w:rtl w:val="true"/>
        </w:rPr>
        <w:t xml:space="preserve">, </w:t>
      </w:r>
      <w:r>
        <w:rPr>
          <w:rtl w:val="true"/>
        </w:rPr>
        <w:t>אכיפה של עבירות אלה היא חשובה אך אינה מספקת</w:t>
      </w:r>
      <w:r>
        <w:rPr>
          <w:rtl w:val="true"/>
        </w:rPr>
        <w:t xml:space="preserve">. </w:t>
      </w:r>
      <w:r>
        <w:rPr>
          <w:rtl w:val="true"/>
        </w:rPr>
        <w:t>נדרשת גם מחויבות שלטונית וחברתית לטיפול ושיקום של הקרבנות עצמם</w:t>
      </w:r>
      <w:r>
        <w:rPr>
          <w:rtl w:val="true"/>
        </w:rPr>
        <w:t xml:space="preserve">. </w:t>
      </w:r>
      <w:r>
        <w:rPr>
          <w:rtl w:val="true"/>
        </w:rPr>
        <w:t>יש לקוות כי ניהול ההליך הפלילי במקרה זה אכן יהיה מלווה גם בצעדים נוספים בעניין</w:t>
      </w:r>
      <w:r>
        <w:rPr>
          <w:rtl w:val="true"/>
        </w:rPr>
        <w:t xml:space="preserve">. </w:t>
      </w:r>
      <w:r>
        <w:rPr>
          <w:rtl w:val="true"/>
        </w:rPr>
        <w:t>לא רק המערערת זקוקה לתהליך שיקומי</w:t>
      </w:r>
      <w:r>
        <w:rPr>
          <w:rtl w:val="true"/>
        </w:rPr>
        <w:t xml:space="preserve">. </w:t>
      </w:r>
      <w:r>
        <w:rPr>
          <w:rtl w:val="true"/>
        </w:rPr>
        <w:t>ניתן להתרשם כי כך גם מי שעסקו בזנות תחת חסותה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cs="Miriam" w:ascii="Century" w:hAnsi="Century"/>
          <w:b/>
          <w:spacing w:val="0"/>
          <w:sz w:val="24"/>
          <w:szCs w:val="24"/>
          <w:rtl w:val="true"/>
        </w:rPr>
      </w:r>
    </w:p>
    <w:p>
      <w:pPr>
        <w:pStyle w:val="Ruller43"/>
        <w:numPr>
          <w:ilvl w:val="0"/>
          <w:numId w:val="4"/>
        </w:numPr>
        <w:ind w:hanging="0" w:start="0" w:end="0"/>
        <w:jc w:val="both"/>
        <w:rPr/>
      </w:pPr>
      <w:r>
        <w:rPr>
          <w:rtl w:val="true"/>
        </w:rPr>
        <w:t>אני מצטרף למסקנתו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המשנה לנשיאה </w:t>
      </w:r>
      <w:r>
        <w:rPr>
          <w:rFonts w:cs="Miriam"/>
          <w:b/>
          <w:b/>
          <w:spacing w:val="0"/>
          <w:szCs w:val="24"/>
          <w:rtl w:val="true"/>
        </w:rPr>
        <w:t>ע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על יסוד נימוקיו</w:t>
      </w:r>
      <w:r>
        <w:rPr>
          <w:rtl w:val="true"/>
        </w:rPr>
        <w:t xml:space="preserve">, </w:t>
      </w:r>
      <w:r>
        <w:rPr>
          <w:rtl w:val="true"/>
        </w:rPr>
        <w:t>וכן גם להערותיה של חברתי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cs="Miriam"/>
          <w:b/>
          <w:b/>
          <w:spacing w:val="0"/>
          <w:szCs w:val="24"/>
          <w:rtl w:val="true"/>
        </w:rPr>
        <w:t>ד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ברק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מאמצי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שיקום מצדה של המשיבה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אֵם לילדים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עם רקע אישי קשה ומורכב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ראויים להערכה ולהתחשבות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לוואי ותצליח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הדאגה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בעיקרה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צריכה להיות נתונה לקרבנותיה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את עיקר תשומת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הלב בערעור זה של המדינה על קולת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העונש שהושת על המשיבה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צריך להפנות לשפל הנורא שבסרסרות לזנות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לפגיעה האיומה שבכך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מערכת משומנת הפעילה המשיבה באותו בית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בושת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סרט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נע מחליא של שירותי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לילה ויום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בכל עת ובכל שעה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מיליוני שקלים הפיקה המשיבה מתעשיית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זנות זו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מרה כלענה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בהעסקת יצאניות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פי רוב נשים חלשות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אומללות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המוכרות את גופן לגברים תמורת כסף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נחוצה ענישה הולמת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מכבידה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למען יראו וייראו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ולהצלת כבוד האדם וחירותו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האיסור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תגנוב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שבעשרת הדברות</w:t>
      </w:r>
      <w:r>
        <w:rPr>
          <w:rtl w:val="true"/>
        </w:rPr>
        <w:t xml:space="preserve">, </w:t>
      </w:r>
      <w:r>
        <w:rPr>
          <w:rtl w:val="true"/>
        </w:rPr>
        <w:t>אינו מתמקד בגניבת רכוש</w:t>
      </w:r>
      <w:r>
        <w:rPr>
          <w:rtl w:val="true"/>
        </w:rPr>
        <w:t xml:space="preserve">. </w:t>
      </w:r>
      <w:r>
        <w:rPr>
          <w:rtl w:val="true"/>
        </w:rPr>
        <w:t xml:space="preserve">מן הסמיכות לדיבּר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תרצח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למדו חז</w:t>
      </w:r>
      <w:r>
        <w:rPr>
          <w:rtl w:val="true"/>
        </w:rPr>
        <w:t>"</w:t>
      </w:r>
      <w:r>
        <w:rPr>
          <w:rtl w:val="true"/>
        </w:rPr>
        <w:t>ל ש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תגנוב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מוסב כלפי גניבת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הנפש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תלמוד בבלי</w:t>
      </w:r>
      <w:r>
        <w:rPr>
          <w:rtl w:val="true"/>
        </w:rPr>
        <w:t xml:space="preserve">, </w:t>
      </w:r>
      <w:r>
        <w:rPr>
          <w:rtl w:val="true"/>
        </w:rPr>
        <w:t>סנהדרין פו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; </w:t>
      </w:r>
      <w:r>
        <w:rPr>
          <w:rtl w:val="true"/>
        </w:rPr>
        <w:t>וכדברי 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שמות כ</w:t>
      </w:r>
      <w:r>
        <w:rPr>
          <w:rtl w:val="true"/>
        </w:rPr>
        <w:t xml:space="preserve">, </w:t>
      </w:r>
      <w:r>
        <w:rPr>
          <w:rtl w:val="true"/>
        </w:rPr>
        <w:t>יג</w:t>
      </w:r>
      <w:r>
        <w:rPr>
          <w:rtl w:val="true"/>
        </w:rPr>
        <w:t xml:space="preserve">):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בגונב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נפשות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הכתוב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מדבר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).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הופכת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לחפץ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צלמו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וחירותו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דברי השופט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כתוארו אז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ascii="Century" w:hAnsi="Century" w:cs="Century"/>
          <w:sz w:val="22"/>
          <w:sz w:val="22"/>
          <w:rtl w:val="true"/>
        </w:rPr>
        <w:t xml:space="preserve"> ב</w:t>
      </w:r>
      <w:hyperlink r:id="rId50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6237/12</w:t>
        </w:r>
      </w:hyperlink>
      <w:r>
        <w:rPr>
          <w:rFonts w:cs="Century" w:ascii="Century" w:hAnsi="Century"/>
          <w:sz w:val="22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6.9.2016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5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אליקים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רובינשטיין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סחר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בבני</w:t>
        </w:r>
        <w:r>
          <w:rPr>
            <w:rStyle w:val="Hyperlink"/>
            <w:rFonts w:cs="Century" w:ascii="Century" w:hAnsi="Century"/>
            <w:sz w:val="22"/>
            <w:rtl w:val="true"/>
          </w:rPr>
          <w:t>-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אדם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לעיסוק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בזנות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–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עד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קצוי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הבושה</w:t>
        </w:r>
        <w:r>
          <w:rPr>
            <w:rStyle w:val="Hyperlink"/>
            <w:rFonts w:cs="Century" w:ascii="Century" w:hAnsi="Century"/>
            <w:sz w:val="22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עד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שורשי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החובה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התשס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נצטווינו מפורשות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אַל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תְּחַלֵּל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אֶת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בִּתְּךָ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לְהַזְנוֹתָהּ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וְלֹא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תִזְנֶה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הָאָרֶץ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וּמָלְאָה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הָאָרֶץ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זִמָּה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ויקרא יט</w:t>
      </w:r>
      <w:r>
        <w:rPr>
          <w:rtl w:val="true"/>
        </w:rPr>
        <w:t xml:space="preserve">, </w:t>
      </w:r>
      <w:r>
        <w:rPr>
          <w:rtl w:val="true"/>
        </w:rPr>
        <w:t>כט</w:t>
      </w:r>
      <w:r>
        <w:rPr>
          <w:rtl w:val="true"/>
        </w:rPr>
        <w:t xml:space="preserve">). </w:t>
      </w:r>
      <w:r>
        <w:rPr>
          <w:rtl w:val="true"/>
        </w:rPr>
        <w:t>הא למדנו</w:t>
      </w:r>
      <w:r>
        <w:rPr>
          <w:rtl w:val="true"/>
        </w:rPr>
        <w:t xml:space="preserve">, </w:t>
      </w:r>
      <w:r>
        <w:rPr>
          <w:rtl w:val="true"/>
        </w:rPr>
        <w:t>שבחברה בה פושה תעשיית הזנות</w:t>
      </w:r>
      <w:r>
        <w:rPr>
          <w:rtl w:val="true"/>
        </w:rPr>
        <w:t xml:space="preserve">, </w:t>
      </w:r>
      <w:r>
        <w:rPr>
          <w:rtl w:val="true"/>
        </w:rPr>
        <w:t>בתי בושת</w:t>
      </w:r>
      <w:r>
        <w:rPr>
          <w:rtl w:val="true"/>
        </w:rPr>
        <w:t xml:space="preserve">, </w:t>
      </w:r>
      <w:r>
        <w:rPr>
          <w:rtl w:val="true"/>
        </w:rPr>
        <w:t>סרסרות</w:t>
      </w:r>
      <w:r>
        <w:rPr>
          <w:rtl w:val="true"/>
        </w:rPr>
        <w:t xml:space="preserve">, </w:t>
      </w:r>
      <w:r>
        <w:rPr>
          <w:rtl w:val="true"/>
        </w:rPr>
        <w:t>שידול לזנות</w:t>
      </w:r>
      <w:r>
        <w:rPr>
          <w:rtl w:val="true"/>
        </w:rPr>
        <w:t xml:space="preserve">, </w:t>
      </w:r>
      <w:r>
        <w:rPr>
          <w:rtl w:val="true"/>
        </w:rPr>
        <w:t xml:space="preserve">וכיוצא באלה רעות חולות </w:t>
      </w:r>
      <w:r>
        <w:rPr>
          <w:rtl w:val="true"/>
        </w:rPr>
        <w:t>–</w:t>
      </w:r>
      <w:r>
        <w:rPr>
          <w:rtl w:val="true"/>
        </w:rPr>
        <w:t xml:space="preserve"> הארץ עצמה</w:t>
      </w:r>
      <w:r>
        <w:rPr>
          <w:rtl w:val="true"/>
        </w:rPr>
        <w:t xml:space="preserve">, </w:t>
      </w:r>
      <w:r>
        <w:rPr>
          <w:rtl w:val="true"/>
        </w:rPr>
        <w:t>לא רק החוטאים</w:t>
      </w:r>
      <w:r>
        <w:rPr>
          <w:rtl w:val="true"/>
        </w:rPr>
        <w:t xml:space="preserve">, </w:t>
      </w:r>
      <w:r>
        <w:rPr>
          <w:rtl w:val="true"/>
        </w:rPr>
        <w:t>סופגת את חטאי יושביה</w:t>
      </w:r>
      <w:r>
        <w:rPr>
          <w:rtl w:val="true"/>
        </w:rPr>
        <w:t xml:space="preserve">. </w:t>
      </w:r>
      <w:r>
        <w:rPr>
          <w:rtl w:val="true"/>
        </w:rPr>
        <w:t>כך פירש רש</w:t>
      </w:r>
      <w:r>
        <w:rPr>
          <w:rtl w:val="true"/>
        </w:rPr>
        <w:t>"</w:t>
      </w:r>
      <w:r>
        <w:rPr>
          <w:rtl w:val="true"/>
        </w:rPr>
        <w:t>י את הפסוק</w:t>
      </w:r>
      <w:r>
        <w:rPr>
          <w:rtl w:val="true"/>
        </w:rPr>
        <w:t>: "</w:t>
      </w:r>
      <w:r>
        <w:rPr>
          <w:rFonts w:cs="Miriam"/>
          <w:b/>
          <w:b/>
          <w:spacing w:val="0"/>
          <w:szCs w:val="24"/>
          <w:rtl w:val="true"/>
        </w:rPr>
        <w:t>אִם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אַתָּה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עוֹשֶׂה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כֵּן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הָאָרֶץ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מְזַנָּה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אֶת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פֵּרוֹתֶיהָ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לַעֲשׂוֹתָן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בְּמָקוֹם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אַחֵר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וְלֹא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בְּאַרְצְכֶם</w:t>
      </w:r>
      <w:r>
        <w:rPr>
          <w:rtl w:val="true"/>
        </w:rPr>
        <w:t xml:space="preserve">". </w:t>
      </w:r>
      <w:r>
        <w:rPr>
          <w:rtl w:val="true"/>
        </w:rPr>
        <w:t>דוגמה לכך ניתן למצוא ביחס לחטאי דור המבול</w:t>
      </w:r>
      <w:r>
        <w:rPr>
          <w:rtl w:val="true"/>
        </w:rPr>
        <w:t xml:space="preserve">: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דור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המבול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נמחו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העולם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ידי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שהיו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שטופין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בזנות</w:t>
      </w:r>
      <w:r>
        <w:rPr>
          <w:rFonts w:cs="Miriam"/>
          <w:b/>
          <w:spacing w:val="0"/>
          <w:szCs w:val="24"/>
          <w:rtl w:val="true"/>
        </w:rPr>
        <w:t xml:space="preserve">. </w:t>
      </w:r>
      <w:r>
        <w:rPr>
          <w:rFonts w:cs="Miriam"/>
          <w:b/>
          <w:b/>
          <w:spacing w:val="0"/>
          <w:szCs w:val="24"/>
          <w:rtl w:val="true"/>
        </w:rPr>
        <w:t>אמר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רבי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שמלאי</w:t>
      </w:r>
      <w:r>
        <w:rPr>
          <w:rFonts w:cs="Miriam"/>
          <w:b/>
          <w:spacing w:val="0"/>
          <w:szCs w:val="24"/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מקום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שאתה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מוצא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זנות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אנדרלמוסיא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באה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לעולם…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מצינו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הקב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מאריך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אפו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חוץ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הזנות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ויקרא רבה כג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 xml:space="preserve">במה </w:t>
      </w:r>
      <w:r>
        <w:rPr>
          <w:rtl w:val="true"/>
        </w:rPr>
        <w:t>'</w:t>
      </w:r>
      <w:r>
        <w:rPr>
          <w:rtl w:val="true"/>
        </w:rPr>
        <w:t>זכתה</w:t>
      </w:r>
      <w:r>
        <w:rPr>
          <w:rtl w:val="true"/>
        </w:rPr>
        <w:t xml:space="preserve">' </w:t>
      </w:r>
      <w:r>
        <w:rPr>
          <w:rtl w:val="true"/>
        </w:rPr>
        <w:t>הזנות</w:t>
      </w:r>
      <w:r>
        <w:rPr>
          <w:rtl w:val="true"/>
        </w:rPr>
        <w:t xml:space="preserve">, </w:t>
      </w:r>
      <w:r>
        <w:rPr>
          <w:rtl w:val="true"/>
        </w:rPr>
        <w:t xml:space="preserve">שיקשרו לראשה </w:t>
      </w:r>
      <w:r>
        <w:rPr>
          <w:rtl w:val="true"/>
        </w:rPr>
        <w:t>'</w:t>
      </w:r>
      <w:r>
        <w:rPr>
          <w:rtl w:val="true"/>
        </w:rPr>
        <w:t>כתרים</w:t>
      </w:r>
      <w:r>
        <w:rPr>
          <w:rtl w:val="true"/>
        </w:rPr>
        <w:t xml:space="preserve">' </w:t>
      </w:r>
      <w:r>
        <w:rPr>
          <w:rtl w:val="true"/>
        </w:rPr>
        <w:t>שכאלה</w:t>
      </w:r>
      <w:r>
        <w:rPr>
          <w:rtl w:val="true"/>
        </w:rPr>
        <w:t xml:space="preserve">, </w:t>
      </w:r>
      <w:r>
        <w:rPr>
          <w:rtl w:val="true"/>
        </w:rPr>
        <w:t>יתר על עבירות הנתפסות כחמורות הימנה</w:t>
      </w:r>
      <w:r>
        <w:rPr>
          <w:rtl w:val="true"/>
        </w:rPr>
        <w:t xml:space="preserve">, </w:t>
      </w:r>
      <w:r>
        <w:rPr>
          <w:rtl w:val="true"/>
        </w:rPr>
        <w:t>כגון רצח ועבודה זרה</w:t>
      </w:r>
      <w:r>
        <w:rPr>
          <w:rtl w:val="true"/>
        </w:rPr>
        <w:t xml:space="preserve">? </w:t>
      </w:r>
      <w:r>
        <w:rPr>
          <w:rtl w:val="true"/>
        </w:rPr>
        <w:t>היטב השיב על כך פרופ</w:t>
      </w:r>
      <w:r>
        <w:rPr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אביעד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הכהן</w:t>
      </w:r>
      <w:r>
        <w:rPr>
          <w:rtl w:val="true"/>
        </w:rPr>
        <w:t xml:space="preserve">: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הזנות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מביאה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לחורבן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משום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חומרתה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שהרי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עברות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חמורות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פחות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ממנה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כגון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רצח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אונס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שוד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שבניגוד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לזנות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הנעשית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לעתים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קרובות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ברצון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עושיה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הן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נעשות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בניגוד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לרצון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הקרבן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משום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שהשפלת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כבוד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האדם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חרפתו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וביזויו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באים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לידי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ביטוי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חריף</w:t>
      </w:r>
      <w:r>
        <w:rPr>
          <w:rFonts w:cs="Miriam"/>
          <w:b/>
          <w:spacing w:val="0"/>
          <w:szCs w:val="24"/>
          <w:rtl w:val="true"/>
        </w:rPr>
        <w:t xml:space="preserve">. </w:t>
      </w:r>
      <w:r>
        <w:rPr>
          <w:rFonts w:cs="Miriam"/>
          <w:b/>
          <w:b/>
          <w:spacing w:val="0"/>
          <w:szCs w:val="24"/>
          <w:rtl w:val="true"/>
        </w:rPr>
        <w:t>הפיכת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האדם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מוצר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עובר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לסוחר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עלולה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חס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ושלום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להביא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לידי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כך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שיאמר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המתבונן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בקרבן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העברה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בלשון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קדמונים</w:t>
      </w:r>
      <w:r>
        <w:rPr>
          <w:rFonts w:cs="Miriam"/>
          <w:b/>
          <w:spacing w:val="0"/>
          <w:szCs w:val="24"/>
          <w:rtl w:val="true"/>
        </w:rPr>
        <w:t xml:space="preserve">: 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וּמוֹתַ</w:t>
      </w:r>
      <w:r>
        <w:rPr>
          <w:rFonts w:cs="Miriam"/>
          <w:b/>
          <w:b/>
          <w:spacing w:val="0"/>
          <w:szCs w:val="24"/>
          <w:rtl w:val="true"/>
        </w:rPr>
        <w:t>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הָאָדָם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מִן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הַבְּהֵמָה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אָיִן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spacing w:val="0"/>
          <w:szCs w:val="24"/>
          <w:rtl w:val="true"/>
        </w:rPr>
        <w:t xml:space="preserve"> (</w:t>
      </w:r>
      <w:r>
        <w:rPr>
          <w:rFonts w:cs="Miriam"/>
          <w:b/>
          <w:b/>
          <w:spacing w:val="0"/>
          <w:szCs w:val="24"/>
          <w:rtl w:val="true"/>
        </w:rPr>
        <w:t>קהלת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יט</w:t>
      </w:r>
      <w:r>
        <w:rPr>
          <w:rFonts w:cs="Miriam"/>
          <w:b/>
          <w:spacing w:val="0"/>
          <w:szCs w:val="24"/>
          <w:rtl w:val="true"/>
        </w:rPr>
        <w:t>)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(</w:t>
      </w:r>
      <w:r>
        <w:rPr>
          <w:rtl w:val="true"/>
        </w:rPr>
        <w:t xml:space="preserve">אביעד הכהן </w:t>
      </w:r>
      <w:r>
        <w:rPr>
          <w:rtl w:val="true"/>
        </w:rPr>
        <w:t>"</w:t>
      </w:r>
      <w:r>
        <w:rPr>
          <w:rtl w:val="true"/>
        </w:rPr>
        <w:t xml:space="preserve">והתמכרתם שם לאֹיביך לעבדים ולשפחות </w:t>
      </w:r>
      <w:r>
        <w:rPr>
          <w:rtl w:val="true"/>
        </w:rPr>
        <w:t>–</w:t>
      </w:r>
      <w:r>
        <w:rPr>
          <w:rtl w:val="true"/>
        </w:rPr>
        <w:t xml:space="preserve"> על איסור הסחר בבני אדם</w:t>
      </w:r>
      <w:r>
        <w:rPr>
          <w:rtl w:val="true"/>
        </w:rPr>
        <w:t xml:space="preserve">" </w:t>
      </w:r>
      <w:r>
        <w:rPr>
          <w:rFonts w:cs="Miriam"/>
          <w:b/>
          <w:b/>
          <w:spacing w:val="0"/>
          <w:szCs w:val="24"/>
          <w:rtl w:val="true"/>
        </w:rPr>
        <w:t>פרשת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השבוע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/>
        <w:t>179</w:t>
      </w:r>
      <w:r>
        <w:rPr>
          <w:rtl w:val="true"/>
        </w:rPr>
        <w:t>,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פרשת</w:t>
      </w:r>
      <w:r>
        <w:rPr>
          <w:rtl w:val="true"/>
        </w:rPr>
        <w:t xml:space="preserve"> </w:t>
      </w:r>
      <w:r>
        <w:rPr>
          <w:rtl w:val="true"/>
        </w:rPr>
        <w:t>כי תבוא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תש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)). </w:t>
      </w:r>
      <w:r>
        <w:rPr>
          <w:rtl w:val="true"/>
        </w:rPr>
        <w:t>ועוד זאת מדבריו החשובים שם</w:t>
      </w:r>
      <w:r>
        <w:rPr>
          <w:rtl w:val="true"/>
        </w:rPr>
        <w:t xml:space="preserve">, </w:t>
      </w:r>
      <w:r>
        <w:rPr>
          <w:rtl w:val="true"/>
        </w:rPr>
        <w:t xml:space="preserve">על הציווי לגבי אשת יפת תואר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תתעמר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בה</w:t>
      </w:r>
      <w:r>
        <w:rPr>
          <w:rFonts w:cs="Miriam"/>
          <w:b/>
          <w:spacing w:val="0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דברים כא</w:t>
      </w:r>
      <w:r>
        <w:rPr>
          <w:rtl w:val="true"/>
        </w:rPr>
        <w:t xml:space="preserve">, </w:t>
      </w:r>
      <w:r>
        <w:rPr>
          <w:rtl w:val="true"/>
        </w:rPr>
        <w:t>יד</w:t>
      </w:r>
      <w:r>
        <w:rPr>
          <w:rtl w:val="true"/>
        </w:rPr>
        <w:t xml:space="preserve">), </w:t>
      </w:r>
      <w:r>
        <w:rPr>
          <w:rtl w:val="true"/>
        </w:rPr>
        <w:t>כי לדעת הרש</w:t>
      </w:r>
      <w:r>
        <w:rPr>
          <w:rtl w:val="true"/>
        </w:rPr>
        <w:t>"</w:t>
      </w:r>
      <w:r>
        <w:rPr>
          <w:rtl w:val="true"/>
        </w:rPr>
        <w:t>ר הירש משמעות השורש עמ</w:t>
      </w:r>
      <w:r>
        <w:rPr>
          <w:rtl w:val="true"/>
        </w:rPr>
        <w:t>"</w:t>
      </w:r>
      <w:r>
        <w:rPr>
          <w:rtl w:val="true"/>
        </w:rPr>
        <w:t>ר כאן</w:t>
      </w:r>
      <w:r>
        <w:rPr>
          <w:rtl w:val="true"/>
        </w:rPr>
        <w:t xml:space="preserve">, </w:t>
      </w:r>
      <w:r>
        <w:rPr>
          <w:rtl w:val="true"/>
        </w:rPr>
        <w:t xml:space="preserve">כמשמעותו בשאר מקומות במקרא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אלומת שיבולים</w:t>
      </w:r>
      <w:r>
        <w:rPr>
          <w:rtl w:val="true"/>
        </w:rPr>
        <w:t xml:space="preserve">':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תיצור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לעצמך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עומר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מאישה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שבויה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זו</w:t>
      </w:r>
      <w:r>
        <w:rPr>
          <w:rFonts w:cs="Miriam"/>
          <w:b/>
          <w:spacing w:val="0"/>
          <w:szCs w:val="24"/>
          <w:rtl w:val="true"/>
        </w:rPr>
        <w:t xml:space="preserve">. </w:t>
      </w:r>
      <w:r>
        <w:rPr>
          <w:rFonts w:cs="Miriam"/>
          <w:b/>
          <w:b/>
          <w:spacing w:val="0"/>
          <w:szCs w:val="24"/>
          <w:rtl w:val="true"/>
        </w:rPr>
        <w:t>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תפיק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ממנה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תועלת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תקצור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ממנה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רווחים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לקופתך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ומעין הדברים הללו באו לידי ביטוי בפירושו של רבי יוסף אבן כספי </w:t>
      </w:r>
      <w:r>
        <w:rPr>
          <w:rtl w:val="true"/>
        </w:rPr>
        <w:t>(</w:t>
      </w:r>
      <w:r>
        <w:rPr>
          <w:rtl w:val="true"/>
        </w:rPr>
        <w:t>סוף המאה ה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), </w:t>
      </w:r>
      <w:r>
        <w:rPr>
          <w:rtl w:val="true"/>
        </w:rPr>
        <w:t xml:space="preserve">בחיבורו </w:t>
      </w:r>
      <w:r>
        <w:rPr>
          <w:rtl w:val="true"/>
        </w:rPr>
        <w:t>"</w:t>
      </w:r>
      <w:r>
        <w:rPr>
          <w:rtl w:val="true"/>
        </w:rPr>
        <w:t>משנה כסף</w:t>
      </w:r>
      <w:r>
        <w:rPr>
          <w:rtl w:val="true"/>
        </w:rPr>
        <w:t xml:space="preserve">":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תתעמר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שיעשה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ממנה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אגודה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שישאנה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למכור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בשוק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כאגודת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עצים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שיבולים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לא כך יֵעשה באישה</w:t>
      </w:r>
      <w:r>
        <w:rPr>
          <w:rtl w:val="true"/>
        </w:rPr>
        <w:t xml:space="preserve">, </w:t>
      </w:r>
      <w:r>
        <w:rPr>
          <w:rtl w:val="true"/>
        </w:rPr>
        <w:t>לא יסרסרו בה למעשה זנות</w:t>
      </w:r>
      <w:r>
        <w:rPr>
          <w:rtl w:val="true"/>
        </w:rPr>
        <w:t xml:space="preserve">, </w:t>
      </w:r>
      <w:r>
        <w:rPr>
          <w:rtl w:val="true"/>
        </w:rPr>
        <w:t>גופה לא ישמש כמטבע עובר לסוחר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cs="Miriam"/>
          <w:b/>
          <w:spacing w:val="0"/>
          <w:szCs w:val="24"/>
        </w:rPr>
      </w:pPr>
      <w:r>
        <w:rPr>
          <w:rtl w:val="true"/>
        </w:rPr>
        <w:t>על ההרס האנושי והחברתי שבשידול לזנות</w:t>
      </w:r>
      <w:r>
        <w:rPr>
          <w:rtl w:val="true"/>
        </w:rPr>
        <w:t xml:space="preserve">, </w:t>
      </w:r>
      <w:r>
        <w:rPr>
          <w:rtl w:val="true"/>
        </w:rPr>
        <w:t>לבטח כשמדובר בתעשיה של כסף</w:t>
      </w:r>
      <w:r>
        <w:rPr>
          <w:rtl w:val="true"/>
        </w:rPr>
        <w:t xml:space="preserve">, </w:t>
      </w:r>
      <w:r>
        <w:rPr>
          <w:rtl w:val="true"/>
        </w:rPr>
        <w:t xml:space="preserve">כדרך שבה פעלה המשיבה שנים ארוכות </w:t>
      </w:r>
      <w:r>
        <w:rPr>
          <w:rtl w:val="true"/>
        </w:rPr>
        <w:t>–</w:t>
      </w:r>
      <w:r>
        <w:rPr>
          <w:rtl w:val="true"/>
        </w:rPr>
        <w:t xml:space="preserve"> בהחזקת מקום לשם זנות</w:t>
      </w:r>
      <w:r>
        <w:rPr>
          <w:rtl w:val="true"/>
        </w:rPr>
        <w:t xml:space="preserve">, </w:t>
      </w:r>
      <w:r>
        <w:rPr>
          <w:rtl w:val="true"/>
        </w:rPr>
        <w:t>בפרסום שירותי זנות</w:t>
      </w:r>
      <w:r>
        <w:rPr>
          <w:rtl w:val="true"/>
        </w:rPr>
        <w:t xml:space="preserve">, </w:t>
      </w:r>
      <w:r>
        <w:rPr>
          <w:rtl w:val="true"/>
        </w:rPr>
        <w:t xml:space="preserve">בסרסרות למעשי זנות </w:t>
      </w:r>
      <w:r>
        <w:rPr>
          <w:rtl w:val="true"/>
        </w:rPr>
        <w:t>–</w:t>
      </w:r>
      <w:r>
        <w:rPr>
          <w:rtl w:val="true"/>
        </w:rPr>
        <w:t xml:space="preserve"> נוכל ללמוד מן האמור בספר משלי </w:t>
      </w:r>
      <w:r>
        <w:rPr>
          <w:rtl w:val="true"/>
        </w:rPr>
        <w:t>(</w:t>
      </w:r>
      <w:r>
        <w:rPr>
          <w:rtl w:val="true"/>
        </w:rPr>
        <w:t>ז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>כז</w:t>
      </w:r>
      <w:r>
        <w:rPr>
          <w:rtl w:val="true"/>
        </w:rPr>
        <w:t xml:space="preserve">):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לִ</w:t>
      </w:r>
      <w:r>
        <w:rPr>
          <w:rFonts w:cs="Miriam"/>
          <w:b/>
          <w:b/>
          <w:spacing w:val="0"/>
          <w:szCs w:val="24"/>
          <w:rtl w:val="true"/>
        </w:rPr>
        <w:t>שְׁמָרְךָ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מֵאִשָּׁה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זָרָה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מִנָּכְרִיָּה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אֲמָרֶיהָ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הֶחֱלִיקָה</w:t>
      </w:r>
      <w:r>
        <w:rPr>
          <w:rFonts w:cs="Miriam"/>
          <w:b/>
          <w:spacing w:val="0"/>
          <w:szCs w:val="24"/>
          <w:rtl w:val="true"/>
        </w:rPr>
        <w:t>: (</w:t>
      </w:r>
      <w:r>
        <w:rPr>
          <w:rFonts w:cs="Miriam"/>
          <w:b/>
          <w:b/>
          <w:spacing w:val="0"/>
          <w:szCs w:val="24"/>
          <w:rtl w:val="true"/>
        </w:rPr>
        <w:t>ו</w:t>
      </w:r>
      <w:r>
        <w:rPr>
          <w:rFonts w:cs="Miriam"/>
          <w:b/>
          <w:spacing w:val="0"/>
          <w:szCs w:val="24"/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כִּי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בְּחַלּוֹן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בֵּיתִי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בְּעַד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אֶשְׁנַבִּי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נִשְׁקָפְתִּי</w:t>
      </w:r>
      <w:r>
        <w:rPr>
          <w:rFonts w:cs="Miriam"/>
          <w:b/>
          <w:spacing w:val="0"/>
          <w:szCs w:val="24"/>
          <w:rtl w:val="true"/>
        </w:rPr>
        <w:t>:</w:t>
      </w:r>
      <w:r>
        <w:rPr>
          <w:rFonts w:cs="Miriam"/>
          <w:b/>
          <w:spacing w:val="0"/>
          <w:szCs w:val="24"/>
          <w:rtl w:val="true"/>
        </w:rPr>
        <w:t>..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(</w:t>
      </w:r>
      <w:r>
        <w:rPr>
          <w:rFonts w:cs="Miriam"/>
          <w:b/>
          <w:b/>
          <w:spacing w:val="0"/>
          <w:szCs w:val="24"/>
          <w:rtl w:val="true"/>
        </w:rPr>
        <w:t>ח</w:t>
      </w:r>
      <w:r>
        <w:rPr>
          <w:rFonts w:cs="Miriam"/>
          <w:b/>
          <w:spacing w:val="0"/>
          <w:szCs w:val="24"/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הַרְחֵק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מֵעָלֶיהָ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דַרְכֶּךָ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וְאַל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תִּקְרַב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אֶל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פֶּתַח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בֵּיתָהּ</w:t>
      </w:r>
      <w:r>
        <w:rPr>
          <w:rFonts w:cs="Miriam"/>
          <w:b/>
          <w:spacing w:val="0"/>
          <w:szCs w:val="24"/>
          <w:rtl w:val="true"/>
        </w:rPr>
        <w:t>: (</w:t>
      </w:r>
      <w:r>
        <w:rPr>
          <w:rFonts w:cs="Miriam"/>
          <w:b/>
          <w:b/>
          <w:spacing w:val="0"/>
          <w:szCs w:val="24"/>
          <w:rtl w:val="true"/>
        </w:rPr>
        <w:t>ט</w:t>
      </w:r>
      <w:r>
        <w:rPr>
          <w:rFonts w:cs="Miriam"/>
          <w:b/>
          <w:spacing w:val="0"/>
          <w:szCs w:val="24"/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פֶּן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תִּתֵּן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לַאֲחֵרִים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הוֹדֶךָ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</w:t>
      </w:r>
      <w:r>
        <w:rPr>
          <w:rFonts w:cs="Miriam"/>
          <w:b/>
          <w:b/>
          <w:spacing w:val="0"/>
          <w:szCs w:val="24"/>
          <w:rtl w:val="true"/>
        </w:rPr>
        <w:t>ּ</w:t>
      </w:r>
      <w:r>
        <w:rPr>
          <w:rFonts w:cs="Miriam"/>
          <w:b/>
          <w:b/>
          <w:spacing w:val="0"/>
          <w:szCs w:val="24"/>
          <w:rtl w:val="true"/>
        </w:rPr>
        <w:t>ש</w:t>
      </w:r>
      <w:r>
        <w:rPr>
          <w:rFonts w:cs="Miriam"/>
          <w:b/>
          <w:b/>
          <w:spacing w:val="0"/>
          <w:szCs w:val="24"/>
          <w:rtl w:val="true"/>
        </w:rPr>
        <w:t>ְׁ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b/>
          <w:spacing w:val="0"/>
          <w:szCs w:val="24"/>
          <w:rtl w:val="true"/>
        </w:rPr>
        <w:t>ֹ</w:t>
      </w:r>
      <w:r>
        <w:rPr>
          <w:rFonts w:cs="Miriam"/>
          <w:b/>
          <w:b/>
          <w:spacing w:val="0"/>
          <w:szCs w:val="24"/>
          <w:rtl w:val="true"/>
        </w:rPr>
        <w:t>ת</w:t>
      </w:r>
      <w:r>
        <w:rPr>
          <w:rFonts w:cs="Miriam"/>
          <w:b/>
          <w:b/>
          <w:spacing w:val="0"/>
          <w:szCs w:val="24"/>
          <w:rtl w:val="true"/>
        </w:rPr>
        <w:t>ֶ</w:t>
      </w:r>
      <w:r>
        <w:rPr>
          <w:rFonts w:cs="Miriam"/>
          <w:b/>
          <w:b/>
          <w:spacing w:val="0"/>
          <w:szCs w:val="24"/>
          <w:rtl w:val="true"/>
        </w:rPr>
        <w:t>ך</w:t>
      </w:r>
      <w:r>
        <w:rPr>
          <w:rFonts w:cs="Miriam"/>
          <w:b/>
          <w:b/>
          <w:spacing w:val="0"/>
          <w:szCs w:val="24"/>
          <w:rtl w:val="true"/>
        </w:rPr>
        <w:t>ָ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לְאַכְזָרִי</w:t>
      </w:r>
      <w:r>
        <w:rPr>
          <w:rFonts w:cs="Miriam"/>
          <w:b/>
          <w:spacing w:val="0"/>
          <w:szCs w:val="24"/>
          <w:rtl w:val="true"/>
        </w:rPr>
        <w:t xml:space="preserve">: </w:t>
      </w:r>
      <w:r>
        <w:rPr>
          <w:rFonts w:cs="Miriam"/>
          <w:b/>
          <w:spacing w:val="0"/>
          <w:szCs w:val="24"/>
          <w:rtl w:val="true"/>
        </w:rPr>
        <w:t>(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וְהִנֵּה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אִשָּׁה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לִקְרָאתוֹ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שִׁית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זוֹנָה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וּנְצֻ</w:t>
      </w:r>
      <w:r>
        <w:rPr>
          <w:rFonts w:cs="Miriam"/>
          <w:b/>
          <w:b/>
          <w:spacing w:val="0"/>
          <w:szCs w:val="24"/>
          <w:rtl w:val="true"/>
        </w:rPr>
        <w:t>רַת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לֵב</w:t>
      </w:r>
      <w:r>
        <w:rPr>
          <w:rFonts w:cs="Miriam"/>
          <w:b/>
          <w:spacing w:val="0"/>
          <w:szCs w:val="24"/>
          <w:rtl w:val="true"/>
        </w:rPr>
        <w:t>: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(</w:t>
      </w:r>
      <w:r>
        <w:rPr>
          <w:rFonts w:cs="Miriam"/>
          <w:b/>
          <w:b/>
          <w:spacing w:val="0"/>
          <w:szCs w:val="24"/>
          <w:rtl w:val="true"/>
        </w:rPr>
        <w:t>יא</w:t>
      </w:r>
      <w:r>
        <w:rPr>
          <w:rFonts w:cs="Miriam"/>
          <w:b/>
          <w:spacing w:val="0"/>
          <w:szCs w:val="24"/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הֹמִיָּה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הִיא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וְסֹרָרֶת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בְּבֵיתָהּ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לֹא־יִשְׁכְּנוּ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רַגְלֶיהָ</w:t>
      </w:r>
      <w:r>
        <w:rPr>
          <w:rFonts w:cs="Miriam"/>
          <w:b/>
          <w:spacing w:val="0"/>
          <w:szCs w:val="24"/>
          <w:rtl w:val="true"/>
        </w:rPr>
        <w:t>: (</w:t>
      </w:r>
      <w:r>
        <w:rPr>
          <w:rFonts w:cs="Miriam"/>
          <w:b/>
          <w:b/>
          <w:spacing w:val="0"/>
          <w:szCs w:val="24"/>
          <w:rtl w:val="true"/>
        </w:rPr>
        <w:t>יב</w:t>
      </w:r>
      <w:r>
        <w:rPr>
          <w:rFonts w:cs="Miriam"/>
          <w:b/>
          <w:spacing w:val="0"/>
          <w:szCs w:val="24"/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פַּעַם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בַּחוּץ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פַּעַם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בָּרְחֹבוֹת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וְאֵצֶל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כָּל־פִּנָּה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תֶאֱרֹב</w:t>
      </w:r>
      <w:r>
        <w:rPr>
          <w:rFonts w:cs="Miriam"/>
          <w:b/>
          <w:spacing w:val="0"/>
          <w:szCs w:val="24"/>
          <w:rtl w:val="true"/>
        </w:rPr>
        <w:t>: (</w:t>
      </w:r>
      <w:r>
        <w:rPr>
          <w:rFonts w:cs="Miriam"/>
          <w:b/>
          <w:b/>
          <w:spacing w:val="0"/>
          <w:szCs w:val="24"/>
          <w:rtl w:val="true"/>
        </w:rPr>
        <w:t>יג</w:t>
      </w:r>
      <w:r>
        <w:rPr>
          <w:rFonts w:cs="Miriam"/>
          <w:b/>
          <w:spacing w:val="0"/>
          <w:szCs w:val="24"/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וְהֶחֱזִיקָה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בּוֹ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וְנָשְׁקָה־לּוֹ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הֵעֵזָה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פָנֶיהָ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וַתֹּאמַר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לוֹ</w:t>
      </w:r>
      <w:r>
        <w:rPr>
          <w:rFonts w:cs="Miriam"/>
          <w:b/>
          <w:spacing w:val="0"/>
          <w:szCs w:val="24"/>
          <w:rtl w:val="true"/>
        </w:rPr>
        <w:t>:</w:t>
      </w:r>
      <w:r>
        <w:rPr>
          <w:rFonts w:cs="Miriam"/>
          <w:b/>
          <w:spacing w:val="0"/>
          <w:szCs w:val="24"/>
          <w:rtl w:val="true"/>
        </w:rPr>
        <w:t>...</w:t>
      </w:r>
      <w:r>
        <w:rPr>
          <w:rFonts w:cs="Miriam"/>
          <w:b/>
          <w:spacing w:val="0"/>
          <w:szCs w:val="24"/>
          <w:rtl w:val="true"/>
        </w:rPr>
        <w:t xml:space="preserve"> (</w:t>
      </w:r>
      <w:r>
        <w:rPr>
          <w:rFonts w:cs="Miriam"/>
          <w:b/>
          <w:b/>
          <w:spacing w:val="0"/>
          <w:szCs w:val="24"/>
          <w:rtl w:val="true"/>
        </w:rPr>
        <w:t>יח</w:t>
      </w:r>
      <w:r>
        <w:rPr>
          <w:rFonts w:cs="Miriam"/>
          <w:b/>
          <w:spacing w:val="0"/>
          <w:szCs w:val="24"/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לְכָ</w:t>
      </w:r>
      <w:r>
        <w:rPr>
          <w:rFonts w:cs="Miriam"/>
          <w:b/>
          <w:b/>
          <w:spacing w:val="0"/>
          <w:szCs w:val="24"/>
          <w:rtl w:val="true"/>
        </w:rPr>
        <w:t>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נִרְוֶ</w:t>
      </w:r>
      <w:r>
        <w:rPr>
          <w:rFonts w:cs="Miriam"/>
          <w:b/>
          <w:b/>
          <w:spacing w:val="0"/>
          <w:szCs w:val="24"/>
          <w:rtl w:val="true"/>
        </w:rPr>
        <w:t>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דֹדִים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עַד־הַבֹּקֶר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נִתְעַלְּסָה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בָּאֳהָבִים</w:t>
      </w:r>
      <w:r>
        <w:rPr>
          <w:rFonts w:cs="Miriam"/>
          <w:b/>
          <w:spacing w:val="0"/>
          <w:szCs w:val="24"/>
          <w:rtl w:val="true"/>
        </w:rPr>
        <w:t>:</w:t>
      </w:r>
      <w:r>
        <w:rPr>
          <w:rFonts w:cs="Miriam"/>
          <w:b/>
          <w:spacing w:val="0"/>
          <w:szCs w:val="24"/>
          <w:rtl w:val="true"/>
        </w:rPr>
        <w:t>...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(</w:t>
      </w:r>
      <w:r>
        <w:rPr>
          <w:rFonts w:cs="Miriam"/>
          <w:b/>
          <w:b/>
          <w:spacing w:val="0"/>
          <w:szCs w:val="24"/>
          <w:rtl w:val="true"/>
        </w:rPr>
        <w:t>כד</w:t>
      </w:r>
      <w:r>
        <w:rPr>
          <w:rFonts w:cs="Miriam"/>
          <w:b/>
          <w:spacing w:val="0"/>
          <w:szCs w:val="24"/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וְעַתָּה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בָנִים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שִׁמְעוּ־לִי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וְהַקְשִׁיבוּ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לְאִמְרֵי־פִי</w:t>
      </w:r>
      <w:r>
        <w:rPr>
          <w:rFonts w:cs="Miriam"/>
          <w:b/>
          <w:spacing w:val="0"/>
          <w:szCs w:val="24"/>
          <w:rtl w:val="true"/>
        </w:rPr>
        <w:t>: (</w:t>
      </w:r>
      <w:r>
        <w:rPr>
          <w:rFonts w:cs="Miriam"/>
          <w:b/>
          <w:b/>
          <w:spacing w:val="0"/>
          <w:szCs w:val="24"/>
          <w:rtl w:val="true"/>
        </w:rPr>
        <w:t>כה</w:t>
      </w:r>
      <w:r>
        <w:rPr>
          <w:rFonts w:cs="Miriam"/>
          <w:b/>
          <w:spacing w:val="0"/>
          <w:szCs w:val="24"/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אַל־יֵשְׂטְ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אֶל־דְּרָכֶיהָ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לִבֶּךָ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אַל־תֵּתַע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בִּנְתִיבוֹתֶיהָ</w:t>
      </w:r>
      <w:r>
        <w:rPr>
          <w:rFonts w:cs="Miriam"/>
          <w:b/>
          <w:spacing w:val="0"/>
          <w:szCs w:val="24"/>
          <w:rtl w:val="true"/>
        </w:rPr>
        <w:t>: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(</w:t>
      </w:r>
      <w:r>
        <w:rPr>
          <w:rFonts w:cs="Miriam"/>
          <w:b/>
          <w:b/>
          <w:spacing w:val="0"/>
          <w:szCs w:val="24"/>
          <w:rtl w:val="true"/>
        </w:rPr>
        <w:t>כו</w:t>
      </w:r>
      <w:r>
        <w:rPr>
          <w:rFonts w:cs="Miriam"/>
          <w:b/>
          <w:spacing w:val="0"/>
          <w:szCs w:val="24"/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כִּֽי־רַבִּים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חֲלָלִים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הִפִּילָה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וַעֲצֻמִ</w:t>
      </w:r>
      <w:r>
        <w:rPr>
          <w:rFonts w:cs="Miriam"/>
          <w:b/>
          <w:b/>
          <w:spacing w:val="0"/>
          <w:szCs w:val="24"/>
          <w:rtl w:val="true"/>
        </w:rPr>
        <w:t>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כָּל־הֲרֻגֶיהָ</w:t>
      </w:r>
      <w:r>
        <w:rPr>
          <w:rFonts w:cs="Miriam"/>
          <w:b/>
          <w:spacing w:val="0"/>
          <w:szCs w:val="24"/>
          <w:rtl w:val="true"/>
        </w:rPr>
        <w:t>: (</w:t>
      </w:r>
      <w:r>
        <w:rPr>
          <w:rFonts w:cs="Miriam"/>
          <w:b/>
          <w:b/>
          <w:spacing w:val="0"/>
          <w:szCs w:val="24"/>
          <w:rtl w:val="true"/>
        </w:rPr>
        <w:t>כז</w:t>
      </w:r>
      <w:r>
        <w:rPr>
          <w:rFonts w:cs="Miriam"/>
          <w:b/>
          <w:spacing w:val="0"/>
          <w:szCs w:val="24"/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דַּרְכֵ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שְׁאוֹל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בֵּיתָהּ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יֹרְדוֹת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אֶל־חַדְרֵי־מָוֶת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>.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כך מפרש המלבי</w:t>
      </w:r>
      <w:r>
        <w:rPr>
          <w:rtl w:val="true"/>
        </w:rPr>
        <w:t>"</w:t>
      </w:r>
      <w:r>
        <w:rPr>
          <w:rtl w:val="true"/>
        </w:rPr>
        <w:t xml:space="preserve">ם את האמור בפסוק ט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פֶּן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תִּתֵּן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לַאֲחֵרִים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הוֹדֶךָ</w:t>
      </w:r>
      <w:r>
        <w:rPr>
          <w:rFonts w:cs="Miriam"/>
          <w:b/>
          <w:spacing w:val="0"/>
          <w:szCs w:val="24"/>
          <w:rtl w:val="true"/>
        </w:rPr>
        <w:t>": "</w:t>
      </w:r>
      <w:r>
        <w:rPr>
          <w:rFonts w:cs="Miriam"/>
          <w:b/>
          <w:b/>
          <w:spacing w:val="0"/>
          <w:szCs w:val="24"/>
          <w:rtl w:val="true"/>
        </w:rPr>
        <w:t>ההוד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היופי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הפנימי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הנפשי</w:t>
      </w:r>
      <w:r>
        <w:rPr>
          <w:rFonts w:cs="Miriam"/>
          <w:b/>
          <w:spacing w:val="0"/>
          <w:szCs w:val="24"/>
          <w:rtl w:val="true"/>
        </w:rPr>
        <w:t>.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זאת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תתן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לאחרים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שע</w:t>
      </w:r>
      <w:r>
        <w:rPr>
          <w:rFonts w:cs="Miriam"/>
          <w:b/>
          <w:b/>
          <w:spacing w:val="0"/>
          <w:szCs w:val="24"/>
          <w:rtl w:val="true"/>
        </w:rPr>
        <w:t>ל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ידי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הזנות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יכהה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והוד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הנפש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נחוצה אפוא ההחמרה בעונש</w:t>
      </w:r>
      <w:r>
        <w:rPr>
          <w:rtl w:val="true"/>
        </w:rPr>
        <w:t xml:space="preserve">, </w:t>
      </w:r>
      <w:r>
        <w:rPr>
          <w:rtl w:val="true"/>
        </w:rPr>
        <w:t>כדברי חברי</w:t>
      </w:r>
      <w:r>
        <w:rPr>
          <w:rtl w:val="true"/>
        </w:rPr>
        <w:t xml:space="preserve">, </w:t>
      </w:r>
      <w:r>
        <w:rPr>
          <w:rtl w:val="true"/>
        </w:rPr>
        <w:t>ואלמלא היינו בשלב הערעור</w:t>
      </w:r>
      <w:r>
        <w:rPr>
          <w:rtl w:val="true"/>
        </w:rPr>
        <w:t xml:space="preserve">, </w:t>
      </w:r>
      <w:r>
        <w:rPr>
          <w:rtl w:val="true"/>
        </w:rPr>
        <w:t>שבו איננו ממצים את מלוא חומרת הדין</w:t>
      </w:r>
      <w:r>
        <w:rPr>
          <w:rtl w:val="true"/>
        </w:rPr>
        <w:t xml:space="preserve">, </w:t>
      </w:r>
      <w:r>
        <w:rPr>
          <w:rtl w:val="true"/>
        </w:rPr>
        <w:t>היה ראוי לגזור על המשיבה עונש חמור עוד יותר מ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</w:r>
    </w:p>
    <w:p>
      <w:pPr>
        <w:pStyle w:val="Ruller42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המשנה לנשיאה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start"/>
        <w:rPr>
          <w:rFonts w:ascii="Century" w:hAnsi="Century" w:cs="Century"/>
        </w:rPr>
      </w:pPr>
      <w:bookmarkStart w:id="20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31.5.2022</w:t>
      </w:r>
      <w:r>
        <w:rPr>
          <w:rFonts w:cs="Century" w:ascii="Century" w:hAnsi="Century"/>
          <w:rtl w:val="true"/>
        </w:rPr>
        <w:t xml:space="preserve">). </w:t>
      </w:r>
      <w:bookmarkEnd w:id="20"/>
    </w:p>
    <w:p>
      <w:pPr>
        <w:pStyle w:val="Ruller42"/>
        <w:ind w:end="0"/>
        <w:jc w:val="start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22018100</w:t>
      </w:r>
      <w:r>
        <w:rPr>
          <w:sz w:val="16"/>
          <w:rtl w:val="true"/>
        </w:rPr>
        <w:t>_</w:t>
      </w:r>
      <w:r>
        <w:rPr>
          <w:sz w:val="16"/>
        </w:rPr>
        <w:t>M01.docx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54678313-1810/22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4"/>
      <w:footerReference w:type="default" r:id="rId5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1810/22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2"/>
        <w:szCs w:val="24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color w:val="000000"/>
      <w:sz w:val="22"/>
      <w:szCs w:val="24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828261" TargetMode="External"/><Relationship Id="rId3" Type="http://schemas.openxmlformats.org/officeDocument/2006/relationships/hyperlink" Target="http://www.nevo.co.il/safrut/book/25528" TargetMode="External"/><Relationship Id="rId4" Type="http://schemas.openxmlformats.org/officeDocument/2006/relationships/hyperlink" Target="http://www.nevo.co.il/safrut/book/25528" TargetMode="External"/><Relationship Id="rId5" Type="http://schemas.openxmlformats.org/officeDocument/2006/relationships/hyperlink" Target="http://www.nevo.co.il/safrut/book/12842" TargetMode="External"/><Relationship Id="rId6" Type="http://schemas.openxmlformats.org/officeDocument/2006/relationships/hyperlink" Target="http://www.nevo.co.il/law/84255" TargetMode="External"/><Relationship Id="rId7" Type="http://schemas.openxmlformats.org/officeDocument/2006/relationships/hyperlink" Target="http://www.nevo.co.il/law/84255/134" TargetMode="External"/><Relationship Id="rId8" Type="http://schemas.openxmlformats.org/officeDocument/2006/relationships/hyperlink" Target="http://www.nevo.co.il/law/84255/220.1" TargetMode="External"/><Relationship Id="rId9" Type="http://schemas.openxmlformats.org/officeDocument/2006/relationships/hyperlink" Target="http://www.nevo.co.il/law/84255/220.5" TargetMode="External"/><Relationship Id="rId10" Type="http://schemas.openxmlformats.org/officeDocument/2006/relationships/hyperlink" Target="http://www.nevo.co.il/law/74345" TargetMode="External"/><Relationship Id="rId11" Type="http://schemas.openxmlformats.org/officeDocument/2006/relationships/hyperlink" Target="http://www.nevo.co.il/law/74345/3.a" TargetMode="External"/><Relationship Id="rId12" Type="http://schemas.openxmlformats.org/officeDocument/2006/relationships/hyperlink" Target="http://www.nevo.co.il/law/74345/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d.a" TargetMode="External"/><Relationship Id="rId15" Type="http://schemas.openxmlformats.org/officeDocument/2006/relationships/hyperlink" Target="http://www.nevo.co.il/law/70301/199.a.2" TargetMode="External"/><Relationship Id="rId16" Type="http://schemas.openxmlformats.org/officeDocument/2006/relationships/hyperlink" Target="http://www.nevo.co.il/law/70301/204" TargetMode="External"/><Relationship Id="rId17" Type="http://schemas.openxmlformats.org/officeDocument/2006/relationships/hyperlink" Target="http://www.nevo.co.il/law/70301/205c" TargetMode="External"/><Relationship Id="rId18" Type="http://schemas.openxmlformats.org/officeDocument/2006/relationships/hyperlink" Target="http://www.nevo.co.il/law/159511" TargetMode="External"/><Relationship Id="rId19" Type="http://schemas.openxmlformats.org/officeDocument/2006/relationships/hyperlink" Target="http://www.nevo.co.il/law/159511/1" TargetMode="External"/><Relationship Id="rId20" Type="http://schemas.openxmlformats.org/officeDocument/2006/relationships/hyperlink" Target="http://www.nevo.co.il/law/84255/134" TargetMode="External"/><Relationship Id="rId21" Type="http://schemas.openxmlformats.org/officeDocument/2006/relationships/hyperlink" Target="http://www.nevo.co.il/law/84255" TargetMode="External"/><Relationship Id="rId22" Type="http://schemas.openxmlformats.org/officeDocument/2006/relationships/hyperlink" Target="http://www.nevo.co.il/law/74345" TargetMode="External"/><Relationship Id="rId23" Type="http://schemas.openxmlformats.org/officeDocument/2006/relationships/hyperlink" Target="http://www.nevo.co.il/law/70301/199.a.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204" TargetMode="External"/><Relationship Id="rId26" Type="http://schemas.openxmlformats.org/officeDocument/2006/relationships/hyperlink" Target="http://www.nevo.co.il/law/70301/205c" TargetMode="External"/><Relationship Id="rId27" Type="http://schemas.openxmlformats.org/officeDocument/2006/relationships/hyperlink" Target="http://www.nevo.co.il/law/84255/220.1" TargetMode="External"/><Relationship Id="rId28" Type="http://schemas.openxmlformats.org/officeDocument/2006/relationships/hyperlink" Target="http://www.nevo.co.il/law/84255" TargetMode="External"/><Relationship Id="rId29" Type="http://schemas.openxmlformats.org/officeDocument/2006/relationships/hyperlink" Target="http://www.nevo.co.il/law/84255/220.5" TargetMode="External"/><Relationship Id="rId30" Type="http://schemas.openxmlformats.org/officeDocument/2006/relationships/hyperlink" Target="http://www.nevo.co.il/law/74345/3.a" TargetMode="External"/><Relationship Id="rId31" Type="http://schemas.openxmlformats.org/officeDocument/2006/relationships/hyperlink" Target="http://www.nevo.co.il/law/74345" TargetMode="External"/><Relationship Id="rId32" Type="http://schemas.openxmlformats.org/officeDocument/2006/relationships/hyperlink" Target="http://www.nevo.co.il/law/74345/4" TargetMode="External"/><Relationship Id="rId33" Type="http://schemas.openxmlformats.org/officeDocument/2006/relationships/hyperlink" Target="http://www.nevo.co.il/case/28243273" TargetMode="External"/><Relationship Id="rId34" Type="http://schemas.openxmlformats.org/officeDocument/2006/relationships/hyperlink" Target="http://www.nevo.co.il/case/28323911" TargetMode="External"/><Relationship Id="rId35" Type="http://schemas.openxmlformats.org/officeDocument/2006/relationships/hyperlink" Target="http://www.nevo.co.il/case/27567080" TargetMode="External"/><Relationship Id="rId36" Type="http://schemas.openxmlformats.org/officeDocument/2006/relationships/hyperlink" Target="http://www.nevo.co.il/law/70301/40d.a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8226828" TargetMode="External"/><Relationship Id="rId39" Type="http://schemas.openxmlformats.org/officeDocument/2006/relationships/hyperlink" Target="http://www.nevo.co.il/case/25459244" TargetMode="External"/><Relationship Id="rId40" Type="http://schemas.openxmlformats.org/officeDocument/2006/relationships/hyperlink" Target="http://www.nevo.co.il/case/22938500" TargetMode="External"/><Relationship Id="rId41" Type="http://schemas.openxmlformats.org/officeDocument/2006/relationships/hyperlink" Target="http://www.nevo.co.il/case/6036837" TargetMode="External"/><Relationship Id="rId42" Type="http://schemas.openxmlformats.org/officeDocument/2006/relationships/hyperlink" Target="http://www.nevo.co.il/law/159511" TargetMode="External"/><Relationship Id="rId43" Type="http://schemas.openxmlformats.org/officeDocument/2006/relationships/hyperlink" Target="http://www.nevo.co.il/law/159511/1" TargetMode="External"/><Relationship Id="rId44" Type="http://schemas.openxmlformats.org/officeDocument/2006/relationships/hyperlink" Target="http://www.nevo.co.il/case/5589547" TargetMode="External"/><Relationship Id="rId45" Type="http://schemas.openxmlformats.org/officeDocument/2006/relationships/hyperlink" Target="http://www.nevo.co.il/case/27410862" TargetMode="External"/><Relationship Id="rId46" Type="http://schemas.openxmlformats.org/officeDocument/2006/relationships/hyperlink" Target="http://www.nevo.co.il/case/25748013" TargetMode="External"/><Relationship Id="rId47" Type="http://schemas.openxmlformats.org/officeDocument/2006/relationships/hyperlink" Target="http://www.nevo.co.il/case/24140860" TargetMode="External"/><Relationship Id="rId48" Type="http://schemas.openxmlformats.org/officeDocument/2006/relationships/hyperlink" Target="http://www.nevo.co.il/case/20787917" TargetMode="External"/><Relationship Id="rId49" Type="http://schemas.openxmlformats.org/officeDocument/2006/relationships/hyperlink" Target="http://www.nevo.co.il/safrut/book/25528" TargetMode="External"/><Relationship Id="rId50" Type="http://schemas.openxmlformats.org/officeDocument/2006/relationships/hyperlink" Target="http://www.nevo.co.il/case/5592791" TargetMode="External"/><Relationship Id="rId51" Type="http://schemas.openxmlformats.org/officeDocument/2006/relationships/hyperlink" Target="http://www.nevo.co.il/safrut/book/12842" TargetMode="External"/><Relationship Id="rId52" Type="http://schemas.openxmlformats.org/officeDocument/2006/relationships/hyperlink" Target="https://supreme.court.gov.il/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2022-06-06T10:22:00Z</dcterms:created>
  <dc:creator>h4</dc:creator>
  <dc:description/>
  <cp:keywords/>
  <dc:language>en-IL</dc:language>
  <cp:lastModifiedBy>hofit</cp:lastModifiedBy>
  <cp:lastPrinted>2022-05-31T10:16:00Z</cp:lastPrinted>
  <dcterms:modified xsi:type="dcterms:W3CDTF">2022-06-06T10:22:00Z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פלונית</vt:lpwstr>
  </property>
  <property fmtid="{D5CDD505-2E9C-101B-9397-08002B2CF9AE}" pid="4" name="BOOKLISTTMP1">
    <vt:lpwstr>25528;12842</vt:lpwstr>
  </property>
  <property fmtid="{D5CDD505-2E9C-101B-9397-08002B2CF9AE}" pid="5" name="CASESLISTTMP1">
    <vt:lpwstr>26828261;28243273;28323911;27567080;28226828;25459244;22938500;6036837;5589547;27410862;25748013;24140860;20787917;5592791</vt:lpwstr>
  </property>
  <property fmtid="{D5CDD505-2E9C-101B-9397-08002B2CF9AE}" pid="6" name="DATE">
    <vt:lpwstr>20220531</vt:lpwstr>
  </property>
  <property fmtid="{D5CDD505-2E9C-101B-9397-08002B2CF9AE}" pid="7" name="ISABSTRACT">
    <vt:lpwstr>Y</vt:lpwstr>
  </property>
  <property fmtid="{D5CDD505-2E9C-101B-9397-08002B2CF9AE}" pid="8" name="JUDGE">
    <vt:lpwstr>נ' סולברג;ד' ברק ארז;ע' פוגלמן</vt:lpwstr>
  </property>
  <property fmtid="{D5CDD505-2E9C-101B-9397-08002B2CF9AE}" pid="9" name="LAWLISTTMP1">
    <vt:lpwstr>84255/134;220.1;220.5</vt:lpwstr>
  </property>
  <property fmtid="{D5CDD505-2E9C-101B-9397-08002B2CF9AE}" pid="10" name="LAWLISTTMP2">
    <vt:lpwstr>74345/003.a;004</vt:lpwstr>
  </property>
  <property fmtid="{D5CDD505-2E9C-101B-9397-08002B2CF9AE}" pid="11" name="LAWLISTTMP3">
    <vt:lpwstr>70301/199.a.2;204;205c;040d.a</vt:lpwstr>
  </property>
  <property fmtid="{D5CDD505-2E9C-101B-9397-08002B2CF9AE}" pid="12" name="LAWLISTTMP4">
    <vt:lpwstr>159511/001</vt:lpwstr>
  </property>
  <property fmtid="{D5CDD505-2E9C-101B-9397-08002B2CF9AE}" pid="13" name="LAWYER">
    <vt:lpwstr>אורי קינן;אקתרינה קוצ'רנקו;עילית מידן;אורן סוקר</vt:lpwstr>
  </property>
  <property fmtid="{D5CDD505-2E9C-101B-9397-08002B2CF9AE}" pid="14" name="METAKZER">
    <vt:lpwstr>פאני</vt:lpwstr>
  </property>
  <property fmtid="{D5CDD505-2E9C-101B-9397-08002B2CF9AE}" pid="15" name="NOSE11">
    <vt:lpwstr>עונשין</vt:lpwstr>
  </property>
  <property fmtid="{D5CDD505-2E9C-101B-9397-08002B2CF9AE}" pid="16" name="NOSE110">
    <vt:lpwstr/>
  </property>
  <property fmtid="{D5CDD505-2E9C-101B-9397-08002B2CF9AE}" pid="17" name="NOSE12">
    <vt:lpwstr>עונשין</vt:lpwstr>
  </property>
  <property fmtid="{D5CDD505-2E9C-101B-9397-08002B2CF9AE}" pid="18" name="NOSE13">
    <vt:lpwstr>עונשין</vt:lpwstr>
  </property>
  <property fmtid="{D5CDD505-2E9C-101B-9397-08002B2CF9AE}" pid="19" name="NOSE14">
    <vt:lpwstr>עונשין</vt:lpwstr>
  </property>
  <property fmtid="{D5CDD505-2E9C-101B-9397-08002B2CF9AE}" pid="20" name="NOSE15">
    <vt:lpwstr>עונשין</vt:lpwstr>
  </property>
  <property fmtid="{D5CDD505-2E9C-101B-9397-08002B2CF9AE}" pid="21" name="NOSE16">
    <vt:lpwstr>בתי-משפט</vt:lpwstr>
  </property>
  <property fmtid="{D5CDD505-2E9C-101B-9397-08002B2CF9AE}" pid="22" name="NOSE17">
    <vt:lpwstr/>
  </property>
  <property fmtid="{D5CDD505-2E9C-101B-9397-08002B2CF9AE}" pid="23" name="NOSE18">
    <vt:lpwstr/>
  </property>
  <property fmtid="{D5CDD505-2E9C-101B-9397-08002B2CF9AE}" pid="24" name="NOSE19">
    <vt:lpwstr/>
  </property>
  <property fmtid="{D5CDD505-2E9C-101B-9397-08002B2CF9AE}" pid="25" name="NOSE1ID">
    <vt:lpwstr>77;77;77;77;77;14</vt:lpwstr>
  </property>
  <property fmtid="{D5CDD505-2E9C-101B-9397-08002B2CF9AE}" pid="26" name="NOSE21">
    <vt:lpwstr>ענישה</vt:lpwstr>
  </property>
  <property fmtid="{D5CDD505-2E9C-101B-9397-08002B2CF9AE}" pid="27" name="NOSE210">
    <vt:lpwstr/>
  </property>
  <property fmtid="{D5CDD505-2E9C-101B-9397-08002B2CF9AE}" pid="28" name="NOSE22">
    <vt:lpwstr>ענישה</vt:lpwstr>
  </property>
  <property fmtid="{D5CDD505-2E9C-101B-9397-08002B2CF9AE}" pid="29" name="NOSE23">
    <vt:lpwstr>ענישה</vt:lpwstr>
  </property>
  <property fmtid="{D5CDD505-2E9C-101B-9397-08002B2CF9AE}" pid="30" name="NOSE24">
    <vt:lpwstr>ענישה</vt:lpwstr>
  </property>
  <property fmtid="{D5CDD505-2E9C-101B-9397-08002B2CF9AE}" pid="31" name="NOSE25">
    <vt:lpwstr>ענישה</vt:lpwstr>
  </property>
  <property fmtid="{D5CDD505-2E9C-101B-9397-08002B2CF9AE}" pid="32" name="NOSE26">
    <vt:lpwstr>ערעור</vt:lpwstr>
  </property>
  <property fmtid="{D5CDD505-2E9C-101B-9397-08002B2CF9AE}" pid="33" name="NOSE27">
    <vt:lpwstr/>
  </property>
  <property fmtid="{D5CDD505-2E9C-101B-9397-08002B2CF9AE}" pid="34" name="NOSE28">
    <vt:lpwstr/>
  </property>
  <property fmtid="{D5CDD505-2E9C-101B-9397-08002B2CF9AE}" pid="35" name="NOSE29">
    <vt:lpwstr/>
  </property>
  <property fmtid="{D5CDD505-2E9C-101B-9397-08002B2CF9AE}" pid="36" name="NOSE2ID">
    <vt:lpwstr>1446;1446;1446;1446;1446;333</vt:lpwstr>
  </property>
  <property fmtid="{D5CDD505-2E9C-101B-9397-08002B2CF9AE}" pid="37" name="NOSE31">
    <vt:lpwstr>מדיניות ענישה: סרסרות למעשי זנות</vt:lpwstr>
  </property>
  <property fmtid="{D5CDD505-2E9C-101B-9397-08002B2CF9AE}" pid="38" name="NOSE310">
    <vt:lpwstr/>
  </property>
  <property fmtid="{D5CDD505-2E9C-101B-9397-08002B2CF9AE}" pid="39" name="NOSE32">
    <vt:lpwstr>מדיניות ענישה: עבירות כלכליות</vt:lpwstr>
  </property>
  <property fmtid="{D5CDD505-2E9C-101B-9397-08002B2CF9AE}" pid="40" name="NOSE33">
    <vt:lpwstr>מדיניות ענישה: התערבות ערכאת ערעור</vt:lpwstr>
  </property>
  <property fmtid="{D5CDD505-2E9C-101B-9397-08002B2CF9AE}" pid="41" name="NOSE34">
    <vt:lpwstr>מדיניות ענישה: שיקום</vt:lpwstr>
  </property>
  <property fmtid="{D5CDD505-2E9C-101B-9397-08002B2CF9AE}" pid="42" name="NOSE35">
    <vt:lpwstr>מדיניות ענישה: שיקולים לחומרה</vt:lpwstr>
  </property>
  <property fmtid="{D5CDD505-2E9C-101B-9397-08002B2CF9AE}" pid="43" name="NOSE36">
    <vt:lpwstr>התערבות במידת העונש</vt:lpwstr>
  </property>
  <property fmtid="{D5CDD505-2E9C-101B-9397-08002B2CF9AE}" pid="44" name="NOSE37">
    <vt:lpwstr/>
  </property>
  <property fmtid="{D5CDD505-2E9C-101B-9397-08002B2CF9AE}" pid="45" name="NOSE38">
    <vt:lpwstr/>
  </property>
  <property fmtid="{D5CDD505-2E9C-101B-9397-08002B2CF9AE}" pid="46" name="NOSE39">
    <vt:lpwstr/>
  </property>
  <property fmtid="{D5CDD505-2E9C-101B-9397-08002B2CF9AE}" pid="47" name="NOSE3ID">
    <vt:lpwstr>19314;8987;8982;14346;8995;2708</vt:lpwstr>
  </property>
  <property fmtid="{D5CDD505-2E9C-101B-9397-08002B2CF9AE}" pid="48" name="PADIDATE">
    <vt:lpwstr>20220601</vt:lpwstr>
  </property>
  <property fmtid="{D5CDD505-2E9C-101B-9397-08002B2CF9AE}" pid="49" name="PADIMAIL">
    <vt:lpwstr>YES</vt:lpwstr>
  </property>
  <property fmtid="{D5CDD505-2E9C-101B-9397-08002B2CF9AE}" pid="50" name="PROCESS">
    <vt:lpwstr>עפ</vt:lpwstr>
  </property>
  <property fmtid="{D5CDD505-2E9C-101B-9397-08002B2CF9AE}" pid="51" name="PROCNUM">
    <vt:lpwstr>1810</vt:lpwstr>
  </property>
  <property fmtid="{D5CDD505-2E9C-101B-9397-08002B2CF9AE}" pid="52" name="PROCYEAR">
    <vt:lpwstr>22</vt:lpwstr>
  </property>
  <property fmtid="{D5CDD505-2E9C-101B-9397-08002B2CF9AE}" pid="53" name="PSAKDIN">
    <vt:lpwstr>פסק-דין</vt:lpwstr>
  </property>
  <property fmtid="{D5CDD505-2E9C-101B-9397-08002B2CF9AE}" pid="54" name="TYPE">
    <vt:lpwstr>1</vt:lpwstr>
  </property>
  <property fmtid="{D5CDD505-2E9C-101B-9397-08002B2CF9AE}" pid="55" name="TYPE_ABS_DATE">
    <vt:lpwstr>410120220531</vt:lpwstr>
  </property>
  <property fmtid="{D5CDD505-2E9C-101B-9397-08002B2CF9AE}" pid="56" name="TYPE_N_DATE">
    <vt:lpwstr>41020220531</vt:lpwstr>
  </property>
  <property fmtid="{D5CDD505-2E9C-101B-9397-08002B2CF9AE}" pid="57" name="WORDNUMPAGES">
    <vt:lpwstr>15</vt:lpwstr>
  </property>
</Properties>
</file>