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1838/20</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1880/20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1838/20</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1880/20</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1838/20</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1880/20</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בנצרת</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קולה</w:t>
            </w:r>
            <w:r>
              <w:rPr>
                <w:sz w:val="24"/>
                <w:szCs w:val="24"/>
                <w:rtl w:val="true"/>
              </w:rPr>
              <w:t xml:space="preserve">, </w:t>
            </w:r>
            <w:r>
              <w:rPr>
                <w:sz w:val="24"/>
                <w:sz w:val="24"/>
                <w:szCs w:val="24"/>
                <w:rtl w:val="true"/>
              </w:rPr>
              <w:t>דני</w:t>
            </w:r>
            <w:r>
              <w:rPr>
                <w:rFonts w:cs="Times New Roman"/>
                <w:sz w:val="24"/>
                <w:sz w:val="24"/>
                <w:szCs w:val="24"/>
                <w:rtl w:val="true"/>
              </w:rPr>
              <w:t xml:space="preserve"> </w:t>
            </w:r>
            <w:r>
              <w:rPr>
                <w:sz w:val="24"/>
                <w:sz w:val="24"/>
                <w:szCs w:val="24"/>
                <w:rtl w:val="true"/>
              </w:rPr>
              <w:t>צרפתי</w:t>
            </w:r>
            <w:r>
              <w:rPr>
                <w:rFonts w:cs="Times New Roman"/>
                <w:sz w:val="24"/>
                <w:sz w:val="24"/>
                <w:szCs w:val="24"/>
                <w:rtl w:val="true"/>
              </w:rPr>
              <w:t xml:space="preserve"> </w:t>
            </w:r>
            <w:r>
              <w:rPr>
                <w:sz w:val="24"/>
                <w:sz w:val="24"/>
                <w:szCs w:val="24"/>
                <w:rtl w:val="true"/>
              </w:rPr>
              <w:t>ורננה</w:t>
            </w:r>
            <w:r>
              <w:rPr>
                <w:rFonts w:cs="Times New Roman"/>
                <w:sz w:val="24"/>
                <w:sz w:val="24"/>
                <w:szCs w:val="24"/>
                <w:rtl w:val="true"/>
              </w:rPr>
              <w:t xml:space="preserve"> </w:t>
            </w:r>
            <w:r>
              <w:rPr>
                <w:sz w:val="24"/>
                <w:sz w:val="24"/>
                <w:szCs w:val="24"/>
                <w:rtl w:val="true"/>
              </w:rPr>
              <w:t>גלפז</w:t>
            </w:r>
            <w:r>
              <w:rPr>
                <w:rFonts w:cs="Times New Roman"/>
                <w:sz w:val="24"/>
                <w:sz w:val="24"/>
                <w:szCs w:val="24"/>
                <w:rtl w:val="true"/>
              </w:rPr>
              <w:t xml:space="preserve"> </w:t>
            </w:r>
            <w:r>
              <w:rPr>
                <w:sz w:val="24"/>
                <w:sz w:val="24"/>
                <w:szCs w:val="24"/>
                <w:rtl w:val="true"/>
              </w:rPr>
              <w:t>מוקדי</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6334-03-18</w:t>
              </w:r>
            </w:hyperlink>
            <w:r>
              <w:rPr>
                <w:sz w:val="24"/>
                <w:szCs w:val="24"/>
                <w:rtl w:val="true"/>
              </w:rPr>
              <w:t xml:space="preserve"> </w:t>
            </w:r>
            <w:r>
              <w:rPr>
                <w:sz w:val="24"/>
                <w:sz w:val="24"/>
                <w:szCs w:val="24"/>
                <w:rtl w:val="true"/>
              </w:rPr>
              <w:t>מימים</w:t>
            </w:r>
            <w:r>
              <w:rPr>
                <w:rFonts w:cs="Times New Roman"/>
                <w:sz w:val="24"/>
                <w:sz w:val="24"/>
                <w:szCs w:val="24"/>
                <w:rtl w:val="true"/>
              </w:rPr>
              <w:t xml:space="preserve"> </w:t>
            </w:r>
            <w:r>
              <w:rPr>
                <w:sz w:val="24"/>
                <w:szCs w:val="24"/>
              </w:rPr>
              <w:t>23.10.2019</w:t>
            </w:r>
            <w:r>
              <w:rPr>
                <w:sz w:val="24"/>
                <w:szCs w:val="24"/>
                <w:rtl w:val="true"/>
              </w:rPr>
              <w:t xml:space="preserve"> </w:t>
            </w:r>
            <w:r>
              <w:rPr>
                <w:sz w:val="24"/>
                <w:sz w:val="24"/>
                <w:szCs w:val="24"/>
                <w:rtl w:val="true"/>
              </w:rPr>
              <w:t>ו</w:t>
            </w:r>
            <w:r>
              <w:rPr>
                <w:sz w:val="24"/>
                <w:szCs w:val="24"/>
                <w:rtl w:val="true"/>
              </w:rPr>
              <w:t>-</w:t>
            </w:r>
            <w:r>
              <w:rPr>
                <w:sz w:val="24"/>
                <w:szCs w:val="24"/>
              </w:rPr>
              <w:t>26.1.2020</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ט</w:t>
            </w:r>
            <w:r>
              <w:rPr>
                <w:rFonts w:cs="Times New Roman"/>
                <w:sz w:val="24"/>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p>
        </w:tc>
        <w:tc>
          <w:tcPr>
            <w:tcW w:w="2710" w:type="dxa"/>
            <w:tcBorders/>
          </w:tcPr>
          <w:p>
            <w:pPr>
              <w:pStyle w:val="BodyRuller1"/>
              <w:ind w:end="0"/>
              <w:jc w:val="start"/>
              <w:rPr>
                <w:sz w:val="24"/>
                <w:szCs w:val="24"/>
              </w:rPr>
            </w:pPr>
            <w:r>
              <w:rPr>
                <w:rtl w:val="true"/>
              </w:rPr>
              <w:t>(</w:t>
            </w:r>
            <w:r>
              <w:rPr/>
              <w:t>11.4.2021</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r>
              <w:rPr>
                <w:rtl w:val="true"/>
              </w:rPr>
              <w:t>בשם</w:t>
            </w:r>
            <w:r>
              <w:rPr>
                <w:rFonts w:cs="Times New Roman"/>
                <w:rtl w:val="true"/>
              </w:rPr>
              <w:t xml:space="preserve"> </w:t>
            </w:r>
            <w:r>
              <w:rPr>
                <w:rFonts w:ascii="David" w:hAnsi="David"/>
                <w:rtl w:val="true"/>
              </w:rPr>
              <w:t>המערער</w:t>
            </w:r>
            <w:r>
              <w:rPr>
                <w:rFonts w:ascii="David" w:hAnsi="David"/>
                <w:rtl w:val="true"/>
              </w:rPr>
              <w:t>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1838/20</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1880/20</w:t>
            </w:r>
            <w:r>
              <w:rPr>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אריה</w:t>
            </w:r>
            <w:r>
              <w:rPr>
                <w:rFonts w:cs="Times New Roman"/>
                <w:rtl w:val="true"/>
              </w:rPr>
              <w:t xml:space="preserve"> </w:t>
            </w:r>
            <w:r>
              <w:rPr>
                <w:rtl w:val="true"/>
              </w:rPr>
              <w:t>פטר</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1838/20</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1880/20</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גלעד</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רינת</w:t>
            </w:r>
            <w:r>
              <w:rPr>
                <w:rFonts w:cs="Times New Roman"/>
                <w:rtl w:val="true"/>
              </w:rPr>
              <w:t xml:space="preserve"> </w:t>
            </w:r>
            <w:r>
              <w:rPr>
                <w:rtl w:val="true"/>
              </w:rPr>
              <w:t>גלעד</w:t>
            </w:r>
          </w:p>
        </w:tc>
      </w:tr>
    </w:tbl>
    <w:p>
      <w:pPr>
        <w:pStyle w:val="Normal"/>
        <w:tabs>
          <w:tab w:val="clear" w:pos="720"/>
          <w:tab w:val="left" w:pos="2552" w:leader="none"/>
        </w:tabs>
        <w:ind w:end="0"/>
        <w:jc w:val="start"/>
        <w:rPr>
          <w:sz w:val="22"/>
          <w:szCs w:val="28"/>
        </w:rPr>
      </w:pPr>
      <w:r>
        <w:rPr>
          <w:sz w:val="22"/>
          <w:szCs w:val="28"/>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4">
        <w:r>
          <w:rPr>
            <w:rFonts w:ascii="FrankRuehl" w:hAnsi="FrankRuehl" w:cs="FrankRuehl"/>
            <w:color w:val="000000"/>
            <w:sz w:val="24"/>
            <w:sz w:val="24"/>
            <w:rtl w:val="true"/>
          </w:rPr>
          <w:t>יורם רבין</w:t>
        </w:r>
      </w:hyperlink>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יובלי לוי</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אלי לדרמן   </w:t>
      </w:r>
      <w:r>
        <w:rPr>
          <w:rFonts w:ascii="FrankRuehl" w:hAnsi="FrankRuehl" w:cs="FrankRuehl"/>
          <w:b/>
          <w:b/>
          <w:bCs/>
          <w:color w:val="000000"/>
          <w:sz w:val="24"/>
          <w:sz w:val="24"/>
          <w:rtl w:val="true"/>
        </w:rPr>
        <w:t xml:space="preserve">עיקרים באחריות פלילית </w:t>
      </w:r>
    </w:p>
    <w:p>
      <w:pPr>
        <w:pStyle w:val="Normal"/>
        <w:tabs>
          <w:tab w:val="clear" w:pos="720"/>
          <w:tab w:val="left" w:pos="2552" w:leader="none"/>
        </w:tabs>
        <w:ind w:end="0"/>
        <w:jc w:val="start"/>
        <w:rPr>
          <w:rFonts w:ascii="FrankRuehl" w:hAnsi="FrankRuehl" w:cs="FrankRuehl"/>
          <w:color w:val="000000"/>
          <w:sz w:val="22"/>
          <w:szCs w:val="28"/>
        </w:rPr>
      </w:pPr>
      <w:r>
        <w:rPr>
          <w:rFonts w:cs="FrankRuehl" w:ascii="FrankRuehl" w:hAnsi="FrankRuehl"/>
          <w:color w:val="000000"/>
          <w:sz w:val="22"/>
          <w:szCs w:val="28"/>
          <w:rtl w:val="true"/>
        </w:rPr>
      </w:r>
      <w:bookmarkStart w:id="6" w:name="Links_End"/>
      <w:bookmarkStart w:id="7" w:name="Links_End"/>
      <w:bookmarkEnd w:id="7"/>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8" w:name="LawTable"/>
      <w:bookmarkEnd w:id="8"/>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Pr>
        <w:t>1</w:t>
      </w:r>
      <w:r>
        <w:rPr>
          <w:rFonts w:cs="FrankRuehl" w:ascii="FrankRuehl" w:hAnsi="FrankRuehl"/>
          <w:color w:val="0000FF"/>
          <w:sz w:val="24"/>
          <w:rtl w:val="true"/>
        </w:rPr>
        <w:t xml:space="preserve">), </w:t>
      </w:r>
      <w:hyperlink r:id="rId8">
        <w:r>
          <w:rPr>
            <w:rStyle w:val="Hyperlink"/>
            <w:rFonts w:cs="FrankRuehl" w:ascii="FrankRuehl" w:hAnsi="FrankRuehl"/>
            <w:sz w:val="24"/>
            <w:u w:val="none"/>
          </w:rPr>
          <w:t>369</w:t>
        </w:r>
      </w:hyperlink>
      <w:r>
        <w:rPr>
          <w:rFonts w:cs="FrankRuehl" w:ascii="FrankRuehl" w:hAnsi="FrankRuehl"/>
          <w:color w:val="0000FF"/>
          <w:sz w:val="24"/>
          <w:rtl w:val="true"/>
        </w:rPr>
        <w:t xml:space="preserve">, </w:t>
      </w:r>
      <w:hyperlink r:id="rId9">
        <w:r>
          <w:rPr>
            <w:rStyle w:val="Hyperlink"/>
            <w:rFonts w:cs="FrankRuehl" w:ascii="FrankRuehl" w:hAnsi="FrankRuehl"/>
            <w:sz w:val="24"/>
            <w:u w:val="none"/>
          </w:rPr>
          <w:t>374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377</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377</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7</w:t>
      </w:r>
      <w:r>
        <w:rPr>
          <w:rFonts w:cs="FrankRuehl" w:ascii="FrankRuehl" w:hAnsi="FrankRuehl"/>
          <w:color w:val="0000FF"/>
          <w:sz w:val="24"/>
          <w:rtl w:val="true"/>
        </w:rPr>
        <w:t xml:space="preserve">), </w:t>
      </w:r>
      <w:hyperlink r:id="rId12">
        <w:r>
          <w:rPr>
            <w:rStyle w:val="Hyperlink"/>
            <w:rFonts w:ascii="FrankRuehl" w:hAnsi="FrankRuehl" w:cs="FrankRuehl"/>
            <w:sz w:val="24"/>
            <w:sz w:val="24"/>
            <w:u w:val="none"/>
            <w:rtl w:val="true"/>
          </w:rPr>
          <w:t>ב ז</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3">
        <w:r>
          <w:rPr>
            <w:rStyle w:val="Hyperlink"/>
            <w:rFonts w:ascii="FrankRuehl" w:hAnsi="FrankRuehl" w:cs="FrankRuehl"/>
            <w:sz w:val="24"/>
            <w:sz w:val="24"/>
            <w:u w:val="none"/>
            <w:rtl w:val="true"/>
          </w:rPr>
          <w:t>בפרק 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לחוק</w:t>
        </w:r>
      </w:hyperlink>
    </w:p>
    <w:p>
      <w:pPr>
        <w:pStyle w:val="Normal"/>
        <w:tabs>
          <w:tab w:val="clear" w:pos="720"/>
          <w:tab w:val="left" w:pos="2552" w:leader="none"/>
        </w:tabs>
        <w:ind w:end="0"/>
        <w:jc w:val="start"/>
        <w:rPr>
          <w:rFonts w:ascii="FrankRuehl" w:hAnsi="FrankRuehl" w:cs="FrankRuehl"/>
          <w:color w:val="0000FF"/>
          <w:sz w:val="22"/>
          <w:szCs w:val="28"/>
        </w:rPr>
      </w:pPr>
      <w:r>
        <w:rPr>
          <w:rFonts w:cs="FrankRuehl" w:ascii="FrankRuehl" w:hAnsi="FrankRuehl"/>
          <w:color w:val="0000FF"/>
          <w:sz w:val="22"/>
          <w:szCs w:val="28"/>
          <w:rtl w:val="true"/>
        </w:rPr>
      </w:r>
      <w:bookmarkStart w:id="9" w:name="LawTable_End"/>
      <w:bookmarkStart w:id="10" w:name="LawTable_End"/>
      <w:bookmarkEnd w:id="10"/>
    </w:p>
    <w:p>
      <w:pPr>
        <w:pStyle w:val="ruller411"/>
        <w:pBdr>
          <w:top w:val="single" w:sz="4" w:space="1" w:color="000000"/>
          <w:bottom w:val="single" w:sz="4" w:space="1" w:color="000000"/>
        </w:pBdr>
        <w:shd w:fill="FFFFFF" w:val="clear"/>
        <w:bidi w:val="1"/>
        <w:spacing w:lineRule="exact" w:line="320" w:before="0" w:after="120"/>
        <w:ind w:end="0"/>
        <w:jc w:val="both"/>
        <w:rPr>
          <w:rFonts w:cs="FrankRuehl"/>
          <w:szCs w:val="26"/>
        </w:rPr>
      </w:pPr>
      <w:bookmarkStart w:id="11" w:name="ABSTRACT_START"/>
      <w:bookmarkEnd w:id="11"/>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ruller411"/>
        <w:pBdr>
          <w:top w:val="single" w:sz="4" w:space="1" w:color="000000"/>
          <w:bottom w:val="single" w:sz="4" w:space="1" w:color="000000"/>
        </w:pBdr>
        <w:shd w:fill="FFFFFF" w:val="clear"/>
        <w:bidi w:val="1"/>
        <w:spacing w:lineRule="exact" w:line="320" w:before="0" w:after="120"/>
        <w:ind w:end="0"/>
        <w:jc w:val="both"/>
        <w:rPr/>
      </w:pPr>
      <w:r>
        <w:rPr>
          <w:rFonts w:cs="FrankRuehl"/>
          <w:szCs w:val="26"/>
          <w:rtl w:val="true"/>
        </w:rPr>
        <w:t xml:space="preserve">* </w:t>
      </w:r>
      <w:r>
        <w:rPr>
          <w:rFonts w:cs="FrankRuehl"/>
          <w:szCs w:val="26"/>
          <w:rtl w:val="true"/>
        </w:rPr>
        <w:t>בימ</w:t>
      </w:r>
      <w:r>
        <w:rPr>
          <w:rFonts w:cs="FrankRuehl"/>
          <w:szCs w:val="26"/>
          <w:rtl w:val="true"/>
        </w:rPr>
        <w:t>"</w:t>
      </w:r>
      <w:r>
        <w:rPr>
          <w:rFonts w:cs="FrankRuehl"/>
          <w:szCs w:val="26"/>
          <w:rtl w:val="true"/>
        </w:rPr>
        <w:t>ש</w:t>
      </w:r>
      <w:r>
        <w:rPr>
          <w:szCs w:val="26"/>
          <w:rtl w:val="true"/>
        </w:rPr>
        <w:t xml:space="preserve"> </w:t>
      </w:r>
      <w:r>
        <w:rPr>
          <w:rFonts w:cs="FrankRuehl"/>
          <w:szCs w:val="26"/>
          <w:rtl w:val="true"/>
        </w:rPr>
        <w:t>דחה</w:t>
      </w:r>
      <w:r>
        <w:rPr>
          <w:szCs w:val="26"/>
          <w:rtl w:val="true"/>
        </w:rPr>
        <w:t xml:space="preserve"> </w:t>
      </w:r>
      <w:r>
        <w:rPr>
          <w:rFonts w:cs="FrankRuehl"/>
          <w:szCs w:val="26"/>
          <w:rtl w:val="true"/>
        </w:rPr>
        <w:t>ערעור</w:t>
      </w:r>
      <w:r>
        <w:rPr>
          <w:szCs w:val="26"/>
          <w:rtl w:val="true"/>
        </w:rPr>
        <w:t xml:space="preserve"> </w:t>
      </w:r>
      <w:r>
        <w:rPr>
          <w:rFonts w:cs="FrankRuehl"/>
          <w:szCs w:val="26"/>
          <w:rtl w:val="true"/>
        </w:rPr>
        <w:t>על</w:t>
      </w:r>
      <w:r>
        <w:rPr>
          <w:szCs w:val="26"/>
          <w:rtl w:val="true"/>
        </w:rPr>
        <w:t xml:space="preserve"> </w:t>
      </w:r>
      <w:r>
        <w:rPr>
          <w:rFonts w:cs="FrankRuehl"/>
          <w:szCs w:val="26"/>
          <w:rtl w:val="true"/>
        </w:rPr>
        <w:t>הכרעת</w:t>
      </w:r>
      <w:r>
        <w:rPr>
          <w:szCs w:val="26"/>
          <w:rtl w:val="true"/>
        </w:rPr>
        <w:t xml:space="preserve"> </w:t>
      </w:r>
      <w:r>
        <w:rPr>
          <w:rFonts w:cs="FrankRuehl"/>
          <w:szCs w:val="26"/>
          <w:rtl w:val="true"/>
        </w:rPr>
        <w:t>דין</w:t>
      </w:r>
      <w:r>
        <w:rPr>
          <w:szCs w:val="26"/>
          <w:rtl w:val="true"/>
        </w:rPr>
        <w:t xml:space="preserve"> </w:t>
      </w:r>
      <w:r>
        <w:rPr>
          <w:rFonts w:cs="FrankRuehl"/>
          <w:szCs w:val="26"/>
          <w:rtl w:val="true"/>
        </w:rPr>
        <w:t>לפיה</w:t>
      </w:r>
      <w:r>
        <w:rPr>
          <w:szCs w:val="26"/>
          <w:rtl w:val="true"/>
        </w:rPr>
        <w:t xml:space="preserve"> </w:t>
      </w:r>
      <w:r>
        <w:rPr>
          <w:rFonts w:cs="FrankRuehl"/>
          <w:szCs w:val="26"/>
          <w:rtl w:val="true"/>
        </w:rPr>
        <w:t>זוכה</w:t>
      </w:r>
      <w:r>
        <w:rPr>
          <w:szCs w:val="26"/>
          <w:rtl w:val="true"/>
        </w:rPr>
        <w:t xml:space="preserve"> </w:t>
      </w:r>
      <w:r>
        <w:rPr>
          <w:rFonts w:cs="FrankRuehl"/>
          <w:szCs w:val="26"/>
          <w:rtl w:val="true"/>
        </w:rPr>
        <w:t>המשיב</w:t>
      </w:r>
      <w:r>
        <w:rPr>
          <w:szCs w:val="26"/>
          <w:rtl w:val="true"/>
        </w:rPr>
        <w:t xml:space="preserve"> </w:t>
      </w:r>
      <w:r>
        <w:rPr>
          <w:rFonts w:cs="FrankRuehl"/>
          <w:szCs w:val="26"/>
          <w:rtl w:val="true"/>
        </w:rPr>
        <w:t>מביצוע</w:t>
      </w:r>
      <w:r>
        <w:rPr>
          <w:szCs w:val="26"/>
          <w:rtl w:val="true"/>
        </w:rPr>
        <w:t xml:space="preserve"> </w:t>
      </w:r>
      <w:r>
        <w:rPr>
          <w:rFonts w:cs="FrankRuehl"/>
          <w:szCs w:val="26"/>
          <w:rtl w:val="true"/>
        </w:rPr>
        <w:t>עבירות</w:t>
      </w:r>
      <w:r>
        <w:rPr>
          <w:szCs w:val="26"/>
          <w:rtl w:val="true"/>
        </w:rPr>
        <w:t xml:space="preserve"> </w:t>
      </w:r>
      <w:r>
        <w:rPr>
          <w:rFonts w:cs="FrankRuehl"/>
          <w:szCs w:val="26"/>
          <w:rtl w:val="true"/>
        </w:rPr>
        <w:t>של</w:t>
      </w:r>
      <w:r>
        <w:rPr>
          <w:szCs w:val="26"/>
          <w:rtl w:val="true"/>
        </w:rPr>
        <w:t xml:space="preserve"> </w:t>
      </w:r>
      <w:r>
        <w:rPr>
          <w:rFonts w:cs="FrankRuehl"/>
          <w:szCs w:val="26"/>
          <w:rtl w:val="true"/>
        </w:rPr>
        <w:t>חטיפה</w:t>
      </w:r>
      <w:r>
        <w:rPr>
          <w:szCs w:val="26"/>
          <w:rtl w:val="true"/>
        </w:rPr>
        <w:t xml:space="preserve"> </w:t>
      </w:r>
      <w:r>
        <w:rPr>
          <w:rFonts w:cs="FrankRuehl"/>
          <w:szCs w:val="26"/>
          <w:rtl w:val="true"/>
        </w:rPr>
        <w:t>לשם</w:t>
      </w:r>
      <w:r>
        <w:rPr>
          <w:szCs w:val="26"/>
          <w:rtl w:val="true"/>
        </w:rPr>
        <w:t xml:space="preserve"> </w:t>
      </w:r>
      <w:r>
        <w:rPr>
          <w:rFonts w:cs="FrankRuehl"/>
          <w:szCs w:val="26"/>
          <w:rtl w:val="true"/>
        </w:rPr>
        <w:t>ביצוע</w:t>
      </w:r>
      <w:r>
        <w:rPr>
          <w:szCs w:val="26"/>
          <w:rtl w:val="true"/>
        </w:rPr>
        <w:t xml:space="preserve"> </w:t>
      </w:r>
      <w:r>
        <w:rPr>
          <w:rFonts w:cs="FrankRuehl"/>
          <w:szCs w:val="26"/>
          <w:rtl w:val="true"/>
        </w:rPr>
        <w:t>עבירת</w:t>
      </w:r>
      <w:r>
        <w:rPr>
          <w:szCs w:val="26"/>
          <w:rtl w:val="true"/>
        </w:rPr>
        <w:t xml:space="preserve"> </w:t>
      </w:r>
      <w:r>
        <w:rPr>
          <w:rFonts w:cs="FrankRuehl"/>
          <w:szCs w:val="26"/>
          <w:rtl w:val="true"/>
        </w:rPr>
        <w:t>מין</w:t>
      </w:r>
      <w:r>
        <w:rPr>
          <w:rFonts w:cs="FrankRuehl"/>
          <w:szCs w:val="26"/>
          <w:rtl w:val="true"/>
        </w:rPr>
        <w:t xml:space="preserve">, </w:t>
      </w:r>
      <w:r>
        <w:rPr>
          <w:rFonts w:cs="FrankRuehl"/>
          <w:szCs w:val="26"/>
          <w:rtl w:val="true"/>
        </w:rPr>
        <w:t>אינוס</w:t>
      </w:r>
      <w:r>
        <w:rPr>
          <w:szCs w:val="26"/>
          <w:rtl w:val="true"/>
        </w:rPr>
        <w:t xml:space="preserve"> </w:t>
      </w:r>
      <w:r>
        <w:rPr>
          <w:rFonts w:cs="FrankRuehl"/>
          <w:szCs w:val="26"/>
          <w:rtl w:val="true"/>
        </w:rPr>
        <w:t>וכליאת</w:t>
      </w:r>
      <w:r>
        <w:rPr>
          <w:szCs w:val="26"/>
          <w:rtl w:val="true"/>
        </w:rPr>
        <w:t xml:space="preserve"> </w:t>
      </w:r>
      <w:r>
        <w:rPr>
          <w:rFonts w:cs="FrankRuehl"/>
          <w:szCs w:val="26"/>
          <w:rtl w:val="true"/>
        </w:rPr>
        <w:t>שווא</w:t>
      </w:r>
      <w:r>
        <w:rPr>
          <w:rFonts w:cs="FrankRuehl"/>
          <w:szCs w:val="26"/>
          <w:rtl w:val="true"/>
        </w:rPr>
        <w:t xml:space="preserve">. </w:t>
      </w:r>
    </w:p>
    <w:p>
      <w:pPr>
        <w:pStyle w:val="ruller411"/>
        <w:pBdr>
          <w:top w:val="single" w:sz="4" w:space="1" w:color="000000"/>
          <w:bottom w:val="single" w:sz="4" w:space="1" w:color="000000"/>
        </w:pBdr>
        <w:shd w:fill="FFFFFF" w:val="clear"/>
        <w:bidi w:val="1"/>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szCs w:val="26"/>
          <w:rtl w:val="true"/>
        </w:rPr>
        <w:t xml:space="preserve"> </w:t>
      </w:r>
      <w:r>
        <w:rPr>
          <w:rFonts w:cs="FrankRuehl"/>
          <w:szCs w:val="26"/>
          <w:rtl w:val="true"/>
        </w:rPr>
        <w:t>–</w:t>
      </w:r>
      <w:r>
        <w:rPr>
          <w:szCs w:val="26"/>
          <w:rtl w:val="true"/>
        </w:rPr>
        <w:t xml:space="preserve"> </w:t>
      </w:r>
      <w:r>
        <w:rPr>
          <w:rFonts w:cs="FrankRuehl"/>
          <w:szCs w:val="26"/>
          <w:rtl w:val="true"/>
        </w:rPr>
        <w:t>עבירות</w:t>
      </w:r>
      <w:r>
        <w:rPr>
          <w:szCs w:val="26"/>
          <w:rtl w:val="true"/>
        </w:rPr>
        <w:t xml:space="preserve"> </w:t>
      </w:r>
      <w:r>
        <w:rPr>
          <w:rFonts w:cs="FrankRuehl"/>
          <w:szCs w:val="26"/>
          <w:rtl w:val="true"/>
        </w:rPr>
        <w:t>–</w:t>
      </w:r>
      <w:r>
        <w:rPr>
          <w:szCs w:val="26"/>
          <w:rtl w:val="true"/>
        </w:rPr>
        <w:t xml:space="preserve"> </w:t>
      </w:r>
      <w:r>
        <w:rPr>
          <w:rFonts w:cs="FrankRuehl"/>
          <w:szCs w:val="26"/>
          <w:rtl w:val="true"/>
        </w:rPr>
        <w:t>חטיפה</w:t>
      </w:r>
      <w:r>
        <w:rPr>
          <w:szCs w:val="26"/>
          <w:rtl w:val="true"/>
        </w:rPr>
        <w:t xml:space="preserve"> </w:t>
      </w:r>
      <w:r>
        <w:rPr>
          <w:rFonts w:cs="FrankRuehl"/>
          <w:szCs w:val="26"/>
          <w:rtl w:val="true"/>
        </w:rPr>
        <w:t>לשם</w:t>
      </w:r>
      <w:r>
        <w:rPr>
          <w:szCs w:val="26"/>
          <w:rtl w:val="true"/>
        </w:rPr>
        <w:t xml:space="preserve"> </w:t>
      </w:r>
      <w:r>
        <w:rPr>
          <w:rFonts w:cs="FrankRuehl"/>
          <w:szCs w:val="26"/>
          <w:rtl w:val="true"/>
        </w:rPr>
        <w:t>ביצוע</w:t>
      </w:r>
      <w:r>
        <w:rPr>
          <w:szCs w:val="26"/>
          <w:rtl w:val="true"/>
        </w:rPr>
        <w:t xml:space="preserve"> </w:t>
      </w:r>
      <w:r>
        <w:rPr>
          <w:rFonts w:cs="FrankRuehl"/>
          <w:szCs w:val="26"/>
          <w:rtl w:val="true"/>
        </w:rPr>
        <w:t>עבירת</w:t>
      </w:r>
      <w:r>
        <w:rPr>
          <w:szCs w:val="26"/>
          <w:rtl w:val="true"/>
        </w:rPr>
        <w:t xml:space="preserve"> </w:t>
      </w:r>
      <w:r>
        <w:rPr>
          <w:rFonts w:cs="FrankRuehl"/>
          <w:szCs w:val="26"/>
          <w:rtl w:val="true"/>
        </w:rPr>
        <w:t>מין</w:t>
      </w:r>
    </w:p>
    <w:p>
      <w:pPr>
        <w:pStyle w:val="ruller411"/>
        <w:pBdr>
          <w:top w:val="single" w:sz="4" w:space="1" w:color="000000"/>
          <w:bottom w:val="single" w:sz="4" w:space="1" w:color="000000"/>
        </w:pBdr>
        <w:shd w:fill="FFFFFF" w:val="clear"/>
        <w:bidi w:val="1"/>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szCs w:val="26"/>
          <w:rtl w:val="true"/>
        </w:rPr>
        <w:t xml:space="preserve"> </w:t>
      </w:r>
      <w:r>
        <w:rPr>
          <w:rFonts w:cs="FrankRuehl"/>
          <w:szCs w:val="26"/>
          <w:rtl w:val="true"/>
        </w:rPr>
        <w:t>–</w:t>
      </w:r>
      <w:r>
        <w:rPr>
          <w:szCs w:val="26"/>
          <w:rtl w:val="true"/>
        </w:rPr>
        <w:t xml:space="preserve"> </w:t>
      </w:r>
      <w:r>
        <w:rPr>
          <w:rFonts w:cs="FrankRuehl"/>
          <w:szCs w:val="26"/>
          <w:rtl w:val="true"/>
        </w:rPr>
        <w:t>עבירות</w:t>
      </w:r>
      <w:r>
        <w:rPr>
          <w:szCs w:val="26"/>
          <w:rtl w:val="true"/>
        </w:rPr>
        <w:t xml:space="preserve"> </w:t>
      </w:r>
      <w:r>
        <w:rPr>
          <w:rFonts w:cs="FrankRuehl"/>
          <w:szCs w:val="26"/>
          <w:rtl w:val="true"/>
        </w:rPr>
        <w:t>–</w:t>
      </w:r>
      <w:r>
        <w:rPr>
          <w:szCs w:val="26"/>
          <w:rtl w:val="true"/>
        </w:rPr>
        <w:t xml:space="preserve"> </w:t>
      </w:r>
      <w:r>
        <w:rPr>
          <w:rFonts w:cs="FrankRuehl"/>
          <w:szCs w:val="26"/>
          <w:rtl w:val="true"/>
        </w:rPr>
        <w:t>חטיפה</w:t>
      </w:r>
    </w:p>
    <w:p>
      <w:pPr>
        <w:pStyle w:val="ruller411"/>
        <w:pBdr>
          <w:top w:val="single" w:sz="4" w:space="1" w:color="000000"/>
          <w:bottom w:val="single" w:sz="4" w:space="1" w:color="000000"/>
        </w:pBdr>
        <w:shd w:fill="FFFFFF" w:val="clear"/>
        <w:bidi w:val="1"/>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szCs w:val="26"/>
          <w:rtl w:val="true"/>
        </w:rPr>
        <w:t xml:space="preserve"> </w:t>
      </w:r>
      <w:r>
        <w:rPr>
          <w:rFonts w:cs="FrankRuehl"/>
          <w:szCs w:val="26"/>
          <w:rtl w:val="true"/>
        </w:rPr>
        <w:t>–</w:t>
      </w:r>
      <w:r>
        <w:rPr>
          <w:szCs w:val="26"/>
          <w:rtl w:val="true"/>
        </w:rPr>
        <w:t xml:space="preserve"> </w:t>
      </w:r>
      <w:r>
        <w:rPr>
          <w:rFonts w:cs="FrankRuehl"/>
          <w:szCs w:val="26"/>
          <w:rtl w:val="true"/>
        </w:rPr>
        <w:t>עבירות</w:t>
      </w:r>
      <w:r>
        <w:rPr>
          <w:szCs w:val="26"/>
          <w:rtl w:val="true"/>
        </w:rPr>
        <w:t xml:space="preserve"> </w:t>
      </w:r>
      <w:r>
        <w:rPr>
          <w:rFonts w:cs="FrankRuehl"/>
          <w:szCs w:val="26"/>
          <w:rtl w:val="true"/>
        </w:rPr>
        <w:t>–</w:t>
      </w:r>
      <w:r>
        <w:rPr>
          <w:szCs w:val="26"/>
          <w:rtl w:val="true"/>
        </w:rPr>
        <w:t xml:space="preserve"> </w:t>
      </w:r>
      <w:r>
        <w:rPr>
          <w:rFonts w:cs="FrankRuehl"/>
          <w:szCs w:val="26"/>
          <w:rtl w:val="true"/>
        </w:rPr>
        <w:t>כליאת</w:t>
      </w:r>
      <w:r>
        <w:rPr>
          <w:szCs w:val="26"/>
          <w:rtl w:val="true"/>
        </w:rPr>
        <w:t xml:space="preserve"> </w:t>
      </w:r>
      <w:r>
        <w:rPr>
          <w:rFonts w:cs="FrankRuehl"/>
          <w:szCs w:val="26"/>
          <w:rtl w:val="true"/>
        </w:rPr>
        <w:t>שווא</w:t>
      </w:r>
    </w:p>
    <w:p>
      <w:pPr>
        <w:pStyle w:val="ruller411"/>
        <w:pBdr>
          <w:top w:val="single" w:sz="4" w:space="1" w:color="000000"/>
          <w:bottom w:val="single" w:sz="4" w:space="1" w:color="000000"/>
        </w:pBdr>
        <w:shd w:fill="FFFFFF" w:val="clear"/>
        <w:bidi w:val="1"/>
        <w:spacing w:lineRule="exact" w:line="320" w:before="0" w:after="120"/>
        <w:ind w:end="0"/>
        <w:jc w:val="both"/>
        <w:rPr>
          <w:szCs w:val="26"/>
        </w:rPr>
      </w:pPr>
      <w:r>
        <w:rPr>
          <w:rFonts w:cs="FrankRuehl"/>
          <w:szCs w:val="26"/>
          <w:rtl w:val="true"/>
        </w:rPr>
        <w:t xml:space="preserve">* </w:t>
      </w:r>
      <w:r>
        <w:rPr>
          <w:rFonts w:cs="FrankRuehl"/>
          <w:szCs w:val="26"/>
          <w:rtl w:val="true"/>
        </w:rPr>
        <w:t>ראיות</w:t>
      </w:r>
      <w:r>
        <w:rPr>
          <w:szCs w:val="26"/>
          <w:rtl w:val="true"/>
        </w:rPr>
        <w:t xml:space="preserve"> </w:t>
      </w:r>
      <w:r>
        <w:rPr>
          <w:rFonts w:cs="FrankRuehl"/>
          <w:szCs w:val="26"/>
          <w:rtl w:val="true"/>
        </w:rPr>
        <w:t>–</w:t>
      </w:r>
      <w:r>
        <w:rPr>
          <w:szCs w:val="26"/>
          <w:rtl w:val="true"/>
        </w:rPr>
        <w:t xml:space="preserve"> </w:t>
      </w:r>
      <w:r>
        <w:rPr>
          <w:rFonts w:cs="FrankRuehl"/>
          <w:szCs w:val="26"/>
          <w:rtl w:val="true"/>
        </w:rPr>
        <w:t>עדות</w:t>
      </w:r>
      <w:r>
        <w:rPr>
          <w:szCs w:val="26"/>
          <w:rtl w:val="true"/>
        </w:rPr>
        <w:t xml:space="preserve"> </w:t>
      </w:r>
      <w:r>
        <w:rPr>
          <w:rFonts w:cs="FrankRuehl"/>
          <w:szCs w:val="26"/>
          <w:rtl w:val="true"/>
        </w:rPr>
        <w:t>–</w:t>
      </w:r>
      <w:r>
        <w:rPr>
          <w:szCs w:val="26"/>
          <w:rtl w:val="true"/>
        </w:rPr>
        <w:t xml:space="preserve"> </w:t>
      </w:r>
      <w:r>
        <w:rPr>
          <w:rFonts w:cs="FrankRuehl"/>
          <w:szCs w:val="26"/>
          <w:rtl w:val="true"/>
        </w:rPr>
        <w:t>פיצולה</w:t>
      </w:r>
    </w:p>
    <w:p>
      <w:pPr>
        <w:pStyle w:val="ruller411"/>
        <w:pBdr>
          <w:top w:val="single" w:sz="4" w:space="1" w:color="000000"/>
          <w:bottom w:val="single" w:sz="4" w:space="1" w:color="000000"/>
        </w:pBdr>
        <w:shd w:fill="FFFFFF" w:val="clear"/>
        <w:bidi w:val="1"/>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דיון</w:t>
      </w:r>
      <w:r>
        <w:rPr>
          <w:szCs w:val="26"/>
          <w:rtl w:val="true"/>
        </w:rPr>
        <w:t xml:space="preserve"> </w:t>
      </w:r>
      <w:r>
        <w:rPr>
          <w:rFonts w:cs="FrankRuehl"/>
          <w:szCs w:val="26"/>
          <w:rtl w:val="true"/>
        </w:rPr>
        <w:t>פלילי</w:t>
      </w:r>
      <w:r>
        <w:rPr>
          <w:szCs w:val="26"/>
          <w:rtl w:val="true"/>
        </w:rPr>
        <w:t xml:space="preserve"> </w:t>
      </w:r>
      <w:r>
        <w:rPr>
          <w:rFonts w:cs="FrankRuehl"/>
          <w:szCs w:val="26"/>
          <w:rtl w:val="true"/>
        </w:rPr>
        <w:t>–</w:t>
      </w:r>
      <w:r>
        <w:rPr>
          <w:szCs w:val="26"/>
          <w:rtl w:val="true"/>
        </w:rPr>
        <w:t xml:space="preserve"> </w:t>
      </w:r>
      <w:r>
        <w:rPr>
          <w:rFonts w:cs="FrankRuehl"/>
          <w:szCs w:val="26"/>
          <w:rtl w:val="true"/>
        </w:rPr>
        <w:t>ערעור</w:t>
      </w:r>
      <w:r>
        <w:rPr>
          <w:szCs w:val="26"/>
          <w:rtl w:val="true"/>
        </w:rPr>
        <w:t xml:space="preserve"> </w:t>
      </w:r>
      <w:r>
        <w:rPr>
          <w:rFonts w:cs="FrankRuehl"/>
          <w:szCs w:val="26"/>
          <w:rtl w:val="true"/>
        </w:rPr>
        <w:t>–</w:t>
      </w:r>
      <w:r>
        <w:rPr>
          <w:szCs w:val="26"/>
          <w:rtl w:val="true"/>
        </w:rPr>
        <w:t xml:space="preserve"> </w:t>
      </w:r>
      <w:r>
        <w:rPr>
          <w:rFonts w:cs="FrankRuehl"/>
          <w:szCs w:val="26"/>
          <w:rtl w:val="true"/>
        </w:rPr>
        <w:t>אי</w:t>
      </w:r>
      <w:r>
        <w:rPr>
          <w:rFonts w:cs="FrankRuehl"/>
          <w:szCs w:val="26"/>
          <w:rtl w:val="true"/>
        </w:rPr>
        <w:t>-</w:t>
      </w:r>
      <w:r>
        <w:rPr>
          <w:rFonts w:cs="FrankRuehl"/>
          <w:szCs w:val="26"/>
          <w:rtl w:val="true"/>
        </w:rPr>
        <w:t>התערבות</w:t>
      </w:r>
      <w:r>
        <w:rPr>
          <w:szCs w:val="26"/>
          <w:rtl w:val="true"/>
        </w:rPr>
        <w:t xml:space="preserve"> </w:t>
      </w:r>
      <w:r>
        <w:rPr>
          <w:rFonts w:cs="FrankRuehl"/>
          <w:szCs w:val="26"/>
          <w:rtl w:val="true"/>
        </w:rPr>
        <w:t>בממצאים</w:t>
      </w:r>
      <w:r>
        <w:rPr>
          <w:szCs w:val="26"/>
          <w:rtl w:val="true"/>
        </w:rPr>
        <w:t xml:space="preserve"> </w:t>
      </w:r>
      <w:r>
        <w:rPr>
          <w:rFonts w:cs="FrankRuehl"/>
          <w:szCs w:val="26"/>
          <w:rtl w:val="true"/>
        </w:rPr>
        <w:t>עובדתיים</w:t>
      </w:r>
    </w:p>
    <w:p>
      <w:pPr>
        <w:pStyle w:val="ruller411"/>
        <w:pBdr>
          <w:top w:val="single" w:sz="4" w:space="1" w:color="000000"/>
          <w:bottom w:val="single" w:sz="4" w:space="1" w:color="000000"/>
        </w:pBdr>
        <w:shd w:fill="FFFFFF" w:val="clear"/>
        <w:bidi w:val="1"/>
        <w:spacing w:lineRule="exact" w:line="320" w:before="0" w:after="120"/>
        <w:ind w:end="0"/>
        <w:jc w:val="both"/>
        <w:rPr>
          <w:rFonts w:cs="FrankRuehl"/>
          <w:szCs w:val="26"/>
        </w:rPr>
      </w:pPr>
      <w:r>
        <w:rPr>
          <w:rFonts w:cs="FrankRuehl"/>
          <w:szCs w:val="26"/>
          <w:rtl w:val="true"/>
        </w:rPr>
        <w:t>.</w:t>
      </w:r>
    </w:p>
    <w:p>
      <w:pPr>
        <w:pStyle w:val="ruller411"/>
        <w:pBdr>
          <w:top w:val="single" w:sz="4" w:space="1" w:color="000000"/>
          <w:bottom w:val="single" w:sz="4" w:space="1" w:color="000000"/>
        </w:pBdr>
        <w:shd w:fill="FFFFFF" w:val="clear"/>
        <w:bidi w:val="1"/>
        <w:spacing w:lineRule="exact" w:line="320" w:before="0" w:after="120"/>
        <w:ind w:end="0"/>
        <w:jc w:val="both"/>
        <w:rPr>
          <w:szCs w:val="26"/>
        </w:rPr>
      </w:pPr>
      <w:r>
        <w:rPr>
          <w:rFonts w:cs="FrankRuehl"/>
          <w:szCs w:val="26"/>
          <w:rtl w:val="true"/>
        </w:rPr>
        <w:t>ערעורים</w:t>
      </w:r>
      <w:r>
        <w:rPr>
          <w:szCs w:val="26"/>
          <w:rtl w:val="true"/>
        </w:rPr>
        <w:t xml:space="preserve"> </w:t>
      </w:r>
      <w:r>
        <w:rPr>
          <w:rFonts w:cs="FrankRuehl"/>
          <w:szCs w:val="26"/>
          <w:rtl w:val="true"/>
        </w:rPr>
        <w:t>על</w:t>
      </w:r>
      <w:r>
        <w:rPr>
          <w:szCs w:val="26"/>
          <w:rtl w:val="true"/>
        </w:rPr>
        <w:t xml:space="preserve"> </w:t>
      </w:r>
      <w:r>
        <w:rPr>
          <w:rFonts w:cs="FrankRuehl"/>
          <w:szCs w:val="26"/>
          <w:rtl w:val="true"/>
        </w:rPr>
        <w:t>פסק</w:t>
      </w:r>
      <w:r>
        <w:rPr>
          <w:szCs w:val="26"/>
          <w:rtl w:val="true"/>
        </w:rPr>
        <w:t xml:space="preserve"> </w:t>
      </w:r>
      <w:r>
        <w:rPr>
          <w:rFonts w:cs="FrankRuehl"/>
          <w:szCs w:val="26"/>
          <w:rtl w:val="true"/>
        </w:rPr>
        <w:t>דין</w:t>
      </w:r>
      <w:r>
        <w:rPr>
          <w:szCs w:val="26"/>
          <w:rtl w:val="true"/>
        </w:rPr>
        <w:t xml:space="preserve"> </w:t>
      </w:r>
      <w:r>
        <w:rPr>
          <w:rFonts w:cs="FrankRuehl"/>
          <w:szCs w:val="26"/>
          <w:rtl w:val="true"/>
        </w:rPr>
        <w:t>של</w:t>
      </w:r>
      <w:r>
        <w:rPr>
          <w:szCs w:val="26"/>
          <w:rtl w:val="true"/>
        </w:rPr>
        <w:t xml:space="preserve"> </w:t>
      </w:r>
      <w:r>
        <w:rPr>
          <w:rFonts w:cs="FrankRuehl"/>
          <w:szCs w:val="26"/>
          <w:rtl w:val="true"/>
        </w:rPr>
        <w:t>בימ</w:t>
      </w:r>
      <w:r>
        <w:rPr>
          <w:rFonts w:cs="FrankRuehl"/>
          <w:szCs w:val="26"/>
          <w:rtl w:val="true"/>
        </w:rPr>
        <w:t>"</w:t>
      </w:r>
      <w:r>
        <w:rPr>
          <w:rFonts w:cs="FrankRuehl"/>
          <w:szCs w:val="26"/>
          <w:rtl w:val="true"/>
        </w:rPr>
        <w:t>ש</w:t>
      </w:r>
      <w:r>
        <w:rPr>
          <w:szCs w:val="26"/>
          <w:rtl w:val="true"/>
        </w:rPr>
        <w:t xml:space="preserve"> </w:t>
      </w:r>
      <w:r>
        <w:rPr>
          <w:rFonts w:cs="FrankRuehl"/>
          <w:szCs w:val="26"/>
          <w:rtl w:val="true"/>
        </w:rPr>
        <w:t>המחוזי</w:t>
      </w:r>
      <w:r>
        <w:rPr>
          <w:rFonts w:cs="FrankRuehl"/>
          <w:szCs w:val="26"/>
          <w:rtl w:val="true"/>
        </w:rPr>
        <w:t xml:space="preserve">. </w:t>
      </w:r>
      <w:r>
        <w:rPr>
          <w:rFonts w:cs="FrankRuehl"/>
          <w:szCs w:val="26"/>
          <w:rtl w:val="true"/>
        </w:rPr>
        <w:t>בהכרעת</w:t>
      </w:r>
      <w:r>
        <w:rPr>
          <w:szCs w:val="26"/>
          <w:rtl w:val="true"/>
        </w:rPr>
        <w:t xml:space="preserve"> </w:t>
      </w:r>
      <w:r>
        <w:rPr>
          <w:rFonts w:cs="FrankRuehl"/>
          <w:szCs w:val="26"/>
          <w:rtl w:val="true"/>
        </w:rPr>
        <w:t>הדין</w:t>
      </w:r>
      <w:r>
        <w:rPr>
          <w:szCs w:val="26"/>
          <w:rtl w:val="true"/>
        </w:rPr>
        <w:t xml:space="preserve"> </w:t>
      </w:r>
      <w:r>
        <w:rPr>
          <w:rFonts w:cs="FrankRuehl"/>
          <w:szCs w:val="26"/>
          <w:rtl w:val="true"/>
        </w:rPr>
        <w:t>זוכה</w:t>
      </w:r>
      <w:r>
        <w:rPr>
          <w:szCs w:val="26"/>
          <w:rtl w:val="true"/>
        </w:rPr>
        <w:t xml:space="preserve"> </w:t>
      </w:r>
      <w:r>
        <w:rPr>
          <w:rFonts w:cs="FrankRuehl"/>
          <w:szCs w:val="26"/>
          <w:rtl w:val="true"/>
        </w:rPr>
        <w:t>המערער</w:t>
      </w:r>
      <w:r>
        <w:rPr>
          <w:szCs w:val="26"/>
          <w:rtl w:val="true"/>
        </w:rPr>
        <w:t xml:space="preserve"> </w:t>
      </w:r>
      <w:r>
        <w:rPr>
          <w:rFonts w:cs="FrankRuehl"/>
          <w:szCs w:val="26"/>
          <w:rtl w:val="true"/>
        </w:rPr>
        <w:t>בע</w:t>
      </w:r>
      <w:r>
        <w:rPr>
          <w:rFonts w:cs="FrankRuehl"/>
          <w:szCs w:val="26"/>
          <w:rtl w:val="true"/>
        </w:rPr>
        <w:t>"</w:t>
      </w:r>
      <w:r>
        <w:rPr>
          <w:rFonts w:cs="FrankRuehl"/>
          <w:szCs w:val="26"/>
          <w:rtl w:val="true"/>
        </w:rPr>
        <w:t>פ</w:t>
      </w:r>
      <w:r>
        <w:rPr>
          <w:szCs w:val="26"/>
          <w:rtl w:val="true"/>
        </w:rPr>
        <w:t xml:space="preserve"> </w:t>
      </w:r>
      <w:r>
        <w:rPr>
          <w:rFonts w:cs="FrankRuehl"/>
          <w:szCs w:val="26"/>
        </w:rPr>
        <w:t>1880/20</w:t>
      </w:r>
      <w:r>
        <w:rPr>
          <w:rFonts w:cs="FrankRuehl"/>
          <w:szCs w:val="26"/>
          <w:rtl w:val="true"/>
        </w:rPr>
        <w:t xml:space="preserve"> (</w:t>
      </w:r>
      <w:r>
        <w:rPr>
          <w:rFonts w:cs="FrankRuehl"/>
          <w:szCs w:val="26"/>
          <w:rtl w:val="true"/>
        </w:rPr>
        <w:t>הוא</w:t>
      </w:r>
      <w:r>
        <w:rPr>
          <w:szCs w:val="26"/>
          <w:rtl w:val="true"/>
        </w:rPr>
        <w:t xml:space="preserve"> </w:t>
      </w:r>
      <w:r>
        <w:rPr>
          <w:rFonts w:cs="FrankRuehl"/>
          <w:szCs w:val="26"/>
          <w:rtl w:val="true"/>
        </w:rPr>
        <w:t>המשיב</w:t>
      </w:r>
      <w:r>
        <w:rPr>
          <w:szCs w:val="26"/>
          <w:rtl w:val="true"/>
        </w:rPr>
        <w:t xml:space="preserve"> </w:t>
      </w:r>
      <w:r>
        <w:rPr>
          <w:rFonts w:cs="FrankRuehl"/>
          <w:szCs w:val="26"/>
          <w:rtl w:val="true"/>
        </w:rPr>
        <w:t>בע</w:t>
      </w:r>
      <w:r>
        <w:rPr>
          <w:rFonts w:cs="FrankRuehl"/>
          <w:szCs w:val="26"/>
          <w:rtl w:val="true"/>
        </w:rPr>
        <w:t>"</w:t>
      </w:r>
      <w:r>
        <w:rPr>
          <w:rFonts w:cs="FrankRuehl"/>
          <w:szCs w:val="26"/>
          <w:rtl w:val="true"/>
        </w:rPr>
        <w:t>פ</w:t>
      </w:r>
      <w:r>
        <w:rPr>
          <w:szCs w:val="26"/>
          <w:rtl w:val="true"/>
        </w:rPr>
        <w:t xml:space="preserve"> </w:t>
      </w:r>
      <w:r>
        <w:rPr>
          <w:rFonts w:cs="FrankRuehl"/>
          <w:szCs w:val="26"/>
        </w:rPr>
        <w:t>1838/20</w:t>
      </w:r>
      <w:r>
        <w:rPr>
          <w:rFonts w:cs="FrankRuehl"/>
          <w:szCs w:val="26"/>
          <w:rtl w:val="true"/>
        </w:rPr>
        <w:t xml:space="preserve">) </w:t>
      </w:r>
      <w:r>
        <w:rPr>
          <w:rFonts w:cs="FrankRuehl"/>
          <w:szCs w:val="26"/>
          <w:rtl w:val="true"/>
        </w:rPr>
        <w:t>מהעבירות</w:t>
      </w:r>
      <w:r>
        <w:rPr>
          <w:szCs w:val="26"/>
          <w:rtl w:val="true"/>
        </w:rPr>
        <w:t xml:space="preserve"> </w:t>
      </w:r>
      <w:r>
        <w:rPr>
          <w:rFonts w:cs="FrankRuehl"/>
          <w:szCs w:val="26"/>
          <w:rtl w:val="true"/>
        </w:rPr>
        <w:t>של</w:t>
      </w:r>
      <w:r>
        <w:rPr>
          <w:szCs w:val="26"/>
          <w:rtl w:val="true"/>
        </w:rPr>
        <w:t xml:space="preserve"> </w:t>
      </w:r>
      <w:r>
        <w:rPr>
          <w:rFonts w:cs="FrankRuehl"/>
          <w:szCs w:val="26"/>
          <w:rtl w:val="true"/>
        </w:rPr>
        <w:t>חטיפה</w:t>
      </w:r>
      <w:r>
        <w:rPr>
          <w:szCs w:val="26"/>
          <w:rtl w:val="true"/>
        </w:rPr>
        <w:t xml:space="preserve"> </w:t>
      </w:r>
      <w:r>
        <w:rPr>
          <w:rFonts w:cs="FrankRuehl"/>
          <w:szCs w:val="26"/>
          <w:rtl w:val="true"/>
        </w:rPr>
        <w:t>לשם</w:t>
      </w:r>
      <w:r>
        <w:rPr>
          <w:szCs w:val="26"/>
          <w:rtl w:val="true"/>
        </w:rPr>
        <w:t xml:space="preserve"> </w:t>
      </w:r>
      <w:r>
        <w:rPr>
          <w:rFonts w:cs="FrankRuehl"/>
          <w:szCs w:val="26"/>
          <w:rtl w:val="true"/>
        </w:rPr>
        <w:t>ביצוע</w:t>
      </w:r>
      <w:r>
        <w:rPr>
          <w:szCs w:val="26"/>
          <w:rtl w:val="true"/>
        </w:rPr>
        <w:t xml:space="preserve"> </w:t>
      </w:r>
      <w:r>
        <w:rPr>
          <w:rFonts w:cs="FrankRuehl"/>
          <w:szCs w:val="26"/>
          <w:rtl w:val="true"/>
        </w:rPr>
        <w:t>עבירת</w:t>
      </w:r>
      <w:r>
        <w:rPr>
          <w:szCs w:val="26"/>
          <w:rtl w:val="true"/>
        </w:rPr>
        <w:t xml:space="preserve"> </w:t>
      </w:r>
      <w:r>
        <w:rPr>
          <w:rFonts w:cs="FrankRuehl"/>
          <w:szCs w:val="26"/>
          <w:rtl w:val="true"/>
        </w:rPr>
        <w:t>מין</w:t>
      </w:r>
      <w:r>
        <w:rPr>
          <w:rFonts w:cs="FrankRuehl"/>
          <w:szCs w:val="26"/>
          <w:rtl w:val="true"/>
        </w:rPr>
        <w:t xml:space="preserve">; </w:t>
      </w:r>
      <w:r>
        <w:rPr>
          <w:rFonts w:cs="FrankRuehl"/>
          <w:szCs w:val="26"/>
          <w:rtl w:val="true"/>
        </w:rPr>
        <w:t>אינוס</w:t>
      </w:r>
      <w:r>
        <w:rPr>
          <w:szCs w:val="26"/>
          <w:rtl w:val="true"/>
        </w:rPr>
        <w:t xml:space="preserve"> </w:t>
      </w:r>
      <w:r>
        <w:rPr>
          <w:rFonts w:cs="FrankRuehl"/>
          <w:szCs w:val="26"/>
          <w:rtl w:val="true"/>
        </w:rPr>
        <w:t>וכליאת</w:t>
      </w:r>
      <w:r>
        <w:rPr>
          <w:szCs w:val="26"/>
          <w:rtl w:val="true"/>
        </w:rPr>
        <w:t xml:space="preserve"> </w:t>
      </w:r>
      <w:r>
        <w:rPr>
          <w:rFonts w:cs="FrankRuehl"/>
          <w:szCs w:val="26"/>
          <w:rtl w:val="true"/>
        </w:rPr>
        <w:t>שווא</w:t>
      </w:r>
      <w:r>
        <w:rPr>
          <w:szCs w:val="26"/>
          <w:rtl w:val="true"/>
        </w:rPr>
        <w:t xml:space="preserve"> </w:t>
      </w:r>
      <w:r>
        <w:rPr>
          <w:rFonts w:cs="FrankRuehl"/>
          <w:szCs w:val="26"/>
          <w:rtl w:val="true"/>
        </w:rPr>
        <w:t>כלפי</w:t>
      </w:r>
      <w:r>
        <w:rPr>
          <w:szCs w:val="26"/>
          <w:rtl w:val="true"/>
        </w:rPr>
        <w:t xml:space="preserve"> </w:t>
      </w:r>
      <w:r>
        <w:rPr>
          <w:rFonts w:cs="FrankRuehl"/>
          <w:szCs w:val="26"/>
          <w:rtl w:val="true"/>
        </w:rPr>
        <w:t>המתלוננת</w:t>
      </w:r>
      <w:r>
        <w:rPr>
          <w:szCs w:val="26"/>
          <w:rtl w:val="true"/>
        </w:rPr>
        <w:t xml:space="preserve"> </w:t>
      </w:r>
      <w:r>
        <w:rPr>
          <w:rFonts w:cs="FrankRuehl"/>
          <w:szCs w:val="26"/>
          <w:rtl w:val="true"/>
        </w:rPr>
        <w:t>והורשע</w:t>
      </w:r>
      <w:r>
        <w:rPr>
          <w:szCs w:val="26"/>
          <w:rtl w:val="true"/>
        </w:rPr>
        <w:t xml:space="preserve"> </w:t>
      </w:r>
      <w:r>
        <w:rPr>
          <w:rFonts w:cs="FrankRuehl"/>
          <w:szCs w:val="26"/>
          <w:rtl w:val="true"/>
        </w:rPr>
        <w:t>בעבירה</w:t>
      </w:r>
      <w:r>
        <w:rPr>
          <w:szCs w:val="26"/>
          <w:rtl w:val="true"/>
        </w:rPr>
        <w:t xml:space="preserve"> </w:t>
      </w:r>
      <w:r>
        <w:rPr>
          <w:rFonts w:cs="FrankRuehl"/>
          <w:szCs w:val="26"/>
          <w:rtl w:val="true"/>
        </w:rPr>
        <w:t>של</w:t>
      </w:r>
      <w:r>
        <w:rPr>
          <w:szCs w:val="26"/>
          <w:rtl w:val="true"/>
        </w:rPr>
        <w:t xml:space="preserve"> </w:t>
      </w:r>
      <w:r>
        <w:rPr>
          <w:rFonts w:cs="FrankRuehl"/>
          <w:szCs w:val="26"/>
          <w:rtl w:val="true"/>
        </w:rPr>
        <w:t>מעשים</w:t>
      </w:r>
      <w:r>
        <w:rPr>
          <w:szCs w:val="26"/>
          <w:rtl w:val="true"/>
        </w:rPr>
        <w:t xml:space="preserve"> </w:t>
      </w:r>
      <w:r>
        <w:rPr>
          <w:rFonts w:cs="FrankRuehl"/>
          <w:szCs w:val="26"/>
          <w:rtl w:val="true"/>
        </w:rPr>
        <w:t>מגונים</w:t>
      </w:r>
      <w:r>
        <w:rPr>
          <w:szCs w:val="26"/>
          <w:rtl w:val="true"/>
        </w:rPr>
        <w:t xml:space="preserve"> </w:t>
      </w:r>
      <w:r>
        <w:rPr>
          <w:rFonts w:cs="FrankRuehl"/>
          <w:szCs w:val="26"/>
          <w:rtl w:val="true"/>
        </w:rPr>
        <w:t>בכוח</w:t>
      </w:r>
      <w:r>
        <w:rPr>
          <w:rFonts w:cs="FrankRuehl"/>
          <w:szCs w:val="26"/>
          <w:rtl w:val="true"/>
        </w:rPr>
        <w:t xml:space="preserve">. </w:t>
      </w:r>
      <w:r>
        <w:rPr>
          <w:rFonts w:cs="FrankRuehl"/>
          <w:szCs w:val="26"/>
          <w:rtl w:val="true"/>
        </w:rPr>
        <w:t>בעקבות</w:t>
      </w:r>
      <w:r>
        <w:rPr>
          <w:szCs w:val="26"/>
          <w:rtl w:val="true"/>
        </w:rPr>
        <w:t xml:space="preserve"> </w:t>
      </w:r>
      <w:r>
        <w:rPr>
          <w:rFonts w:cs="FrankRuehl"/>
          <w:szCs w:val="26"/>
          <w:rtl w:val="true"/>
        </w:rPr>
        <w:t>ההרשעה</w:t>
      </w:r>
      <w:r>
        <w:rPr>
          <w:szCs w:val="26"/>
          <w:rtl w:val="true"/>
        </w:rPr>
        <w:t xml:space="preserve"> </w:t>
      </w:r>
      <w:r>
        <w:rPr>
          <w:rFonts w:cs="FrankRuehl"/>
          <w:szCs w:val="26"/>
          <w:rtl w:val="true"/>
        </w:rPr>
        <w:t>הושתו</w:t>
      </w:r>
      <w:r>
        <w:rPr>
          <w:szCs w:val="26"/>
          <w:rtl w:val="true"/>
        </w:rPr>
        <w:t xml:space="preserve"> </w:t>
      </w:r>
      <w:r>
        <w:rPr>
          <w:rFonts w:cs="FrankRuehl"/>
          <w:szCs w:val="26"/>
          <w:rtl w:val="true"/>
        </w:rPr>
        <w:t>על</w:t>
      </w:r>
      <w:r>
        <w:rPr>
          <w:szCs w:val="26"/>
          <w:rtl w:val="true"/>
        </w:rPr>
        <w:t xml:space="preserve"> </w:t>
      </w:r>
      <w:r>
        <w:rPr>
          <w:rFonts w:cs="FrankRuehl"/>
          <w:szCs w:val="26"/>
          <w:rtl w:val="true"/>
        </w:rPr>
        <w:t>המשיב</w:t>
      </w:r>
      <w:r>
        <w:rPr>
          <w:szCs w:val="26"/>
          <w:rtl w:val="true"/>
        </w:rPr>
        <w:t xml:space="preserve"> </w:t>
      </w:r>
      <w:r>
        <w:rPr>
          <w:rFonts w:cs="FrankRuehl"/>
          <w:szCs w:val="26"/>
        </w:rPr>
        <w:t>24</w:t>
      </w:r>
      <w:r>
        <w:rPr>
          <w:rFonts w:cs="FrankRuehl"/>
          <w:szCs w:val="26"/>
          <w:rtl w:val="true"/>
        </w:rPr>
        <w:t xml:space="preserve"> </w:t>
      </w:r>
      <w:r>
        <w:rPr>
          <w:rFonts w:cs="FrankRuehl"/>
          <w:szCs w:val="26"/>
          <w:rtl w:val="true"/>
        </w:rPr>
        <w:t>חודשי</w:t>
      </w:r>
      <w:r>
        <w:rPr>
          <w:szCs w:val="26"/>
          <w:rtl w:val="true"/>
        </w:rPr>
        <w:t xml:space="preserve"> </w:t>
      </w:r>
      <w:r>
        <w:rPr>
          <w:rFonts w:cs="FrankRuehl"/>
          <w:szCs w:val="26"/>
          <w:rtl w:val="true"/>
        </w:rPr>
        <w:t>מאסר</w:t>
      </w:r>
      <w:r>
        <w:rPr>
          <w:szCs w:val="26"/>
          <w:rtl w:val="true"/>
        </w:rPr>
        <w:t xml:space="preserve"> </w:t>
      </w:r>
      <w:r>
        <w:rPr>
          <w:rFonts w:cs="FrankRuehl"/>
          <w:szCs w:val="26"/>
          <w:rtl w:val="true"/>
        </w:rPr>
        <w:t>בפועל</w:t>
      </w:r>
      <w:r>
        <w:rPr>
          <w:szCs w:val="26"/>
          <w:rtl w:val="true"/>
        </w:rPr>
        <w:t xml:space="preserve"> </w:t>
      </w:r>
      <w:r>
        <w:rPr>
          <w:rFonts w:cs="FrankRuehl"/>
          <w:szCs w:val="26"/>
          <w:rtl w:val="true"/>
        </w:rPr>
        <w:t>בניכוי</w:t>
      </w:r>
      <w:r>
        <w:rPr>
          <w:szCs w:val="26"/>
          <w:rtl w:val="true"/>
        </w:rPr>
        <w:t xml:space="preserve"> </w:t>
      </w:r>
      <w:r>
        <w:rPr>
          <w:rFonts w:cs="FrankRuehl"/>
          <w:szCs w:val="26"/>
          <w:rtl w:val="true"/>
        </w:rPr>
        <w:t>ימי</w:t>
      </w:r>
      <w:r>
        <w:rPr>
          <w:szCs w:val="26"/>
          <w:rtl w:val="true"/>
        </w:rPr>
        <w:t xml:space="preserve"> </w:t>
      </w:r>
      <w:r>
        <w:rPr>
          <w:rFonts w:cs="FrankRuehl"/>
          <w:szCs w:val="26"/>
          <w:rtl w:val="true"/>
        </w:rPr>
        <w:t>מעצרו</w:t>
      </w:r>
      <w:r>
        <w:rPr>
          <w:rFonts w:cs="FrankRuehl"/>
          <w:szCs w:val="26"/>
          <w:rtl w:val="true"/>
        </w:rPr>
        <w:t xml:space="preserve">; </w:t>
      </w:r>
      <w:r>
        <w:rPr>
          <w:rFonts w:cs="FrankRuehl"/>
          <w:szCs w:val="26"/>
          <w:rtl w:val="true"/>
        </w:rPr>
        <w:t>שני</w:t>
      </w:r>
      <w:r>
        <w:rPr>
          <w:szCs w:val="26"/>
          <w:rtl w:val="true"/>
        </w:rPr>
        <w:t xml:space="preserve"> </w:t>
      </w:r>
      <w:r>
        <w:rPr>
          <w:rFonts w:cs="FrankRuehl"/>
          <w:szCs w:val="26"/>
          <w:rtl w:val="true"/>
        </w:rPr>
        <w:t>מאסרים</w:t>
      </w:r>
      <w:r>
        <w:rPr>
          <w:szCs w:val="26"/>
          <w:rtl w:val="true"/>
        </w:rPr>
        <w:t xml:space="preserve"> </w:t>
      </w:r>
      <w:r>
        <w:rPr>
          <w:rFonts w:cs="FrankRuehl"/>
          <w:szCs w:val="26"/>
          <w:rtl w:val="true"/>
        </w:rPr>
        <w:t>מותנים</w:t>
      </w:r>
      <w:r>
        <w:rPr>
          <w:szCs w:val="26"/>
          <w:rtl w:val="true"/>
        </w:rPr>
        <w:t xml:space="preserve"> </w:t>
      </w:r>
      <w:r>
        <w:rPr>
          <w:rFonts w:cs="FrankRuehl"/>
          <w:szCs w:val="26"/>
          <w:rtl w:val="true"/>
        </w:rPr>
        <w:t>ותשלום</w:t>
      </w:r>
      <w:r>
        <w:rPr>
          <w:szCs w:val="26"/>
          <w:rtl w:val="true"/>
        </w:rPr>
        <w:t xml:space="preserve"> </w:t>
      </w:r>
      <w:r>
        <w:rPr>
          <w:rFonts w:cs="FrankRuehl"/>
          <w:szCs w:val="26"/>
          <w:rtl w:val="true"/>
        </w:rPr>
        <w:t>פיצוי</w:t>
      </w:r>
      <w:r>
        <w:rPr>
          <w:szCs w:val="26"/>
          <w:rtl w:val="true"/>
        </w:rPr>
        <w:t xml:space="preserve"> </w:t>
      </w:r>
      <w:r>
        <w:rPr>
          <w:rFonts w:cs="FrankRuehl"/>
          <w:szCs w:val="26"/>
          <w:rtl w:val="true"/>
        </w:rPr>
        <w:t>למתלוננת</w:t>
      </w:r>
      <w:r>
        <w:rPr>
          <w:szCs w:val="26"/>
          <w:rtl w:val="true"/>
        </w:rPr>
        <w:t xml:space="preserve"> </w:t>
      </w:r>
      <w:r>
        <w:rPr>
          <w:rFonts w:cs="FrankRuehl"/>
          <w:szCs w:val="26"/>
          <w:rtl w:val="true"/>
        </w:rPr>
        <w:t>בסך</w:t>
      </w:r>
      <w:r>
        <w:rPr>
          <w:szCs w:val="26"/>
          <w:rtl w:val="true"/>
        </w:rPr>
        <w:t xml:space="preserve"> </w:t>
      </w:r>
      <w:r>
        <w:rPr>
          <w:rFonts w:cs="FrankRuehl"/>
          <w:szCs w:val="26"/>
        </w:rPr>
        <w:t>40,000</w:t>
      </w:r>
      <w:r>
        <w:rPr>
          <w:rFonts w:cs="FrankRuehl"/>
          <w:szCs w:val="26"/>
          <w:rtl w:val="true"/>
        </w:rPr>
        <w:t xml:space="preserve"> ₪. </w:t>
      </w:r>
      <w:r>
        <w:rPr>
          <w:rFonts w:cs="FrankRuehl"/>
          <w:szCs w:val="26"/>
          <w:rtl w:val="true"/>
        </w:rPr>
        <w:t>עסקינן</w:t>
      </w:r>
      <w:r>
        <w:rPr>
          <w:szCs w:val="26"/>
          <w:rtl w:val="true"/>
        </w:rPr>
        <w:t xml:space="preserve"> </w:t>
      </w:r>
      <w:r>
        <w:rPr>
          <w:rFonts w:cs="FrankRuehl"/>
          <w:szCs w:val="26"/>
          <w:rtl w:val="true"/>
        </w:rPr>
        <w:t>בערעור</w:t>
      </w:r>
      <w:r>
        <w:rPr>
          <w:szCs w:val="26"/>
          <w:rtl w:val="true"/>
        </w:rPr>
        <w:t xml:space="preserve"> </w:t>
      </w:r>
      <w:r>
        <w:rPr>
          <w:rFonts w:cs="FrankRuehl"/>
          <w:szCs w:val="26"/>
          <w:rtl w:val="true"/>
        </w:rPr>
        <w:t>המדינה</w:t>
      </w:r>
      <w:r>
        <w:rPr>
          <w:szCs w:val="26"/>
          <w:rtl w:val="true"/>
        </w:rPr>
        <w:t xml:space="preserve"> </w:t>
      </w:r>
      <w:r>
        <w:rPr>
          <w:rFonts w:cs="FrankRuehl"/>
          <w:szCs w:val="26"/>
          <w:rtl w:val="true"/>
        </w:rPr>
        <w:t>בע</w:t>
      </w:r>
      <w:r>
        <w:rPr>
          <w:rFonts w:cs="FrankRuehl"/>
          <w:szCs w:val="26"/>
          <w:rtl w:val="true"/>
        </w:rPr>
        <w:t>"</w:t>
      </w:r>
      <w:r>
        <w:rPr>
          <w:rFonts w:cs="FrankRuehl"/>
          <w:szCs w:val="26"/>
          <w:rtl w:val="true"/>
        </w:rPr>
        <w:t>פ</w:t>
      </w:r>
      <w:r>
        <w:rPr>
          <w:szCs w:val="26"/>
          <w:rtl w:val="true"/>
        </w:rPr>
        <w:t xml:space="preserve"> </w:t>
      </w:r>
      <w:r>
        <w:rPr>
          <w:rFonts w:cs="FrankRuehl"/>
          <w:szCs w:val="26"/>
        </w:rPr>
        <w:t>1838/20</w:t>
      </w:r>
      <w:r>
        <w:rPr>
          <w:rFonts w:cs="FrankRuehl"/>
          <w:szCs w:val="26"/>
          <w:rtl w:val="true"/>
        </w:rPr>
        <w:t xml:space="preserve"> </w:t>
      </w:r>
      <w:r>
        <w:rPr>
          <w:rFonts w:cs="FrankRuehl"/>
          <w:szCs w:val="26"/>
          <w:rtl w:val="true"/>
        </w:rPr>
        <w:t>נגד</w:t>
      </w:r>
      <w:r>
        <w:rPr>
          <w:szCs w:val="26"/>
          <w:rtl w:val="true"/>
        </w:rPr>
        <w:t xml:space="preserve"> </w:t>
      </w:r>
      <w:r>
        <w:rPr>
          <w:rFonts w:cs="FrankRuehl"/>
          <w:szCs w:val="26"/>
          <w:rtl w:val="true"/>
        </w:rPr>
        <w:t>הכרעת</w:t>
      </w:r>
      <w:r>
        <w:rPr>
          <w:szCs w:val="26"/>
          <w:rtl w:val="true"/>
        </w:rPr>
        <w:t xml:space="preserve"> </w:t>
      </w:r>
      <w:r>
        <w:rPr>
          <w:rFonts w:cs="FrankRuehl"/>
          <w:szCs w:val="26"/>
          <w:rtl w:val="true"/>
        </w:rPr>
        <w:t>הדין</w:t>
      </w:r>
      <w:r>
        <w:rPr>
          <w:szCs w:val="26"/>
          <w:rtl w:val="true"/>
        </w:rPr>
        <w:t xml:space="preserve"> </w:t>
      </w:r>
      <w:r>
        <w:rPr>
          <w:rFonts w:cs="FrankRuehl"/>
          <w:szCs w:val="26"/>
          <w:rtl w:val="true"/>
        </w:rPr>
        <w:t>המזכה</w:t>
      </w:r>
      <w:r>
        <w:rPr>
          <w:rFonts w:cs="FrankRuehl"/>
          <w:szCs w:val="26"/>
          <w:rtl w:val="true"/>
        </w:rPr>
        <w:t xml:space="preserve">. </w:t>
      </w:r>
      <w:r>
        <w:rPr>
          <w:rFonts w:cs="FrankRuehl"/>
          <w:szCs w:val="26"/>
          <w:rtl w:val="true"/>
        </w:rPr>
        <w:t>המשיב</w:t>
      </w:r>
      <w:r>
        <w:rPr>
          <w:szCs w:val="26"/>
          <w:rtl w:val="true"/>
        </w:rPr>
        <w:t xml:space="preserve"> </w:t>
      </w:r>
      <w:r>
        <w:rPr>
          <w:rFonts w:cs="FrankRuehl"/>
          <w:szCs w:val="26"/>
          <w:rtl w:val="true"/>
        </w:rPr>
        <w:t>אינו</w:t>
      </w:r>
      <w:r>
        <w:rPr>
          <w:szCs w:val="26"/>
          <w:rtl w:val="true"/>
        </w:rPr>
        <w:t xml:space="preserve"> </w:t>
      </w:r>
      <w:r>
        <w:rPr>
          <w:rFonts w:cs="FrankRuehl"/>
          <w:szCs w:val="26"/>
          <w:rtl w:val="true"/>
        </w:rPr>
        <w:t>עומד</w:t>
      </w:r>
      <w:r>
        <w:rPr>
          <w:szCs w:val="26"/>
          <w:rtl w:val="true"/>
        </w:rPr>
        <w:t xml:space="preserve"> </w:t>
      </w:r>
      <w:r>
        <w:rPr>
          <w:rFonts w:cs="FrankRuehl"/>
          <w:szCs w:val="26"/>
          <w:rtl w:val="true"/>
        </w:rPr>
        <w:t>עוד</w:t>
      </w:r>
      <w:r>
        <w:rPr>
          <w:szCs w:val="26"/>
          <w:rtl w:val="true"/>
        </w:rPr>
        <w:t xml:space="preserve"> </w:t>
      </w:r>
      <w:r>
        <w:rPr>
          <w:rFonts w:cs="FrankRuehl"/>
          <w:szCs w:val="26"/>
          <w:rtl w:val="true"/>
        </w:rPr>
        <w:t>על</w:t>
      </w:r>
      <w:r>
        <w:rPr>
          <w:szCs w:val="26"/>
          <w:rtl w:val="true"/>
        </w:rPr>
        <w:t xml:space="preserve"> </w:t>
      </w:r>
      <w:r>
        <w:rPr>
          <w:rFonts w:cs="FrankRuehl"/>
          <w:szCs w:val="26"/>
          <w:rtl w:val="true"/>
        </w:rPr>
        <w:t>ערעורו</w:t>
      </w:r>
      <w:r>
        <w:rPr>
          <w:szCs w:val="26"/>
          <w:rtl w:val="true"/>
        </w:rPr>
        <w:t xml:space="preserve"> </w:t>
      </w:r>
      <w:r>
        <w:rPr>
          <w:rFonts w:cs="FrankRuehl"/>
          <w:szCs w:val="26"/>
          <w:rtl w:val="true"/>
        </w:rPr>
        <w:t>נגד</w:t>
      </w:r>
      <w:r>
        <w:rPr>
          <w:szCs w:val="26"/>
          <w:rtl w:val="true"/>
        </w:rPr>
        <w:t xml:space="preserve"> </w:t>
      </w:r>
      <w:r>
        <w:rPr>
          <w:rFonts w:cs="FrankRuehl"/>
          <w:szCs w:val="26"/>
          <w:rtl w:val="true"/>
        </w:rPr>
        <w:t>הכרעת</w:t>
      </w:r>
      <w:r>
        <w:rPr>
          <w:szCs w:val="26"/>
          <w:rtl w:val="true"/>
        </w:rPr>
        <w:t xml:space="preserve"> </w:t>
      </w:r>
      <w:r>
        <w:rPr>
          <w:rFonts w:cs="FrankRuehl"/>
          <w:szCs w:val="26"/>
          <w:rtl w:val="true"/>
        </w:rPr>
        <w:t>הדין</w:t>
      </w:r>
      <w:r>
        <w:rPr>
          <w:szCs w:val="26"/>
          <w:rtl w:val="true"/>
        </w:rPr>
        <w:t xml:space="preserve"> </w:t>
      </w:r>
      <w:r>
        <w:rPr>
          <w:rFonts w:cs="FrankRuehl"/>
          <w:szCs w:val="26"/>
          <w:rtl w:val="true"/>
        </w:rPr>
        <w:t>המרשיעה</w:t>
      </w:r>
      <w:r>
        <w:rPr>
          <w:szCs w:val="26"/>
          <w:rtl w:val="true"/>
        </w:rPr>
        <w:t xml:space="preserve"> </w:t>
      </w:r>
      <w:r>
        <w:rPr>
          <w:rFonts w:cs="FrankRuehl"/>
          <w:szCs w:val="26"/>
          <w:rtl w:val="true"/>
        </w:rPr>
        <w:t>ונגד</w:t>
      </w:r>
      <w:r>
        <w:rPr>
          <w:szCs w:val="26"/>
          <w:rtl w:val="true"/>
        </w:rPr>
        <w:t xml:space="preserve"> </w:t>
      </w:r>
      <w:r>
        <w:rPr>
          <w:rFonts w:cs="FrankRuehl"/>
          <w:szCs w:val="26"/>
          <w:rtl w:val="true"/>
        </w:rPr>
        <w:t>חומרת</w:t>
      </w:r>
      <w:r>
        <w:rPr>
          <w:szCs w:val="26"/>
          <w:rtl w:val="true"/>
        </w:rPr>
        <w:t xml:space="preserve"> </w:t>
      </w:r>
      <w:r>
        <w:rPr>
          <w:rFonts w:cs="FrankRuehl"/>
          <w:szCs w:val="26"/>
          <w:rtl w:val="true"/>
        </w:rPr>
        <w:t>העונש</w:t>
      </w:r>
      <w:r>
        <w:rPr>
          <w:szCs w:val="26"/>
          <w:rtl w:val="true"/>
        </w:rPr>
        <w:t xml:space="preserve"> </w:t>
      </w:r>
      <w:r>
        <w:rPr>
          <w:rFonts w:cs="FrankRuehl"/>
          <w:szCs w:val="26"/>
          <w:rtl w:val="true"/>
        </w:rPr>
        <w:t>שנגזר</w:t>
      </w:r>
      <w:r>
        <w:rPr>
          <w:szCs w:val="26"/>
          <w:rtl w:val="true"/>
        </w:rPr>
        <w:t xml:space="preserve"> </w:t>
      </w:r>
      <w:r>
        <w:rPr>
          <w:rFonts w:cs="FrankRuehl"/>
          <w:szCs w:val="26"/>
          <w:rtl w:val="true"/>
        </w:rPr>
        <w:t>עליו</w:t>
      </w:r>
      <w:r>
        <w:rPr>
          <w:szCs w:val="26"/>
          <w:rtl w:val="true"/>
        </w:rPr>
        <w:t xml:space="preserve"> </w:t>
      </w:r>
      <w:r>
        <w:rPr>
          <w:rFonts w:cs="FrankRuehl"/>
          <w:szCs w:val="26"/>
          <w:rtl w:val="true"/>
        </w:rPr>
        <w:t>בגינה</w:t>
      </w:r>
      <w:r>
        <w:rPr>
          <w:rFonts w:cs="FrankRuehl"/>
          <w:szCs w:val="26"/>
          <w:rtl w:val="true"/>
        </w:rPr>
        <w:t xml:space="preserve">. </w:t>
      </w:r>
    </w:p>
    <w:p>
      <w:pPr>
        <w:pStyle w:val="ruller411"/>
        <w:pBdr>
          <w:top w:val="single" w:sz="4" w:space="1" w:color="000000"/>
          <w:bottom w:val="single" w:sz="4" w:space="1" w:color="000000"/>
        </w:pBdr>
        <w:shd w:fill="FFFFFF" w:val="clear"/>
        <w:bidi w:val="1"/>
        <w:spacing w:lineRule="exact" w:line="320" w:before="0" w:after="120"/>
        <w:ind w:end="0"/>
        <w:jc w:val="both"/>
        <w:rPr>
          <w:rFonts w:cs="FrankRuehl"/>
          <w:szCs w:val="26"/>
        </w:rPr>
      </w:pPr>
      <w:r>
        <w:rPr>
          <w:rFonts w:cs="FrankRuehl"/>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גרוסקופף ובהסכמת השופטים פוגלמן 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הערעורים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לזיכוי מהאישום באינוס ובמעשה המגונה הנוסף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קבע שנותר לו ספק בעניין מעשה החדרת האצבעות לאיבר מינה של המתלוננת וכפיית הנחת ידה על איבר מינו של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למרות האמון המלא שנתן בעדות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פילג את עדותה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בקבלו חלק מדבריה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ובדחותו חלק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ספק אם מסקנת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בעניין זה משכנעת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השאלה איננה האם ערכאת הערעור מגיעה לאותה מסקנה כמו הערכאה המבררת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האם הונח בסיס מספיק להתערבות ערכאת הערעור בממצא עובדתי מזכה שקבעה הערכאה המבררת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היקף התערבות ערכאת הערעור מצומצם מאד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בענייננו לא נחצה הרף הגבוה להצדקת התערבות כזו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 בו משקלן המצטבר של הראיות מתיר ספק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ולספק אחיזה בחומר הראיות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להביא לזיכוי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וביתר שאת שעה שמדובר בזיכוי שניתן פה אחד בפני שלושה שופטים שניכרת התמודדותם עם הפסיקה הנוהגת וטענות שעלו בהליך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מורכבותו</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לזיכוי מאישום החטיפה לשם ביצוע עבירת מין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עבירה זו מורכבת משלוש הוראות חוק ובהן סעיף </w:t>
      </w:r>
      <w:r>
        <w:rPr>
          <w:rFonts w:cs="Times New Roman" w:ascii="Times New Roman" w:hAnsi="Times New Roman"/>
          <w:spacing w:val="0"/>
          <w:sz w:val="24"/>
          <w:szCs w:val="26"/>
        </w:rPr>
        <w:t>369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לפיו נדרש ראשית להוכיח כי התקיימו יסודות עבירת החטיפה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עבירה זו כוללת רכיב התנהגותי של מעשה של כפייה בכוח או באיומים או מעשה של פיתוי באמצעי תרמית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המופנה כלפי אדם</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ללכת מן המקום שהוא נמצא בו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הנוסח הרחב של הסעיף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קנתה אחיזה פרשנות ששמה את הדגש על שלילת חירותו של החטוף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מניעה שיסוד שלילת החירות יושג באמצעים פסיכולוגיים או בשל קיומה של תרמית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אולם נדרש להוכיח כי הפיתוי התגבש לכלל צורך או חוסר ברירה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מבחינת הקורבן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להימצא במקום שאליו פותה להגיע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הייתה פגיעה ביכולתו לעזוב את המקום אליו הובא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מקום להתערב בקביעת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כי אף אם המתלוננת פירשה את מצב הדברים ככזה היוצר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מבחינתה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מניעה לעזוב את הצימר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שאובייקטיבית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נשללה חירותה לעשות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שלילת החירות אין משמעה העדר כל דרך לעזוב את המקום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כל מגבלה המקשה על החופש של אדם לעזוב את המקום בו הוא נמצא עולה כדי שלילת חירות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בענייננו סבר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כי קיים ספק אם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כעניין אובייקטיבי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ובטרם בחינת מצב התודעה של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המגבלות שהוטלו על המתלוננת בעת שהותה בצימר עלו לכדי הגבלת חירות המבססת שלילת חירות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מקום להתערב בממצא עובדתי זה</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הצימר הוא </w:t>
      </w:r>
      <w:r>
        <w:rPr>
          <w:rFonts w:cs="Times New Roman" w:ascii="Times New Roman" w:hAnsi="Times New Roman"/>
          <w:spacing w:val="0"/>
          <w:szCs w:val="26"/>
          <w:rtl w:val="true"/>
        </w:rPr>
        <w:t>"</w:t>
      </w:r>
      <w:r>
        <w:rPr>
          <w:rFonts w:ascii="Times New Roman" w:hAnsi="Times New Roman" w:cs="Times New Roman"/>
          <w:spacing w:val="0"/>
          <w:szCs w:val="26"/>
          <w:rtl w:val="true"/>
        </w:rPr>
        <w:t>הזירה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הרלוונטית לצורך בחינת יסוד שלילת החירות שהוא המקום אליו פותתה המתלוננת באמתלת שווא להגיע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לגביו יש לבחון האם התקיימה פגיעה ביכולתה לעזוב את </w:t>
      </w:r>
      <w:r>
        <w:rPr>
          <w:rFonts w:cs="Times New Roman" w:ascii="Times New Roman" w:hAnsi="Times New Roman"/>
          <w:spacing w:val="0"/>
          <w:szCs w:val="26"/>
          <w:rtl w:val="true"/>
        </w:rPr>
        <w:t>"</w:t>
      </w:r>
      <w:r>
        <w:rPr>
          <w:rFonts w:ascii="Times New Roman" w:hAnsi="Times New Roman" w:cs="Times New Roman"/>
          <w:spacing w:val="0"/>
          <w:szCs w:val="26"/>
          <w:rtl w:val="true"/>
        </w:rPr>
        <w:t>המקום אליו הובא</w:t>
      </w:r>
      <w:r>
        <w:rPr>
          <w:rFonts w:cs="Times New Roman" w:ascii="Times New Roman" w:hAnsi="Times New Roman"/>
          <w:spacing w:val="0"/>
          <w:szCs w:val="26"/>
          <w:rtl w:val="true"/>
        </w:rPr>
        <w:t>[</w:t>
      </w:r>
      <w:r>
        <w:rPr>
          <w:rFonts w:ascii="Times New Roman" w:hAnsi="Times New Roman" w:cs="Times New Roman"/>
          <w:spacing w:val="0"/>
          <w:szCs w:val="26"/>
          <w:rtl w:val="true"/>
        </w:rPr>
        <w:t>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בהנחה כי יסוד שלילת החירות עשוי להתייחס גם לשלב הנסיעה ברכב בהינתן ששלילת החירות יכולה להיות גם במהלך החטיפה ולא רק בסופה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די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שאין ראיות המאפשרות לקבוע כי לו הייתה מבקשת בשלב מסוים בנסיעה לעצור ולרדת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היה המשיב מונע זאת ממנה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אפשרות לקבוע כי במהלך הנסיעה הוגבלה חירות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דהיינו שבנוסף לכך שרומתה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נשללה יכולתה לעזוב את הרכב</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ספק אם המדינה עמדה בנטל להוכיח כי יסוד הכוונה המיוחדת לבצע עבירת מין במתלוננת התגבש אצל המשיב כבר בשלב הנסיעה ברכב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להרשיע בעבירה של חטיפה לשם ביצוע עבירת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נדרש להוכיח גם יסוד של כוונה לבצע עבירת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דרישת הבו</w:t>
      </w:r>
      <w:r>
        <w:rPr>
          <w:rFonts w:cs="Times New Roman" w:ascii="Times New Roman" w:hAnsi="Times New Roman"/>
          <w:spacing w:val="0"/>
          <w:szCs w:val="26"/>
          <w:rtl w:val="true"/>
        </w:rPr>
        <w:t>-</w:t>
      </w:r>
      <w:r>
        <w:rPr>
          <w:rFonts w:ascii="Times New Roman" w:hAnsi="Times New Roman" w:cs="Times New Roman"/>
          <w:spacing w:val="0"/>
          <w:szCs w:val="26"/>
          <w:rtl w:val="true"/>
        </w:rPr>
        <w:t>זמניות כוונה זו צריכה להתקיים כבר בעת ביצוע אקט החטיפה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במהלך הנסיעה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די בכך שתתגבש במהלך השהייה בצימר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סבר כי ניתן לייחס למשיב כוונה כזו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ספק אם קביעה זו מבוססת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הוכח מעבר לספק סביר שבמועד בו אסף המשיב את המתלוננת ברכבו אל הצימר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ובמהלך הנסיעה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התגבשה בלבו כוונה לבצע עבירת מין במתלוננת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קשה לשלול אפשרות שכוונה זו התגבשה אצלו אך בשלב מאוחר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החריגים לדרישת הבו</w:t>
      </w:r>
      <w:r>
        <w:rPr>
          <w:rFonts w:cs="Times New Roman" w:ascii="Times New Roman" w:hAnsi="Times New Roman"/>
          <w:spacing w:val="0"/>
          <w:szCs w:val="26"/>
          <w:rtl w:val="true"/>
        </w:rPr>
        <w:t>-</w:t>
      </w:r>
      <w:r>
        <w:rPr>
          <w:rFonts w:ascii="Times New Roman" w:hAnsi="Times New Roman" w:cs="Times New Roman"/>
          <w:spacing w:val="0"/>
          <w:szCs w:val="26"/>
          <w:rtl w:val="true"/>
        </w:rPr>
        <w:t>זמניות לא מתקיימים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חריג העבירה הנמשכת לא מתקיים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המועד בו ניתן לקבוע מעבר לכל ספק סביר כי התגבשה אצל המשיב כוונה לבצע עבירת מין במתלוננת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מאוחר להשלמת מעשה הנעת המתלוננת ממקום המצאה למקום אחר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דהיינו לאחר השלמת המעשה המהווה לשיטת המדינה את החטיפה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לא מתקיים חריג סדרת הפעולות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מאחר שלא הוכח כי היסוד הנפשי </w:t>
      </w:r>
      <w:r>
        <w:rPr>
          <w:rFonts w:cs="Times New Roman" w:ascii="Times New Roman" w:hAnsi="Times New Roman"/>
          <w:spacing w:val="0"/>
          <w:szCs w:val="26"/>
          <w:rtl w:val="true"/>
        </w:rPr>
        <w:t>(</w:t>
      </w:r>
      <w:r>
        <w:rPr>
          <w:rFonts w:ascii="Times New Roman" w:hAnsi="Times New Roman" w:cs="Times New Roman"/>
          <w:spacing w:val="0"/>
          <w:szCs w:val="26"/>
          <w:rtl w:val="true"/>
        </w:rPr>
        <w:t>כוונה לבצע עבירת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מתקיים במעשה המוקדם </w:t>
      </w:r>
      <w:r>
        <w:rPr>
          <w:rFonts w:cs="Times New Roman" w:ascii="Times New Roman" w:hAnsi="Times New Roman"/>
          <w:spacing w:val="0"/>
          <w:szCs w:val="26"/>
          <w:rtl w:val="true"/>
        </w:rPr>
        <w:t>(</w:t>
      </w:r>
      <w:r>
        <w:rPr>
          <w:rFonts w:ascii="Times New Roman" w:hAnsi="Times New Roman" w:cs="Times New Roman"/>
          <w:spacing w:val="0"/>
          <w:szCs w:val="26"/>
          <w:rtl w:val="true"/>
        </w:rPr>
        <w:t>הנסיעה בתרמית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ולא ניתן למתוח אחורה בזמן את הכוונה שנלוותה למעשה המאוחר </w:t>
      </w:r>
      <w:r>
        <w:rPr>
          <w:rFonts w:cs="Times New Roman" w:ascii="Times New Roman" w:hAnsi="Times New Roman"/>
          <w:spacing w:val="0"/>
          <w:szCs w:val="26"/>
          <w:rtl w:val="true"/>
        </w:rPr>
        <w:t>(</w:t>
      </w:r>
      <w:r>
        <w:rPr>
          <w:rFonts w:ascii="Times New Roman" w:hAnsi="Times New Roman" w:cs="Times New Roman"/>
          <w:spacing w:val="0"/>
          <w:szCs w:val="26"/>
          <w:rtl w:val="true"/>
        </w:rPr>
        <w:t>המעשים בצימר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שתכסה גם אותו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להותיר על כנו את זיכוי המשיב מעבירת חטיפה לשם ביצוע עבירות מין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לזיכוי מאישום כליאת שווא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משנמצא כי לא הוכח מעבר לכל 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שחירותה של המתלוננת לעזוב את הצימר נשללה ממנה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ממילא היה מקום לזכות את המשיב גם מהאישום בעבירת כליאת השווא</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2"/>
          <w:szCs w:val="28"/>
        </w:rPr>
      </w:pPr>
      <w:r>
        <w:rPr>
          <w:rFonts w:cs="Times New Roman"/>
          <w:spacing w:val="0"/>
          <w:sz w:val="22"/>
          <w:szCs w:val="28"/>
          <w:rtl w:val="true"/>
        </w:rPr>
      </w:r>
      <w:bookmarkStart w:id="12" w:name="ABSTRACT_END"/>
      <w:bookmarkStart w:id="13" w:name="ABSTRACT_END"/>
      <w:bookmarkEnd w:id="13"/>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Fonts w:cs="Times New Roman"/>
                <w:rtl w:val="true"/>
              </w:rPr>
              <w:t xml:space="preserve"> </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גרוסקופף</w:t>
      </w:r>
      <w:r>
        <w:rPr>
          <w:rFonts w:cs="Miriam"/>
          <w:sz w:val="24"/>
          <w:szCs w:val="24"/>
          <w:u w:val="single"/>
          <w:rtl w:val="true"/>
        </w:rPr>
        <w:t>:</w:t>
      </w:r>
      <w:bookmarkStart w:id="18" w:name="Start_Write"/>
      <w:bookmarkEnd w:id="18"/>
    </w:p>
    <w:p>
      <w:pPr>
        <w:pStyle w:val="BODYVERDICT"/>
        <w:ind w:end="0"/>
        <w:jc w:val="start"/>
        <w:rPr>
          <w:rFonts w:ascii="Century" w:hAnsi="Century" w:cs="Century"/>
          <w:sz w:val="24"/>
          <w:szCs w:val="24"/>
          <w:u w:val="single"/>
        </w:rPr>
      </w:pPr>
      <w:r>
        <w:rPr>
          <w:rFonts w:cs="Century" w:ascii="Century" w:hAnsi="Century"/>
          <w:sz w:val="24"/>
          <w:szCs w:val="24"/>
          <w:u w:val="single"/>
          <w:rtl w:val="true"/>
        </w:rPr>
      </w:r>
    </w:p>
    <w:p>
      <w:pPr>
        <w:pStyle w:val="ruller411"/>
        <w:shd w:fill="FFFFFF" w:val="clear"/>
        <w:bidi w:val="1"/>
        <w:spacing w:lineRule="auto" w:line="360" w:before="0" w:after="0"/>
        <w:ind w:firstLine="720" w:end="0"/>
        <w:jc w:val="both"/>
        <w:rPr>
          <w:rFonts w:ascii="Century" w:hAnsi="Century" w:cs="FrankRuehl"/>
          <w:spacing w:val="10"/>
          <w:sz w:val="22"/>
          <w:szCs w:val="28"/>
        </w:rPr>
      </w:pP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בנצרת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השופטים</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אשר</w:t>
      </w:r>
      <w:r>
        <w:rPr>
          <w:rFonts w:ascii="Century" w:hAnsi="Century" w:eastAsia="Century" w:cs="Century"/>
          <w:b/>
          <w:b/>
          <w:sz w:val="22"/>
          <w:sz w:val="22"/>
          <w:rtl w:val="true"/>
        </w:rPr>
        <w:t xml:space="preserve"> </w:t>
      </w:r>
      <w:r>
        <w:rPr>
          <w:rFonts w:ascii="Century" w:hAnsi="Century" w:cs="Miriam"/>
          <w:b/>
          <w:b/>
          <w:sz w:val="22"/>
          <w:sz w:val="22"/>
          <w:rtl w:val="true"/>
        </w:rPr>
        <w:t>קולה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cs="Miriam"/>
          <w:b/>
          <w:b/>
          <w:sz w:val="22"/>
          <w:sz w:val="22"/>
          <w:rtl w:val="true"/>
        </w:rPr>
        <w:t>דני</w:t>
      </w:r>
      <w:r>
        <w:rPr>
          <w:rFonts w:ascii="Century" w:hAnsi="Century" w:eastAsia="Century" w:cs="Century"/>
          <w:b/>
          <w:b/>
          <w:sz w:val="22"/>
          <w:sz w:val="22"/>
          <w:rtl w:val="true"/>
        </w:rPr>
        <w:t xml:space="preserve"> </w:t>
      </w:r>
      <w:r>
        <w:rPr>
          <w:rFonts w:ascii="Century" w:hAnsi="Century" w:cs="Miriam"/>
          <w:b/>
          <w:b/>
          <w:sz w:val="22"/>
          <w:sz w:val="22"/>
          <w:rtl w:val="true"/>
        </w:rPr>
        <w:t>צרפתי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והשופטת</w:t>
      </w:r>
      <w:r>
        <w:rPr>
          <w:rFonts w:ascii="Century" w:hAnsi="Century" w:eastAsia="Century" w:cs="Century"/>
          <w:spacing w:val="10"/>
          <w:sz w:val="22"/>
          <w:sz w:val="22"/>
          <w:szCs w:val="28"/>
          <w:rtl w:val="true"/>
        </w:rPr>
        <w:t xml:space="preserve"> </w:t>
      </w:r>
      <w:r>
        <w:rPr>
          <w:rFonts w:ascii="Century" w:hAnsi="Century" w:cs="Miriam"/>
          <w:b/>
          <w:b/>
          <w:sz w:val="22"/>
          <w:sz w:val="22"/>
          <w:rtl w:val="true"/>
        </w:rPr>
        <w:t>רננה</w:t>
      </w:r>
      <w:r>
        <w:rPr>
          <w:rFonts w:ascii="Century" w:hAnsi="Century" w:eastAsia="Century" w:cs="Century"/>
          <w:b/>
          <w:b/>
          <w:sz w:val="22"/>
          <w:sz w:val="22"/>
          <w:rtl w:val="true"/>
        </w:rPr>
        <w:t xml:space="preserve"> </w:t>
      </w:r>
      <w:r>
        <w:rPr>
          <w:rFonts w:ascii="Century" w:hAnsi="Century" w:cs="Miriam"/>
          <w:b/>
          <w:b/>
          <w:sz w:val="22"/>
          <w:sz w:val="22"/>
          <w:rtl w:val="true"/>
        </w:rPr>
        <w:t>גלפז</w:t>
      </w:r>
      <w:r>
        <w:rPr>
          <w:rFonts w:ascii="Century" w:hAnsi="Century" w:eastAsia="Century" w:cs="Century"/>
          <w:b/>
          <w:b/>
          <w:sz w:val="22"/>
          <w:sz w:val="22"/>
          <w:rtl w:val="true"/>
        </w:rPr>
        <w:t xml:space="preserve"> </w:t>
      </w:r>
      <w:r>
        <w:rPr>
          <w:rFonts w:ascii="Century" w:hAnsi="Century" w:cs="Miriam"/>
          <w:b/>
          <w:b/>
          <w:sz w:val="22"/>
          <w:sz w:val="22"/>
          <w:rtl w:val="true"/>
        </w:rPr>
        <w:t>מוקדי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23.10.2019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26.1.2020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גזר</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w:t>
      </w:r>
      <w:hyperlink r:id="rId14">
        <w:r>
          <w:rPr>
            <w:rStyle w:val="Hyperlink"/>
            <w:rFonts w:ascii="Century" w:hAnsi="Century" w:cs="FrankRuehl"/>
            <w:color w:val="0000FF"/>
            <w:spacing w:val="10"/>
            <w:sz w:val="22"/>
            <w:sz w:val="22"/>
            <w:szCs w:val="28"/>
            <w:u w:val="single"/>
            <w:rtl w:val="true"/>
          </w:rPr>
          <w:t>תפ</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ח</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6334-03-18</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ascii="Century" w:hAnsi="Century" w:cs="FrankRuehl"/>
          <w:spacing w:val="10"/>
          <w:sz w:val="22"/>
          <w:sz w:val="22"/>
          <w:szCs w:val="28"/>
          <w:rtl w:val="true"/>
        </w:rPr>
        <w:t>ע</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1880/20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ascii="Century" w:hAnsi="Century" w:cs="FrankRuehl"/>
          <w:spacing w:val="10"/>
          <w:sz w:val="22"/>
          <w:sz w:val="22"/>
          <w:szCs w:val="28"/>
          <w:rtl w:val="true"/>
        </w:rPr>
        <w:t>ע</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1838/20</w:t>
      </w:r>
      <w:r>
        <w:rPr>
          <w:rFonts w:cs="FrankRuehl" w:ascii="Century" w:hAnsi="Century"/>
          <w:spacing w:val="10"/>
          <w:sz w:val="22"/>
          <w:szCs w:val="28"/>
          <w:rtl w:val="true"/>
        </w:rPr>
        <w:t>)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המשיב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חטיפה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5">
        <w:r>
          <w:rPr>
            <w:rStyle w:val="Hyperlink"/>
            <w:rFonts w:ascii="Century" w:hAnsi="Century" w:cs="FrankRuehl"/>
            <w:spacing w:val="10"/>
            <w:sz w:val="22"/>
            <w:sz w:val="22"/>
            <w:szCs w:val="28"/>
            <w:rtl w:val="true"/>
          </w:rPr>
          <w:t>סעיפים</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369</w:t>
        </w:r>
      </w:hyperlink>
      <w:r>
        <w:rPr>
          <w:rFonts w:cs="FrankRuehl" w:ascii="Century" w:hAnsi="Century"/>
          <w:spacing w:val="10"/>
          <w:sz w:val="22"/>
          <w:szCs w:val="28"/>
          <w:rtl w:val="true"/>
        </w:rPr>
        <w:t xml:space="preserve">, </w:t>
      </w:r>
      <w:hyperlink r:id="rId16">
        <w:r>
          <w:rPr>
            <w:rStyle w:val="Hyperlink"/>
            <w:rFonts w:cs="FrankRuehl" w:ascii="Century" w:hAnsi="Century"/>
            <w:spacing w:val="10"/>
            <w:sz w:val="22"/>
            <w:szCs w:val="28"/>
          </w:rPr>
          <w:t>374</w:t>
        </w:r>
        <w:r>
          <w:rPr>
            <w:rStyle w:val="Hyperlink"/>
            <w:rFonts w:ascii="Century" w:hAnsi="Century" w:cs="FrankRuehl"/>
            <w:spacing w:val="10"/>
            <w:sz w:val="22"/>
            <w:sz w:val="22"/>
            <w:szCs w:val="28"/>
            <w:rtl w:val="true"/>
          </w:rPr>
          <w:t>א</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hyperlink r:id="rId17">
        <w:r>
          <w:rPr>
            <w:rStyle w:val="Hyperlink"/>
            <w:rFonts w:cs="FrankRuehl" w:ascii="Century" w:hAnsi="Century"/>
            <w:spacing w:val="10"/>
            <w:sz w:val="22"/>
            <w:szCs w:val="28"/>
          </w:rPr>
          <w:t>377</w:t>
        </w:r>
        <w:r>
          <w:rPr>
            <w:rStyle w:val="Hyperlink"/>
            <w:rFonts w:ascii="Century" w:hAnsi="Century" w:cs="FrankRuehl"/>
            <w:spacing w:val="10"/>
            <w:sz w:val="22"/>
            <w:sz w:val="22"/>
            <w:szCs w:val="28"/>
            <w:rtl w:val="true"/>
          </w:rPr>
          <w:t>א</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א</w:t>
        </w:r>
        <w:r>
          <w:rPr>
            <w:rStyle w:val="Hyperlink"/>
            <w:rFonts w:cs="FrankRuehl" w:ascii="Century" w:hAnsi="Century"/>
            <w:spacing w:val="10"/>
            <w:sz w:val="22"/>
            <w:szCs w:val="28"/>
            <w:rtl w:val="true"/>
          </w:rPr>
          <w:t>)(</w:t>
        </w:r>
        <w:r>
          <w:rPr>
            <w:rStyle w:val="Hyperlink"/>
            <w:rFonts w:cs="FrankRuehl" w:ascii="Century" w:hAnsi="Century"/>
            <w:spacing w:val="10"/>
            <w:sz w:val="22"/>
            <w:szCs w:val="28"/>
          </w:rPr>
          <w:t>7</w:t>
        </w:r>
        <w:r>
          <w:rPr>
            <w:rStyle w:val="Hyperlink"/>
            <w:rFonts w:cs="FrankRuehl" w:ascii="Century" w:hAnsi="Century"/>
            <w:spacing w:val="10"/>
            <w:sz w:val="22"/>
            <w:szCs w:val="28"/>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18">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התשל</w:t>
      </w:r>
      <w:r>
        <w:rPr>
          <w:rFonts w:cs="FrankRuehl" w:ascii="Century" w:hAnsi="Century"/>
          <w:spacing w:val="10"/>
          <w:sz w:val="22"/>
          <w:szCs w:val="28"/>
          <w:rtl w:val="true"/>
        </w:rPr>
        <w:t>"</w:t>
      </w:r>
      <w:r>
        <w:rPr>
          <w:rFonts w:ascii="Century" w:hAnsi="Century" w:cs="FrankRuehl"/>
          <w:spacing w:val="10"/>
          <w:sz w:val="22"/>
          <w:sz w:val="22"/>
          <w:szCs w:val="28"/>
          <w:rtl w:val="true"/>
        </w:rPr>
        <w:t>ז</w:t>
      </w:r>
      <w:r>
        <w:rPr>
          <w:rFonts w:cs="FrankRuehl" w:ascii="Century" w:hAnsi="Century"/>
          <w:spacing w:val="10"/>
          <w:sz w:val="22"/>
          <w:szCs w:val="28"/>
          <w:rtl w:val="true"/>
        </w:rPr>
        <w:t>-</w:t>
      </w:r>
      <w:r>
        <w:rPr>
          <w:rFonts w:cs="FrankRuehl" w:ascii="Century" w:hAnsi="Century"/>
          <w:spacing w:val="10"/>
          <w:sz w:val="22"/>
          <w:szCs w:val="28"/>
        </w:rPr>
        <w:t>1977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9">
        <w:r>
          <w:rPr>
            <w:rStyle w:val="Hyperlink"/>
            <w:rFonts w:ascii="Century" w:hAnsi="Century" w:cs="FrankRuehl"/>
            <w:spacing w:val="10"/>
            <w:sz w:val="22"/>
            <w:sz w:val="22"/>
            <w:szCs w:val="28"/>
            <w:rtl w:val="true"/>
          </w:rPr>
          <w:t>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345</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א</w:t>
        </w:r>
        <w:r>
          <w:rPr>
            <w:rStyle w:val="Hyperlink"/>
            <w:rFonts w:cs="FrankRuehl" w:ascii="Century" w:hAnsi="Century"/>
            <w:spacing w:val="10"/>
            <w:sz w:val="22"/>
            <w:szCs w:val="28"/>
            <w:rtl w:val="true"/>
          </w:rPr>
          <w:t>)(</w:t>
        </w:r>
        <w:r>
          <w:rPr>
            <w:rStyle w:val="Hyperlink"/>
            <w:rFonts w:cs="FrankRuehl" w:ascii="Century" w:hAnsi="Century"/>
            <w:spacing w:val="10"/>
            <w:sz w:val="22"/>
            <w:szCs w:val="28"/>
          </w:rPr>
          <w:t>1</w:t>
        </w:r>
        <w:r>
          <w:rPr>
            <w:rStyle w:val="Hyperlink"/>
            <w:rFonts w:cs="FrankRuehl" w:ascii="Century" w:hAnsi="Century"/>
            <w:spacing w:val="10"/>
            <w:sz w:val="22"/>
            <w:szCs w:val="28"/>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וכליאת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20">
        <w:r>
          <w:rPr>
            <w:rStyle w:val="Hyperlink"/>
            <w:rFonts w:ascii="Century" w:hAnsi="Century" w:cs="FrankRuehl"/>
            <w:spacing w:val="10"/>
            <w:sz w:val="22"/>
            <w:sz w:val="22"/>
            <w:szCs w:val="28"/>
            <w:rtl w:val="true"/>
          </w:rPr>
          <w:t>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377</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המזכה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בכוח</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21">
        <w:r>
          <w:rPr>
            <w:rStyle w:val="Hyperlink"/>
            <w:rFonts w:ascii="Century" w:hAnsi="Century" w:cs="FrankRuehl"/>
            <w:spacing w:val="10"/>
            <w:sz w:val="22"/>
            <w:sz w:val="22"/>
            <w:szCs w:val="28"/>
            <w:rtl w:val="true"/>
          </w:rPr>
          <w:t>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348</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ג</w:t>
        </w:r>
        <w:r>
          <w:rPr>
            <w:rStyle w:val="Hyperlink"/>
            <w:rFonts w:cs="FrankRuehl" w:ascii="Century" w:hAnsi="Century"/>
            <w:spacing w:val="10"/>
            <w:sz w:val="22"/>
            <w:szCs w:val="28"/>
          </w:rPr>
          <w:t>1</w:t>
        </w:r>
        <w:r>
          <w:rPr>
            <w:rStyle w:val="Hyperlink"/>
            <w:rFonts w:cs="FrankRuehl" w:ascii="Century" w:hAnsi="Century"/>
            <w:spacing w:val="10"/>
            <w:sz w:val="22"/>
            <w:szCs w:val="28"/>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המרשיעה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ההרשעה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חודשי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בניכוי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מעצרו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מאסר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חודשים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למשך</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מאסר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חודשים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למשך</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ותשלום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למתלוננת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w:t>
      </w:r>
    </w:p>
    <w:p>
      <w:pPr>
        <w:pStyle w:val="ruller411"/>
        <w:shd w:fill="FFFFFF" w:val="clear"/>
        <w:bidi w:val="1"/>
        <w:spacing w:lineRule="auto" w:line="360" w:before="0" w:after="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ruller411"/>
        <w:shd w:fill="FFFFFF" w:val="clear"/>
        <w:bidi w:val="1"/>
        <w:spacing w:lineRule="auto" w:line="360" w:before="0" w:after="0"/>
        <w:ind w:firstLine="720" w:end="0"/>
        <w:jc w:val="both"/>
        <w:rPr>
          <w:rFonts w:ascii="Century" w:hAnsi="Century" w:cs="FrankRuehl"/>
          <w:spacing w:val="10"/>
          <w:sz w:val="22"/>
          <w:szCs w:val="28"/>
        </w:rPr>
      </w:pPr>
      <w:r>
        <w:rPr>
          <w:rFonts w:ascii="Century" w:hAnsi="Century" w:cs="FrankRuehl"/>
          <w:spacing w:val="10"/>
          <w:sz w:val="22"/>
          <w:sz w:val="22"/>
          <w:szCs w:val="28"/>
          <w:rtl w:val="true"/>
        </w:rPr>
        <w:t>מטבע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1838/20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הופנה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המזכה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1880/20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הופנה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המרשיעה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חומרת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שנגזר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הודיע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w:t>
      </w:r>
      <w:r>
        <w:rPr>
          <w:rFonts w:cs="FrankRuehl" w:ascii="Century" w:hAnsi="Century"/>
          <w:spacing w:val="10"/>
          <w:sz w:val="22"/>
          <w:szCs w:val="28"/>
          <w:rtl w:val="true"/>
        </w:rPr>
        <w:t>-</w:t>
      </w:r>
      <w:r>
        <w:rPr>
          <w:rFonts w:ascii="Century" w:hAnsi="Century" w:cs="FrankRuehl"/>
          <w:spacing w:val="10"/>
          <w:sz w:val="22"/>
          <w:sz w:val="22"/>
          <w:szCs w:val="28"/>
          <w:rtl w:val="true"/>
        </w:rPr>
        <w:t>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יעמוד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התפתחות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נמקד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בלבד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ונדון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בטיעוני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הצדדים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המזכה</w:t>
      </w:r>
      <w:r>
        <w:rPr>
          <w:rFonts w:cs="FrankRuehl" w:ascii="Century" w:hAnsi="Century"/>
          <w:spacing w:val="10"/>
          <w:sz w:val="22"/>
          <w:szCs w:val="28"/>
          <w:rtl w:val="true"/>
        </w:rPr>
        <w:t>.</w:t>
      </w:r>
    </w:p>
    <w:p>
      <w:pPr>
        <w:pStyle w:val="ruller411"/>
        <w:shd w:fill="FFFFFF" w:val="clear"/>
        <w:bidi w:val="1"/>
        <w:spacing w:lineRule="auto" w:line="360" w:before="0" w:after="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 xml:space="preserve">ביום </w:t>
      </w:r>
      <w:r>
        <w:rPr/>
        <w:t>4.3.2018</w:t>
      </w:r>
      <w:r>
        <w:rPr>
          <w:rtl w:val="true"/>
        </w:rPr>
        <w:t xml:space="preserve"> </w:t>
      </w:r>
      <w:r>
        <w:rPr>
          <w:rtl w:val="true"/>
        </w:rPr>
        <w:t xml:space="preserve">הוגש נגד </w:t>
      </w:r>
      <w:r>
        <w:rPr>
          <w:rtl w:val="true"/>
        </w:rPr>
        <w:t xml:space="preserve">המשיב </w:t>
      </w:r>
      <w:r>
        <w:rPr>
          <w:rtl w:val="true"/>
        </w:rPr>
        <w:t>כתב אישום</w:t>
      </w:r>
      <w:r>
        <w:rPr>
          <w:rtl w:val="true"/>
        </w:rPr>
        <w:t xml:space="preserve">, </w:t>
      </w:r>
      <w:r>
        <w:rPr>
          <w:rtl w:val="true"/>
        </w:rPr>
        <w:t xml:space="preserve">בגדרו יוחסו לו העבירות </w:t>
      </w:r>
      <w:r>
        <w:rPr>
          <w:rtl w:val="true"/>
        </w:rPr>
        <w:t>של חטיפה לשם ביצוע עבירת מין</w:t>
      </w:r>
      <w:r>
        <w:rPr>
          <w:rtl w:val="true"/>
        </w:rPr>
        <w:t xml:space="preserve">, </w:t>
      </w:r>
      <w:r>
        <w:rPr>
          <w:rtl w:val="true"/>
        </w:rPr>
        <w:t>אינוס</w:t>
      </w:r>
      <w:r>
        <w:rPr>
          <w:rtl w:val="true"/>
        </w:rPr>
        <w:t xml:space="preserve">, </w:t>
      </w:r>
      <w:r>
        <w:rPr>
          <w:rtl w:val="true"/>
        </w:rPr>
        <w:t>מעשה מגונה בכוח וכליאת שווא</w:t>
      </w:r>
      <w:r>
        <w:rPr>
          <w:rtl w:val="true"/>
        </w:rPr>
        <w:t xml:space="preserve">. </w:t>
      </w:r>
      <w:r>
        <w:rPr>
          <w:rFonts w:ascii="Century" w:hAnsi="Century" w:cs="Century"/>
          <w:sz w:val="22"/>
          <w:sz w:val="22"/>
          <w:rtl w:val="true"/>
        </w:rPr>
        <w:t>על פי המתואר בכתב האישום</w:t>
      </w:r>
      <w:r>
        <w:rPr>
          <w:rFonts w:cs="Century" w:ascii="Century" w:hAnsi="Century"/>
          <w:sz w:val="22"/>
          <w:rtl w:val="true"/>
        </w:rPr>
        <w:t xml:space="preserve">, </w:t>
      </w:r>
      <w:r>
        <w:rPr>
          <w:rFonts w:ascii="Century" w:hAnsi="Century" w:cs="Century"/>
          <w:sz w:val="22"/>
          <w:sz w:val="22"/>
          <w:rtl w:val="true"/>
        </w:rPr>
        <w:t>שימש המשיב</w:t>
      </w:r>
      <w:r>
        <w:rPr>
          <w:rFonts w:cs="Century" w:ascii="Century" w:hAnsi="Century"/>
          <w:sz w:val="22"/>
          <w:rtl w:val="true"/>
        </w:rPr>
        <w:t xml:space="preserve">, </w:t>
      </w:r>
      <w:r>
        <w:rPr>
          <w:rFonts w:ascii="Century" w:hAnsi="Century" w:cs="Century"/>
          <w:sz w:val="22"/>
          <w:sz w:val="22"/>
          <w:rtl w:val="true"/>
        </w:rPr>
        <w:t>במועדים הרלוונטיים לכתב האישום</w:t>
      </w:r>
      <w:r>
        <w:rPr>
          <w:rFonts w:cs="Century" w:ascii="Century" w:hAnsi="Century"/>
          <w:sz w:val="22"/>
          <w:rtl w:val="true"/>
        </w:rPr>
        <w:t xml:space="preserve">, </w:t>
      </w:r>
      <w:r>
        <w:rPr>
          <w:rFonts w:ascii="Century" w:hAnsi="Century" w:cs="Century"/>
          <w:sz w:val="22"/>
          <w:sz w:val="22"/>
          <w:rtl w:val="true"/>
        </w:rPr>
        <w:t xml:space="preserve">כמנהל סניף המוסד לביטוח לאומי בקרית שמונה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הסניף</w:t>
      </w:r>
      <w:r>
        <w:rPr>
          <w:rFonts w:cs="Century" w:ascii="Century" w:hAnsi="Century"/>
          <w:sz w:val="22"/>
          <w:rtl w:val="true"/>
        </w:rPr>
        <w:t xml:space="preserve">), </w:t>
      </w:r>
      <w:r>
        <w:rPr>
          <w:rFonts w:ascii="Century" w:hAnsi="Century" w:cs="Century"/>
          <w:sz w:val="22"/>
          <w:sz w:val="22"/>
          <w:rtl w:val="true"/>
        </w:rPr>
        <w:t>בו עבדה המתלוננת באופן קבוע</w:t>
      </w:r>
      <w:r>
        <w:rPr>
          <w:rFonts w:cs="Century" w:ascii="Century" w:hAnsi="Century"/>
          <w:sz w:val="22"/>
          <w:rtl w:val="true"/>
        </w:rPr>
        <w:t xml:space="preserve">, </w:t>
      </w:r>
      <w:r>
        <w:rPr>
          <w:rFonts w:ascii="Century" w:hAnsi="Century" w:cs="Century"/>
          <w:sz w:val="22"/>
          <w:sz w:val="22"/>
          <w:rtl w:val="true"/>
        </w:rPr>
        <w:t>כעובדת חברה שסיפקה שירותים למוסד לביטוח לאומי</w:t>
      </w:r>
      <w:r>
        <w:rPr>
          <w:rFonts w:cs="Century" w:ascii="Century" w:hAnsi="Century"/>
          <w:sz w:val="22"/>
          <w:rtl w:val="true"/>
        </w:rPr>
        <w:t>.</w:t>
      </w:r>
      <w:r>
        <w:rPr>
          <w:rtl w:val="true"/>
        </w:rPr>
        <w:t xml:space="preserve"> </w:t>
      </w:r>
      <w:r>
        <w:rPr>
          <w:rtl w:val="true"/>
        </w:rPr>
        <w:t>המתלוננת הייתה במצוקה כלכלית</w:t>
      </w:r>
      <w:r>
        <w:rPr>
          <w:rtl w:val="true"/>
        </w:rPr>
        <w:t xml:space="preserve">. </w:t>
      </w:r>
      <w:r>
        <w:rPr>
          <w:rtl w:val="true"/>
        </w:rPr>
        <w:t>המשיב</w:t>
      </w:r>
      <w:r>
        <w:rPr>
          <w:rtl w:val="true"/>
        </w:rPr>
        <w:t xml:space="preserve">, </w:t>
      </w:r>
      <w:r>
        <w:rPr>
          <w:rtl w:val="true"/>
        </w:rPr>
        <w:t>שידע על מצוקתה</w:t>
      </w:r>
      <w:r>
        <w:rPr>
          <w:rtl w:val="true"/>
        </w:rPr>
        <w:t xml:space="preserve">, </w:t>
      </w:r>
      <w:r>
        <w:rPr>
          <w:rtl w:val="true"/>
        </w:rPr>
        <w:t>הציע לה</w:t>
      </w:r>
      <w:r>
        <w:rPr>
          <w:rtl w:val="true"/>
        </w:rPr>
        <w:t xml:space="preserve">, </w:t>
      </w:r>
      <w:r>
        <w:rPr>
          <w:rtl w:val="true"/>
        </w:rPr>
        <w:t xml:space="preserve">עובר ליום </w:t>
      </w:r>
      <w:r>
        <w:rPr/>
        <w:t>19.2.2018</w:t>
      </w:r>
      <w:r>
        <w:rPr>
          <w:rtl w:val="true"/>
        </w:rPr>
        <w:t xml:space="preserve">, </w:t>
      </w:r>
      <w:r>
        <w:rPr>
          <w:rtl w:val="true"/>
        </w:rPr>
        <w:t>להסדיר עבורה עבודה נוספת מעבר לשעות עבודתה בסניף</w:t>
      </w:r>
      <w:r>
        <w:rPr>
          <w:rtl w:val="true"/>
        </w:rPr>
        <w:t xml:space="preserve">, </w:t>
      </w:r>
      <w:r>
        <w:rPr>
          <w:rtl w:val="true"/>
        </w:rPr>
        <w:t>והמתלוננת גילתה נכונות לכך</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כעולה מכתב האישום</w:t>
      </w:r>
      <w:r>
        <w:rPr>
          <w:rtl w:val="true"/>
        </w:rPr>
        <w:t xml:space="preserve">, </w:t>
      </w:r>
      <w:r>
        <w:rPr>
          <w:rtl w:val="true"/>
        </w:rPr>
        <w:t xml:space="preserve">בשעות הבוקר של יום </w:t>
      </w:r>
      <w:r>
        <w:rPr/>
        <w:t>19.2.2018</w:t>
      </w:r>
      <w:r>
        <w:rPr>
          <w:rtl w:val="true"/>
        </w:rPr>
        <w:t xml:space="preserve">, </w:t>
      </w:r>
      <w:r>
        <w:rPr>
          <w:rtl w:val="true"/>
        </w:rPr>
        <w:t>התקשר המשיב למתלוננת</w:t>
      </w:r>
      <w:r>
        <w:rPr>
          <w:rtl w:val="true"/>
        </w:rPr>
        <w:t xml:space="preserve">, </w:t>
      </w:r>
      <w:r>
        <w:rPr>
          <w:rtl w:val="true"/>
        </w:rPr>
        <w:t>והציע לה לבקר עמו במקום העבודה הנוספת שאיתר בעבורה</w:t>
      </w:r>
      <w:r>
        <w:rPr>
          <w:rtl w:val="true"/>
        </w:rPr>
        <w:t xml:space="preserve">. </w:t>
      </w:r>
      <w:r>
        <w:rPr>
          <w:rtl w:val="true"/>
        </w:rPr>
        <w:t>המתלוננת נענתה בחיוב להצעה</w:t>
      </w:r>
      <w:r>
        <w:rPr>
          <w:rtl w:val="true"/>
        </w:rPr>
        <w:t xml:space="preserve">. </w:t>
      </w:r>
      <w:r>
        <w:rPr>
          <w:rtl w:val="true"/>
        </w:rPr>
        <w:t>בסמוך לכך</w:t>
      </w:r>
      <w:r>
        <w:rPr>
          <w:rtl w:val="true"/>
        </w:rPr>
        <w:t xml:space="preserve">, </w:t>
      </w:r>
      <w:r>
        <w:rPr>
          <w:rtl w:val="true"/>
        </w:rPr>
        <w:t>שכר המשיב צימר בשאר ישוב</w:t>
      </w:r>
      <w:r>
        <w:rPr>
          <w:rtl w:val="true"/>
        </w:rPr>
        <w:t xml:space="preserve">. </w:t>
      </w:r>
      <w:r>
        <w:rPr>
          <w:rtl w:val="true"/>
        </w:rPr>
        <w:t>זמן קצר לאחר מכן</w:t>
      </w:r>
      <w:r>
        <w:rPr>
          <w:rtl w:val="true"/>
        </w:rPr>
        <w:t xml:space="preserve">, </w:t>
      </w:r>
      <w:r>
        <w:rPr>
          <w:rtl w:val="true"/>
        </w:rPr>
        <w:t>הגיע המשיב ברכבו לבית המתלוננת</w:t>
      </w:r>
      <w:r>
        <w:rPr>
          <w:rtl w:val="true"/>
        </w:rPr>
        <w:t xml:space="preserve">, </w:t>
      </w:r>
      <w:r>
        <w:rPr>
          <w:rtl w:val="true"/>
        </w:rPr>
        <w:t>והמתלוננת נכנסה לרכבו של המשיב</w:t>
      </w:r>
      <w:r>
        <w:rPr>
          <w:rtl w:val="true"/>
        </w:rPr>
        <w:t xml:space="preserve">, </w:t>
      </w:r>
      <w:r>
        <w:rPr>
          <w:rtl w:val="true"/>
        </w:rPr>
        <w:t>שנסע לצימר</w:t>
      </w:r>
      <w:r>
        <w:rPr>
          <w:rtl w:val="true"/>
        </w:rPr>
        <w:t xml:space="preserve">. </w:t>
      </w:r>
      <w:r>
        <w:rPr>
          <w:rtl w:val="true"/>
        </w:rPr>
        <w:t>בכתב האישום נטען</w:t>
      </w:r>
      <w:r>
        <w:rPr>
          <w:rtl w:val="true"/>
        </w:rPr>
        <w:t xml:space="preserve">, </w:t>
      </w:r>
      <w:r>
        <w:rPr>
          <w:rtl w:val="true"/>
        </w:rPr>
        <w:t>כי עם היכנסם של המשיב והמתלוננת לצימר</w:t>
      </w:r>
      <w:r>
        <w:rPr>
          <w:rtl w:val="true"/>
        </w:rPr>
        <w:t xml:space="preserve">, </w:t>
      </w:r>
      <w:r>
        <w:rPr>
          <w:rtl w:val="true"/>
        </w:rPr>
        <w:t>נעל המשיב את דלת הצימר מבפנים והניח את המפתח בכיסו</w:t>
      </w:r>
      <w:r>
        <w:rPr>
          <w:rtl w:val="true"/>
        </w:rPr>
        <w:t xml:space="preserve">. </w:t>
      </w:r>
      <w:r>
        <w:rPr>
          <w:rtl w:val="true"/>
        </w:rPr>
        <w:t>אז</w:t>
      </w:r>
      <w:r>
        <w:rPr>
          <w:rtl w:val="true"/>
        </w:rPr>
        <w:t xml:space="preserve">, </w:t>
      </w:r>
      <w:r>
        <w:rPr>
          <w:rtl w:val="true"/>
        </w:rPr>
        <w:t>אמר למתלוננת כי הוא מעוניין לקיים עימה יחסי מין</w:t>
      </w:r>
      <w:r>
        <w:rPr>
          <w:rtl w:val="true"/>
        </w:rPr>
        <w:t xml:space="preserve">. </w:t>
      </w:r>
      <w:r>
        <w:rPr>
          <w:rtl w:val="true"/>
        </w:rPr>
        <w:t>בתגובה</w:t>
      </w:r>
      <w:r>
        <w:rPr>
          <w:rtl w:val="true"/>
        </w:rPr>
        <w:t xml:space="preserve">, </w:t>
      </w:r>
      <w:r>
        <w:rPr>
          <w:rtl w:val="true"/>
        </w:rPr>
        <w:t>ניסתה המתלוננת לצעוק</w:t>
      </w:r>
      <w:r>
        <w:rPr>
          <w:rtl w:val="true"/>
        </w:rPr>
        <w:t xml:space="preserve">, </w:t>
      </w:r>
      <w:r>
        <w:rPr>
          <w:rtl w:val="true"/>
        </w:rPr>
        <w:t>וביקשה מהמשיב לצאת מהצימר</w:t>
      </w:r>
      <w:r>
        <w:rPr>
          <w:rtl w:val="true"/>
        </w:rPr>
        <w:t xml:space="preserve">, </w:t>
      </w:r>
      <w:r>
        <w:rPr>
          <w:rtl w:val="true"/>
        </w:rPr>
        <w:t>אך המשיב הורה לה להימנע מלצעוק</w:t>
      </w:r>
      <w:r>
        <w:rPr>
          <w:rtl w:val="true"/>
        </w:rPr>
        <w:t xml:space="preserve">. </w:t>
      </w:r>
      <w:r>
        <w:rPr>
          <w:rtl w:val="true"/>
        </w:rPr>
        <w:t>לאחר מכן</w:t>
      </w:r>
      <w:r>
        <w:rPr>
          <w:rtl w:val="true"/>
        </w:rPr>
        <w:t xml:space="preserve">, </w:t>
      </w:r>
      <w:r>
        <w:rPr>
          <w:rtl w:val="true"/>
        </w:rPr>
        <w:t>הושיב המשיב את המתלוננת בפינת הצימר</w:t>
      </w:r>
      <w:r>
        <w:rPr>
          <w:rtl w:val="true"/>
        </w:rPr>
        <w:t xml:space="preserve">, </w:t>
      </w:r>
      <w:r>
        <w:rPr>
          <w:rtl w:val="true"/>
        </w:rPr>
        <w:t>התמקם בסמוך אליה</w:t>
      </w:r>
      <w:r>
        <w:rPr>
          <w:rtl w:val="true"/>
        </w:rPr>
        <w:t xml:space="preserve">, </w:t>
      </w:r>
      <w:r>
        <w:rPr>
          <w:rtl w:val="true"/>
        </w:rPr>
        <w:t>באופן שמנע ממנה לקום</w:t>
      </w:r>
      <w:r>
        <w:rPr>
          <w:rtl w:val="true"/>
        </w:rPr>
        <w:t xml:space="preserve">, </w:t>
      </w:r>
      <w:r>
        <w:rPr>
          <w:rtl w:val="true"/>
        </w:rPr>
        <w:t>ביקש ממנה נשיקה</w:t>
      </w:r>
      <w:r>
        <w:rPr>
          <w:rtl w:val="true"/>
        </w:rPr>
        <w:t xml:space="preserve">, </w:t>
      </w:r>
      <w:r>
        <w:rPr>
          <w:rtl w:val="true"/>
        </w:rPr>
        <w:t>וניסה לנשק אותה</w:t>
      </w:r>
      <w:r>
        <w:rPr>
          <w:rtl w:val="true"/>
        </w:rPr>
        <w:t xml:space="preserve">, </w:t>
      </w:r>
      <w:r>
        <w:rPr>
          <w:rtl w:val="true"/>
        </w:rPr>
        <w:t>אך המתלוננת סירבה והסבה פניה</w:t>
      </w:r>
      <w:r>
        <w:rPr>
          <w:rtl w:val="true"/>
        </w:rPr>
        <w:t xml:space="preserve">. </w:t>
      </w:r>
      <w:r>
        <w:rPr>
          <w:rtl w:val="true"/>
        </w:rPr>
        <w:t>בהמשך</w:t>
      </w:r>
      <w:r>
        <w:rPr>
          <w:rtl w:val="true"/>
        </w:rPr>
        <w:t xml:space="preserve">, </w:t>
      </w:r>
      <w:r>
        <w:rPr>
          <w:rtl w:val="true"/>
        </w:rPr>
        <w:t>החל המשיב לגעת ברגלה ובחזה של המתלוננת</w:t>
      </w:r>
      <w:r>
        <w:rPr>
          <w:rtl w:val="true"/>
        </w:rPr>
        <w:t xml:space="preserve">, </w:t>
      </w:r>
      <w:r>
        <w:rPr>
          <w:rtl w:val="true"/>
        </w:rPr>
        <w:t>ושלח ידיו אל מתחת לחולצתה</w:t>
      </w:r>
      <w:r>
        <w:rPr>
          <w:rtl w:val="true"/>
        </w:rPr>
        <w:t xml:space="preserve">. </w:t>
      </w:r>
      <w:r>
        <w:rPr>
          <w:rtl w:val="true"/>
        </w:rPr>
        <w:t>בשלב מסוים</w:t>
      </w:r>
      <w:r>
        <w:rPr>
          <w:rtl w:val="true"/>
        </w:rPr>
        <w:t xml:space="preserve">, </w:t>
      </w:r>
      <w:r>
        <w:rPr>
          <w:rtl w:val="true"/>
        </w:rPr>
        <w:t>אף הרים המשיב את חולצתה ונגע בחזה באמצעות פיו</w:t>
      </w:r>
      <w:r>
        <w:rPr>
          <w:rtl w:val="true"/>
        </w:rPr>
        <w:t xml:space="preserve">. </w:t>
      </w:r>
      <w:r>
        <w:rPr>
          <w:rtl w:val="true"/>
        </w:rPr>
        <w:t>בהמשך</w:t>
      </w:r>
      <w:r>
        <w:rPr>
          <w:rtl w:val="true"/>
        </w:rPr>
        <w:t xml:space="preserve">, </w:t>
      </w:r>
      <w:r>
        <w:rPr>
          <w:rtl w:val="true"/>
        </w:rPr>
        <w:t>כפי שעולה מכתב האישום</w:t>
      </w:r>
      <w:r>
        <w:rPr>
          <w:rtl w:val="true"/>
        </w:rPr>
        <w:t xml:space="preserve">, </w:t>
      </w:r>
      <w:r>
        <w:rPr>
          <w:rtl w:val="true"/>
        </w:rPr>
        <w:t>פתח המשיב את כפתור מכנסיה של המתלוננת והחדיר את אצבעותיו לאיבר מינה</w:t>
      </w:r>
      <w:r>
        <w:rPr>
          <w:rtl w:val="true"/>
        </w:rPr>
        <w:t xml:space="preserve">. </w:t>
      </w:r>
      <w:r>
        <w:rPr>
          <w:rtl w:val="true"/>
        </w:rPr>
        <w:t>אז</w:t>
      </w:r>
      <w:r>
        <w:rPr>
          <w:rtl w:val="true"/>
        </w:rPr>
        <w:t xml:space="preserve">, </w:t>
      </w:r>
      <w:r>
        <w:rPr>
          <w:rtl w:val="true"/>
        </w:rPr>
        <w:t>נישק המשיב את המתלוננת</w:t>
      </w:r>
      <w:r>
        <w:rPr>
          <w:rtl w:val="true"/>
        </w:rPr>
        <w:t xml:space="preserve">, </w:t>
      </w:r>
      <w:r>
        <w:rPr>
          <w:rtl w:val="true"/>
        </w:rPr>
        <w:t>ושב והחדיר אצבעותיו לאיבר מינה</w:t>
      </w:r>
      <w:r>
        <w:rPr>
          <w:rtl w:val="true"/>
        </w:rPr>
        <w:t xml:space="preserve">. </w:t>
      </w:r>
      <w:r>
        <w:rPr>
          <w:rtl w:val="true"/>
        </w:rPr>
        <w:t>בנוסף</w:t>
      </w:r>
      <w:r>
        <w:rPr>
          <w:rtl w:val="true"/>
        </w:rPr>
        <w:t xml:space="preserve">, </w:t>
      </w:r>
      <w:r>
        <w:rPr>
          <w:rtl w:val="true"/>
        </w:rPr>
        <w:t>בשלב מסוים</w:t>
      </w:r>
      <w:r>
        <w:rPr>
          <w:rtl w:val="true"/>
        </w:rPr>
        <w:t xml:space="preserve">, </w:t>
      </w:r>
      <w:r>
        <w:rPr>
          <w:rtl w:val="true"/>
        </w:rPr>
        <w:t>פתח את מכנסיו</w:t>
      </w:r>
      <w:r>
        <w:rPr>
          <w:rtl w:val="true"/>
        </w:rPr>
        <w:t xml:space="preserve">, </w:t>
      </w:r>
      <w:r>
        <w:rPr>
          <w:rtl w:val="true"/>
        </w:rPr>
        <w:t>לקח את ידה של המתלוננת</w:t>
      </w:r>
      <w:r>
        <w:rPr>
          <w:rtl w:val="true"/>
        </w:rPr>
        <w:t xml:space="preserve">, </w:t>
      </w:r>
      <w:r>
        <w:rPr>
          <w:rtl w:val="true"/>
        </w:rPr>
        <w:t>הכניס אותה לתוך תחתוניו</w:t>
      </w:r>
      <w:r>
        <w:rPr>
          <w:rtl w:val="true"/>
        </w:rPr>
        <w:t xml:space="preserve">, </w:t>
      </w:r>
      <w:r>
        <w:rPr>
          <w:rtl w:val="true"/>
        </w:rPr>
        <w:t>הניח אותה על איבר מינו</w:t>
      </w:r>
      <w:r>
        <w:rPr>
          <w:rtl w:val="true"/>
        </w:rPr>
        <w:t xml:space="preserve">, </w:t>
      </w:r>
      <w:r>
        <w:rPr>
          <w:rtl w:val="true"/>
        </w:rPr>
        <w:t>וביקש ממנה שתרטיב את איבר מינו</w:t>
      </w:r>
      <w:r>
        <w:rPr>
          <w:rtl w:val="true"/>
        </w:rPr>
        <w:t>.</w:t>
      </w:r>
      <w:r>
        <w:rPr>
          <w:b/>
          <w:bCs/>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פי כתב האישום</w:t>
      </w:r>
      <w:r>
        <w:rPr>
          <w:rtl w:val="true"/>
        </w:rPr>
        <w:t xml:space="preserve">, </w:t>
      </w:r>
      <w:r>
        <w:rPr>
          <w:rtl w:val="true"/>
        </w:rPr>
        <w:t>שהותם של המשיב והמתלוננת בצימר ארכה כשעה ומחצה</w:t>
      </w:r>
      <w:r>
        <w:rPr>
          <w:rtl w:val="true"/>
        </w:rPr>
        <w:t xml:space="preserve">, </w:t>
      </w:r>
      <w:r>
        <w:rPr>
          <w:rtl w:val="true"/>
        </w:rPr>
        <w:t>כאשר בסופה</w:t>
      </w:r>
      <w:r>
        <w:rPr>
          <w:rtl w:val="true"/>
        </w:rPr>
        <w:t xml:space="preserve">, </w:t>
      </w:r>
      <w:r>
        <w:rPr>
          <w:rtl w:val="true"/>
        </w:rPr>
        <w:t>חדל המשיב ממעשיו</w:t>
      </w:r>
      <w:r>
        <w:rPr>
          <w:rtl w:val="true"/>
        </w:rPr>
        <w:t xml:space="preserve">. </w:t>
      </w:r>
      <w:r>
        <w:rPr>
          <w:rtl w:val="true"/>
        </w:rPr>
        <w:t>לאחר מכן</w:t>
      </w:r>
      <w:r>
        <w:rPr>
          <w:rtl w:val="true"/>
        </w:rPr>
        <w:t xml:space="preserve">, </w:t>
      </w:r>
      <w:r>
        <w:rPr>
          <w:rtl w:val="true"/>
        </w:rPr>
        <w:t>הסיע המשיב את המתלוננת מהצימר</w:t>
      </w:r>
      <w:r>
        <w:rPr>
          <w:rtl w:val="true"/>
        </w:rPr>
        <w:t xml:space="preserve">, </w:t>
      </w:r>
      <w:r>
        <w:rPr>
          <w:rtl w:val="true"/>
        </w:rPr>
        <w:t>הוריד אותה בסמוך למרכז המסחרי בקרית שמונה</w:t>
      </w:r>
      <w:r>
        <w:rPr>
          <w:rtl w:val="true"/>
        </w:rPr>
        <w:t xml:space="preserve">, </w:t>
      </w:r>
      <w:r>
        <w:rPr>
          <w:rtl w:val="true"/>
        </w:rPr>
        <w:t>ואמר לה כי בעוד זמן מה ישובו לדון בנושא יחסי המין ביניהם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zCs w:val="24"/>
        </w:rPr>
      </w:pPr>
      <w:r>
        <w:rPr>
          <w:rFonts w:ascii="Century" w:hAnsi="Century" w:cs="Miriam"/>
          <w:b/>
          <w:b/>
          <w:szCs w:val="24"/>
          <w:rtl w:val="true"/>
        </w:rPr>
        <w:t>הכרעת</w:t>
      </w:r>
      <w:r>
        <w:rPr>
          <w:rFonts w:ascii="Century" w:hAnsi="Century" w:eastAsia="Century" w:cs="Century"/>
          <w:b/>
          <w:b/>
          <w:szCs w:val="24"/>
          <w:rtl w:val="true"/>
        </w:rPr>
        <w:t xml:space="preserve"> </w:t>
      </w:r>
      <w:r>
        <w:rPr>
          <w:rFonts w:ascii="Century" w:hAnsi="Century" w:cs="Miriam"/>
          <w:b/>
          <w:b/>
          <w:szCs w:val="24"/>
          <w:rtl w:val="true"/>
        </w:rPr>
        <w:t>הדין</w:t>
      </w:r>
    </w:p>
    <w:p>
      <w:pPr>
        <w:pStyle w:val="Ruller41"/>
        <w:ind w:end="0"/>
        <w:jc w:val="both"/>
        <w:rPr>
          <w:rFonts w:ascii="Century" w:hAnsi="Century" w:cs="Century"/>
          <w:b/>
          <w:szCs w:val="24"/>
        </w:rPr>
      </w:pPr>
      <w:r>
        <w:rPr>
          <w:rFonts w:cs="Century" w:ascii="Century" w:hAnsi="Century"/>
          <w:b/>
          <w:szCs w:val="24"/>
          <w:rtl w:val="true"/>
        </w:rPr>
      </w:r>
    </w:p>
    <w:p>
      <w:pPr>
        <w:pStyle w:val="Ruller42"/>
        <w:numPr>
          <w:ilvl w:val="0"/>
          <w:numId w:val="1"/>
        </w:numPr>
        <w:ind w:hanging="0" w:start="0" w:end="0"/>
        <w:jc w:val="both"/>
        <w:rPr/>
      </w:pPr>
      <w:r>
        <w:rPr>
          <w:rFonts w:ascii="FrankRuehl" w:hAnsi="FrankRuehl" w:cs="FrankRuehl"/>
          <w:sz w:val="28"/>
          <w:sz w:val="28"/>
          <w:rtl w:val="true"/>
        </w:rPr>
        <w:t xml:space="preserve">בהכרעת הדין מיום </w:t>
      </w:r>
      <w:r>
        <w:rPr>
          <w:rFonts w:cs="FrankRuehl" w:ascii="FrankRuehl" w:hAnsi="FrankRuehl"/>
          <w:sz w:val="28"/>
        </w:rPr>
        <w:t>23.10.2019</w:t>
      </w:r>
      <w:r>
        <w:rPr>
          <w:rFonts w:cs="FrankRuehl" w:ascii="FrankRuehl" w:hAnsi="FrankRuehl"/>
          <w:sz w:val="28"/>
          <w:rtl w:val="true"/>
        </w:rPr>
        <w:t xml:space="preserve">, </w:t>
      </w:r>
      <w:r>
        <w:rPr>
          <w:rFonts w:ascii="FrankRuehl" w:hAnsi="FrankRuehl" w:cs="FrankRuehl"/>
          <w:sz w:val="28"/>
          <w:sz w:val="28"/>
          <w:rtl w:val="true"/>
        </w:rPr>
        <w:t xml:space="preserve">זיכה </w:t>
      </w:r>
      <w:r>
        <w:rPr>
          <w:rFonts w:ascii="FrankRuehl" w:hAnsi="FrankRuehl" w:cs="FrankRuehl"/>
          <w:sz w:val="28"/>
          <w:sz w:val="28"/>
          <w:rtl w:val="true"/>
        </w:rPr>
        <w:t xml:space="preserve">בית המשפט </w:t>
      </w:r>
      <w:r>
        <w:rPr>
          <w:rFonts w:ascii="FrankRuehl" w:hAnsi="FrankRuehl" w:cs="FrankRuehl"/>
          <w:sz w:val="28"/>
          <w:sz w:val="28"/>
          <w:rtl w:val="true"/>
        </w:rPr>
        <w:t xml:space="preserve">המחוזי </w:t>
      </w:r>
      <w:r>
        <w:rPr>
          <w:rFonts w:ascii="FrankRuehl" w:hAnsi="FrankRuehl" w:cs="FrankRuehl"/>
          <w:sz w:val="28"/>
          <w:sz w:val="28"/>
          <w:rtl w:val="true"/>
        </w:rPr>
        <w:t>את המערער</w:t>
      </w:r>
      <w:r>
        <w:rPr>
          <w:rFonts w:cs="FrankRuehl" w:ascii="FrankRuehl" w:hAnsi="FrankRuehl"/>
          <w:sz w:val="28"/>
          <w:rtl w:val="true"/>
        </w:rPr>
        <w:t xml:space="preserve">, </w:t>
      </w:r>
      <w:r>
        <w:rPr>
          <w:rFonts w:ascii="FrankRuehl" w:hAnsi="FrankRuehl" w:cs="FrankRuehl"/>
          <w:sz w:val="28"/>
          <w:sz w:val="28"/>
          <w:rtl w:val="true"/>
        </w:rPr>
        <w:t>מחמת הספק</w:t>
      </w:r>
      <w:r>
        <w:rPr>
          <w:rFonts w:cs="FrankRuehl" w:ascii="FrankRuehl" w:hAnsi="FrankRuehl"/>
          <w:sz w:val="28"/>
          <w:rtl w:val="true"/>
        </w:rPr>
        <w:t xml:space="preserve">, </w:t>
      </w:r>
      <w:r>
        <w:rPr>
          <w:rFonts w:ascii="FrankRuehl" w:hAnsi="FrankRuehl" w:cs="FrankRuehl"/>
          <w:sz w:val="28"/>
          <w:sz w:val="28"/>
          <w:rtl w:val="true"/>
        </w:rPr>
        <w:t>מהעבירות של חטיפה לשם ביצוע עבירת מין</w:t>
      </w:r>
      <w:r>
        <w:rPr>
          <w:rFonts w:cs="FrankRuehl" w:ascii="FrankRuehl" w:hAnsi="FrankRuehl"/>
          <w:sz w:val="28"/>
          <w:rtl w:val="true"/>
        </w:rPr>
        <w:t xml:space="preserve">, </w:t>
      </w:r>
      <w:r>
        <w:rPr>
          <w:rtl w:val="true"/>
        </w:rPr>
        <w:t>אינוס וכליאת שווא</w:t>
      </w:r>
      <w:r>
        <w:rPr>
          <w:rtl w:val="true"/>
        </w:rPr>
        <w:t xml:space="preserve">, </w:t>
      </w:r>
      <w:r>
        <w:rPr>
          <w:rtl w:val="true"/>
        </w:rPr>
        <w:t xml:space="preserve">אך הרשיע אותו </w:t>
      </w:r>
      <w:r>
        <w:rPr>
          <w:rFonts w:ascii="FrankRuehl" w:hAnsi="FrankRuehl" w:cs="FrankRuehl"/>
          <w:sz w:val="28"/>
          <w:sz w:val="28"/>
          <w:rtl w:val="true"/>
        </w:rPr>
        <w:t xml:space="preserve">בעבירה של מעשים מגונים בכוח </w:t>
      </w:r>
      <w:r>
        <w:rPr>
          <w:rFonts w:cs="FrankRuehl" w:ascii="FrankRuehl" w:hAnsi="FrankRuehl"/>
          <w:sz w:val="28"/>
          <w:rtl w:val="true"/>
        </w:rPr>
        <w:t>(</w:t>
      </w:r>
      <w:r>
        <w:rPr>
          <w:rFonts w:ascii="FrankRuehl" w:hAnsi="FrankRuehl" w:cs="FrankRuehl"/>
          <w:sz w:val="28"/>
          <w:sz w:val="28"/>
          <w:rtl w:val="true"/>
        </w:rPr>
        <w:t>מספר מקרים</w:t>
      </w:r>
      <w:r>
        <w:rPr>
          <w:rFonts w:cs="FrankRuehl" w:ascii="FrankRuehl" w:hAnsi="FrankRuehl"/>
          <w:sz w:val="28"/>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rFonts w:ascii="FrankRuehl" w:hAnsi="FrankRuehl" w:cs="FrankRuehl"/>
          <w:sz w:val="28"/>
        </w:rPr>
      </w:pPr>
      <w:r>
        <w:rPr>
          <w:rFonts w:ascii="FrankRuehl" w:hAnsi="FrankRuehl" w:cs="FrankRuehl"/>
          <w:sz w:val="28"/>
          <w:sz w:val="28"/>
          <w:rtl w:val="true"/>
        </w:rPr>
        <w:t>הכרעת דינו המרשיעה של בית המשפט המחוזי התבססה</w:t>
      </w:r>
      <w:r>
        <w:rPr>
          <w:rFonts w:cs="FrankRuehl" w:ascii="FrankRuehl" w:hAnsi="FrankRuehl"/>
          <w:sz w:val="28"/>
          <w:rtl w:val="true"/>
        </w:rPr>
        <w:t xml:space="preserve">, </w:t>
      </w:r>
      <w:r>
        <w:rPr>
          <w:rFonts w:ascii="FrankRuehl" w:hAnsi="FrankRuehl" w:cs="FrankRuehl"/>
          <w:sz w:val="28"/>
          <w:sz w:val="28"/>
          <w:rtl w:val="true"/>
        </w:rPr>
        <w:t xml:space="preserve">בעיקרו </w:t>
      </w:r>
      <w:r>
        <w:rPr>
          <w:rFonts w:ascii="FrankRuehl" w:hAnsi="FrankRuehl" w:cs="FrankRuehl"/>
          <w:sz w:val="28"/>
          <w:sz w:val="28"/>
          <w:rtl w:val="true"/>
        </w:rPr>
        <w:t>של דבר</w:t>
      </w:r>
      <w:r>
        <w:rPr>
          <w:rFonts w:cs="FrankRuehl" w:ascii="FrankRuehl" w:hAnsi="FrankRuehl"/>
          <w:sz w:val="28"/>
          <w:rtl w:val="true"/>
        </w:rPr>
        <w:t xml:space="preserve">, </w:t>
      </w:r>
      <w:r>
        <w:rPr>
          <w:rFonts w:ascii="FrankRuehl" w:hAnsi="FrankRuehl" w:cs="FrankRuehl"/>
          <w:sz w:val="28"/>
          <w:sz w:val="28"/>
          <w:rtl w:val="true"/>
        </w:rPr>
        <w:t>על עדות המתלוננת לפניו</w:t>
      </w:r>
      <w:r>
        <w:rPr>
          <w:rFonts w:cs="FrankRuehl" w:ascii="FrankRuehl" w:hAnsi="FrankRuehl"/>
          <w:sz w:val="28"/>
          <w:rtl w:val="true"/>
        </w:rPr>
        <w:t xml:space="preserve">, </w:t>
      </w:r>
      <w:r>
        <w:rPr>
          <w:rFonts w:ascii="FrankRuehl" w:hAnsi="FrankRuehl" w:cs="FrankRuehl"/>
          <w:sz w:val="28"/>
          <w:sz w:val="28"/>
          <w:rtl w:val="true"/>
        </w:rPr>
        <w:t>א</w:t>
      </w:r>
      <w:r>
        <w:rPr>
          <w:rFonts w:ascii="FrankRuehl" w:hAnsi="FrankRuehl" w:cs="FrankRuehl"/>
          <w:sz w:val="28"/>
          <w:sz w:val="28"/>
          <w:rtl w:val="true"/>
        </w:rPr>
        <w:t>שר נמצאה ראויה ו</w:t>
      </w:r>
      <w:r>
        <w:rPr>
          <w:rFonts w:ascii="FrankRuehl" w:hAnsi="FrankRuehl" w:cs="FrankRuehl"/>
          <w:sz w:val="28"/>
          <w:sz w:val="28"/>
          <w:rtl w:val="true"/>
        </w:rPr>
        <w:t>אמינה</w:t>
      </w:r>
      <w:r>
        <w:rPr>
          <w:rFonts w:cs="FrankRuehl" w:ascii="FrankRuehl" w:hAnsi="FrankRuehl"/>
          <w:sz w:val="28"/>
          <w:rtl w:val="true"/>
        </w:rPr>
        <w:t xml:space="preserve">, </w:t>
      </w:r>
      <w:r>
        <w:rPr>
          <w:rFonts w:ascii="FrankRuehl" w:hAnsi="FrankRuehl" w:cs="FrankRuehl"/>
          <w:sz w:val="28"/>
          <w:sz w:val="28"/>
          <w:rtl w:val="true"/>
        </w:rPr>
        <w:t xml:space="preserve">וקבע כי </w:t>
      </w:r>
      <w:r>
        <w:rPr>
          <w:rFonts w:ascii="FrankRuehl" w:hAnsi="FrankRuehl" w:cs="FrankRuehl"/>
          <w:sz w:val="28"/>
          <w:sz w:val="28"/>
          <w:rtl w:val="true"/>
        </w:rPr>
        <w:t xml:space="preserve">זו מהווה נדבך מרכזי בביסוס </w:t>
      </w:r>
      <w:r>
        <w:rPr>
          <w:rFonts w:ascii="FrankRuehl" w:hAnsi="FrankRuehl" w:cs="FrankRuehl"/>
          <w:sz w:val="28"/>
          <w:sz w:val="28"/>
          <w:rtl w:val="true"/>
        </w:rPr>
        <w:t xml:space="preserve">הרשעת </w:t>
      </w:r>
      <w:r>
        <w:rPr>
          <w:rFonts w:ascii="FrankRuehl" w:hAnsi="FrankRuehl" w:cs="FrankRuehl"/>
          <w:sz w:val="28"/>
          <w:sz w:val="28"/>
          <w:rtl w:val="true"/>
        </w:rPr>
        <w:t>המשיב</w:t>
      </w:r>
      <w:r>
        <w:rPr>
          <w:rFonts w:cs="FrankRuehl" w:ascii="FrankRuehl" w:hAnsi="FrankRuehl"/>
          <w:sz w:val="28"/>
          <w:rtl w:val="true"/>
        </w:rPr>
        <w:t xml:space="preserve">, </w:t>
      </w:r>
      <w:r>
        <w:rPr>
          <w:rFonts w:ascii="FrankRuehl" w:hAnsi="FrankRuehl" w:cs="FrankRuehl"/>
          <w:sz w:val="28"/>
          <w:sz w:val="28"/>
          <w:rtl w:val="true"/>
        </w:rPr>
        <w:t>מעבר לכל ספק סביר</w:t>
      </w:r>
      <w:r>
        <w:rPr>
          <w:rFonts w:cs="FrankRuehl" w:ascii="FrankRuehl" w:hAnsi="FrankRuehl"/>
          <w:sz w:val="28"/>
          <w:rtl w:val="true"/>
        </w:rPr>
        <w:t xml:space="preserve">, </w:t>
      </w:r>
      <w:r>
        <w:rPr>
          <w:rFonts w:ascii="FrankRuehl" w:hAnsi="FrankRuehl" w:cs="FrankRuehl"/>
          <w:sz w:val="28"/>
          <w:sz w:val="28"/>
          <w:rtl w:val="true"/>
        </w:rPr>
        <w:t>במספר מעשים מגונים בכוח</w:t>
      </w:r>
      <w:r>
        <w:rPr>
          <w:rFonts w:cs="FrankRuehl" w:ascii="FrankRuehl" w:hAnsi="FrankRuehl"/>
          <w:sz w:val="28"/>
          <w:rtl w:val="true"/>
        </w:rPr>
        <w:t xml:space="preserve">. </w:t>
      </w:r>
      <w:r>
        <w:rPr>
          <w:rFonts w:ascii="FrankRuehl" w:hAnsi="FrankRuehl" w:cs="FrankRuehl"/>
          <w:sz w:val="28"/>
          <w:sz w:val="28"/>
          <w:rtl w:val="true"/>
        </w:rPr>
        <w:t>בית המשפט המחוזי ציין</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 xml:space="preserve">כי המתלוננת תיארה בעדותה באופן משכנע ואותנטי את המעשים </w:t>
      </w:r>
      <w:r>
        <w:rPr>
          <w:rFonts w:ascii="FrankRuehl" w:hAnsi="FrankRuehl" w:cs="FrankRuehl"/>
          <w:sz w:val="28"/>
          <w:sz w:val="28"/>
          <w:rtl w:val="true"/>
        </w:rPr>
        <w:t>המיניים אותם חוותה</w:t>
      </w:r>
      <w:r>
        <w:rPr>
          <w:rFonts w:cs="FrankRuehl" w:ascii="FrankRuehl" w:hAnsi="FrankRuehl"/>
          <w:sz w:val="28"/>
          <w:rtl w:val="true"/>
        </w:rPr>
        <w:t xml:space="preserve">, </w:t>
      </w:r>
      <w:r>
        <w:rPr>
          <w:rFonts w:ascii="FrankRuehl" w:hAnsi="FrankRuehl" w:cs="FrankRuehl"/>
          <w:sz w:val="28"/>
          <w:sz w:val="28"/>
          <w:rtl w:val="true"/>
        </w:rPr>
        <w:t>וכן עמד על אותות האמת שעלו מהעדות</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2"/>
        <w:numPr>
          <w:ilvl w:val="0"/>
          <w:numId w:val="1"/>
        </w:numPr>
        <w:ind w:hanging="0" w:start="0" w:end="0"/>
        <w:jc w:val="both"/>
        <w:rPr>
          <w:rFonts w:ascii="FrankRuehl" w:hAnsi="FrankRuehl" w:cs="FrankRuehl"/>
          <w:sz w:val="28"/>
        </w:rPr>
      </w:pPr>
      <w:r>
        <w:rPr>
          <w:rtl w:val="true"/>
        </w:rPr>
        <w:t>לעומת זאת</w:t>
      </w:r>
      <w:r>
        <w:rPr>
          <w:rtl w:val="true"/>
        </w:rPr>
        <w:t xml:space="preserve">, </w:t>
      </w:r>
      <w:r>
        <w:rPr>
          <w:rtl w:val="true"/>
        </w:rPr>
        <w:t>ביחס למשיב</w:t>
      </w:r>
      <w:r>
        <w:rPr>
          <w:rtl w:val="true"/>
        </w:rPr>
        <w:t>,</w:t>
      </w:r>
      <w:r>
        <w:rPr>
          <w:rFonts w:cs="FrankRuehl" w:ascii="FrankRuehl" w:hAnsi="FrankRuehl"/>
          <w:sz w:val="28"/>
          <w:rtl w:val="true"/>
        </w:rPr>
        <w:t xml:space="preserve"> </w:t>
      </w:r>
      <w:r>
        <w:rPr>
          <w:rFonts w:ascii="FrankRuehl" w:hAnsi="FrankRuehl" w:cs="FrankRuehl"/>
          <w:sz w:val="28"/>
          <w:sz w:val="28"/>
          <w:rtl w:val="true"/>
        </w:rPr>
        <w:t xml:space="preserve">בית המשפט </w:t>
      </w:r>
      <w:r>
        <w:rPr>
          <w:rFonts w:ascii="FrankRuehl" w:hAnsi="FrankRuehl" w:cs="FrankRuehl"/>
          <w:sz w:val="28"/>
          <w:sz w:val="28"/>
          <w:rtl w:val="true"/>
        </w:rPr>
        <w:t>המחוזי</w:t>
      </w:r>
      <w:r>
        <w:rPr>
          <w:rFonts w:ascii="FrankRuehl" w:hAnsi="FrankRuehl" w:cs="FrankRuehl"/>
          <w:sz w:val="28"/>
          <w:sz w:val="28"/>
          <w:rtl w:val="true"/>
        </w:rPr>
        <w:t xml:space="preserve"> התרשם לשלילה מעדותו</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51"/>
        <w:ind w:end="1282"/>
        <w:jc w:val="both"/>
        <w:rPr/>
      </w:pPr>
      <w:r>
        <w:rPr>
          <w:rtl w:val="true"/>
        </w:rPr>
        <w:t>"</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גרסתה</w:t>
      </w:r>
      <w:r>
        <w:rPr>
          <w:rFonts w:eastAsia="Arial TUR" w:cs="Arial TUR"/>
          <w:rtl w:val="true"/>
        </w:rPr>
        <w:t xml:space="preserve"> </w:t>
      </w:r>
      <w:r>
        <w:rPr>
          <w:rtl w:val="true"/>
        </w:rPr>
        <w:t>האמיתית</w:t>
      </w:r>
      <w:r>
        <w:rPr>
          <w:rFonts w:eastAsia="Arial TUR" w:cs="Arial TUR"/>
          <w:rtl w:val="true"/>
        </w:rPr>
        <w:t xml:space="preserve"> </w:t>
      </w:r>
      <w:r>
        <w:rPr>
          <w:rtl w:val="true"/>
        </w:rPr>
        <w:t>והאמינה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נוכחתי</w:t>
      </w:r>
      <w:r>
        <w:rPr>
          <w:rtl w:val="true"/>
        </w:rPr>
        <w:t xml:space="preserve">, </w:t>
      </w:r>
      <w:r>
        <w:rPr>
          <w:rtl w:val="true"/>
        </w:rPr>
        <w:t>כי</w:t>
      </w:r>
      <w:r>
        <w:rPr>
          <w:rFonts w:eastAsia="Arial TUR" w:cs="Arial TUR"/>
          <w:rtl w:val="true"/>
        </w:rPr>
        <w:t xml:space="preserve"> </w:t>
      </w:r>
      <w:r>
        <w:rPr>
          <w:rtl w:val="true"/>
        </w:rPr>
        <w:t>גרסתו</w:t>
      </w:r>
      <w:r>
        <w:rPr>
          <w:rFonts w:eastAsia="Arial TUR" w:cs="Arial TUR"/>
          <w:rtl w:val="true"/>
        </w:rPr>
        <w:t xml:space="preserve"> </w:t>
      </w:r>
      <w:r>
        <w:rPr>
          <w:rtl w:val="true"/>
        </w:rPr>
        <w:t>הפתלתלה</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מלבד</w:t>
      </w:r>
      <w:r>
        <w:rPr>
          <w:rFonts w:eastAsia="Arial TUR" w:cs="Arial TUR"/>
          <w:rtl w:val="true"/>
        </w:rPr>
        <w:t xml:space="preserve"> </w:t>
      </w:r>
      <w:r>
        <w:rPr>
          <w:rtl w:val="true"/>
        </w:rPr>
        <w:t>שקשה</w:t>
      </w:r>
      <w:r>
        <w:rPr>
          <w:rFonts w:eastAsia="Arial TUR" w:cs="Arial TUR"/>
          <w:rtl w:val="true"/>
        </w:rPr>
        <w:t xml:space="preserve"> </w:t>
      </w:r>
      <w:r>
        <w:rPr>
          <w:rtl w:val="true"/>
        </w:rPr>
        <w:t>לשכל</w:t>
      </w:r>
      <w:r>
        <w:rPr>
          <w:rFonts w:eastAsia="Arial TUR" w:cs="Arial TUR"/>
          <w:rtl w:val="true"/>
        </w:rPr>
        <w:t xml:space="preserve"> </w:t>
      </w:r>
      <w:r>
        <w:rPr>
          <w:rtl w:val="true"/>
        </w:rPr>
        <w:t>ישר</w:t>
      </w:r>
      <w:r>
        <w:rPr>
          <w:rFonts w:eastAsia="Arial TUR" w:cs="Arial TUR"/>
          <w:rtl w:val="true"/>
        </w:rPr>
        <w:t xml:space="preserve"> </w:t>
      </w:r>
      <w:r>
        <w:rPr>
          <w:rtl w:val="true"/>
        </w:rPr>
        <w:t>לקבלה</w:t>
      </w:r>
      <w:r>
        <w:rPr>
          <w:rtl w:val="true"/>
        </w:rPr>
        <w:t xml:space="preserve">, </w:t>
      </w:r>
      <w:r>
        <w:rPr>
          <w:rtl w:val="true"/>
        </w:rPr>
        <w:t>לא</w:t>
      </w:r>
      <w:r>
        <w:rPr>
          <w:rFonts w:eastAsia="Arial TUR" w:cs="Arial TUR"/>
          <w:rtl w:val="true"/>
        </w:rPr>
        <w:t xml:space="preserve"> </w:t>
      </w:r>
      <w:r>
        <w:rPr>
          <w:rtl w:val="true"/>
        </w:rPr>
        <w:t>הותירה</w:t>
      </w:r>
      <w:r>
        <w:rPr>
          <w:rFonts w:eastAsia="Arial TUR" w:cs="Arial TUR"/>
          <w:rtl w:val="true"/>
        </w:rPr>
        <w:t xml:space="preserve"> </w:t>
      </w:r>
      <w:r>
        <w:rPr>
          <w:rtl w:val="true"/>
        </w:rPr>
        <w:t>רושם</w:t>
      </w:r>
      <w:r>
        <w:rPr>
          <w:rFonts w:eastAsia="Arial TUR" w:cs="Arial TUR"/>
          <w:rtl w:val="true"/>
        </w:rPr>
        <w:t xml:space="preserve"> </w:t>
      </w:r>
      <w:r>
        <w:rPr>
          <w:rtl w:val="true"/>
        </w:rPr>
        <w:t>אמין</w:t>
      </w:r>
      <w:r>
        <w:rPr>
          <w:rtl w:val="true"/>
        </w:rPr>
        <w:t xml:space="preserve">. </w:t>
      </w:r>
      <w:r>
        <w:rPr>
          <w:rtl w:val="true"/>
        </w:rPr>
        <w:t>אותות</w:t>
      </w:r>
      <w:r>
        <w:rPr>
          <w:rFonts w:eastAsia="Arial TUR" w:cs="Arial TUR"/>
          <w:rtl w:val="true"/>
        </w:rPr>
        <w:t xml:space="preserve"> </w:t>
      </w:r>
      <w:r>
        <w:rPr>
          <w:rtl w:val="true"/>
        </w:rPr>
        <w:t>השקר</w:t>
      </w:r>
      <w:r>
        <w:rPr>
          <w:rFonts w:eastAsia="Arial TUR" w:cs="Arial TUR"/>
          <w:rtl w:val="true"/>
        </w:rPr>
        <w:t xml:space="preserve"> </w:t>
      </w:r>
      <w:r>
        <w:rPr>
          <w:rtl w:val="true"/>
        </w:rPr>
        <w:t>באשר</w:t>
      </w:r>
      <w:r>
        <w:rPr>
          <w:rFonts w:eastAsia="Arial TUR" w:cs="Arial TUR"/>
          <w:rtl w:val="true"/>
        </w:rPr>
        <w:t xml:space="preserve"> </w:t>
      </w:r>
      <w:r>
        <w:rPr>
          <w:rtl w:val="true"/>
        </w:rPr>
        <w:t>לעיקרי</w:t>
      </w:r>
      <w:r>
        <w:rPr>
          <w:rFonts w:eastAsia="Arial TUR" w:cs="Arial TUR"/>
          <w:rtl w:val="true"/>
        </w:rPr>
        <w:t xml:space="preserve"> </w:t>
      </w:r>
      <w:r>
        <w:rPr>
          <w:rtl w:val="true"/>
        </w:rPr>
        <w:t>גרסת</w:t>
      </w:r>
      <w:r>
        <w:rPr>
          <w:rFonts w:eastAsia="Arial TUR" w:cs="Arial TUR"/>
          <w:rtl w:val="true"/>
        </w:rPr>
        <w:t xml:space="preserve"> </w:t>
      </w:r>
      <w:r>
        <w:rPr>
          <w:rtl w:val="true"/>
        </w:rPr>
        <w:t>הנאשם</w:t>
      </w:r>
      <w:r>
        <w:rPr>
          <w:rFonts w:eastAsia="Arial TUR" w:cs="Arial TUR"/>
          <w:rtl w:val="true"/>
        </w:rPr>
        <w:t xml:space="preserve"> </w:t>
      </w:r>
      <w:r>
        <w:rPr>
          <w:rtl w:val="true"/>
        </w:rPr>
        <w:t>ניכרו</w:t>
      </w:r>
      <w:r>
        <w:rPr>
          <w:rFonts w:eastAsia="Arial TUR" w:cs="Arial TUR"/>
          <w:rtl w:val="true"/>
        </w:rPr>
        <w:t xml:space="preserve"> </w:t>
      </w:r>
      <w:r>
        <w:rPr>
          <w:rtl w:val="true"/>
        </w:rPr>
        <w:t>לעין</w:t>
      </w:r>
      <w:r>
        <w:rPr>
          <w:rtl w:val="true"/>
        </w:rPr>
        <w:t xml:space="preserve">. </w:t>
      </w:r>
      <w:r>
        <w:rPr>
          <w:rtl w:val="true"/>
        </w:rPr>
        <w:t>הוכח</w:t>
      </w:r>
      <w:r>
        <w:rP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מהסס</w:t>
      </w:r>
      <w:r>
        <w:rPr>
          <w:rFonts w:eastAsia="Arial TUR" w:cs="Arial TUR"/>
          <w:rtl w:val="true"/>
        </w:rPr>
        <w:t xml:space="preserve"> </w:t>
      </w:r>
      <w:r>
        <w:rPr>
          <w:rtl w:val="true"/>
        </w:rPr>
        <w:t>לשקר</w:t>
      </w:r>
      <w:r>
        <w:rPr>
          <w:rFonts w:eastAsia="Arial TUR" w:cs="Arial TUR"/>
          <w:rtl w:val="true"/>
        </w:rPr>
        <w:t xml:space="preserve"> </w:t>
      </w:r>
      <w:r>
        <w:rPr>
          <w:rtl w:val="true"/>
        </w:rPr>
        <w:t>לתועלתו</w:t>
      </w:r>
      <w:r>
        <w:rPr>
          <w:rtl w:val="true"/>
        </w:rPr>
        <w:t xml:space="preserve">, </w:t>
      </w:r>
      <w:r>
        <w:rPr>
          <w:rtl w:val="true"/>
        </w:rPr>
        <w:t>כשם</w:t>
      </w:r>
      <w:r>
        <w:rPr>
          <w:rFonts w:eastAsia="Arial TUR" w:cs="Arial TUR"/>
          <w:rtl w:val="true"/>
        </w:rPr>
        <w:t xml:space="preserve"> </w:t>
      </w:r>
      <w:r>
        <w:rPr>
          <w:rtl w:val="true"/>
        </w:rPr>
        <w:t>שלא</w:t>
      </w:r>
      <w:r>
        <w:rPr>
          <w:rFonts w:eastAsia="Arial TUR" w:cs="Arial TUR"/>
          <w:rtl w:val="true"/>
        </w:rPr>
        <w:t xml:space="preserve"> </w:t>
      </w:r>
      <w:r>
        <w:rPr>
          <w:rtl w:val="true"/>
        </w:rPr>
        <w:t>היסס</w:t>
      </w:r>
      <w:r>
        <w:rPr>
          <w:rFonts w:eastAsia="Arial TUR" w:cs="Arial TUR"/>
          <w:rtl w:val="true"/>
        </w:rPr>
        <w:t xml:space="preserve"> </w:t>
      </w:r>
      <w:r>
        <w:rPr>
          <w:rtl w:val="true"/>
        </w:rPr>
        <w:t>לנצל</w:t>
      </w:r>
      <w:r>
        <w:rPr>
          <w:rFonts w:eastAsia="Arial TUR" w:cs="Arial TUR"/>
          <w:rtl w:val="true"/>
        </w:rPr>
        <w:t xml:space="preserve"> </w:t>
      </w:r>
      <w:r>
        <w:rPr>
          <w:rtl w:val="true"/>
        </w:rPr>
        <w:t>לתועלתו</w:t>
      </w:r>
      <w:r>
        <w:rPr>
          <w:rFonts w:eastAsia="Arial TUR" w:cs="Arial TUR"/>
          <w:rtl w:val="true"/>
        </w:rPr>
        <w:t xml:space="preserve"> </w:t>
      </w:r>
      <w:r>
        <w:rPr>
          <w:rtl w:val="true"/>
        </w:rPr>
        <w:t>את</w:t>
      </w:r>
      <w:r>
        <w:rPr>
          <w:rFonts w:eastAsia="Arial TUR" w:cs="Arial TUR"/>
          <w:rtl w:val="true"/>
        </w:rPr>
        <w:t xml:space="preserve"> </w:t>
      </w:r>
      <w:r>
        <w:rPr>
          <w:rtl w:val="true"/>
        </w:rPr>
        <w:t>פערי</w:t>
      </w:r>
      <w:r>
        <w:rPr>
          <w:rFonts w:eastAsia="Arial TUR" w:cs="Arial TUR"/>
          <w:rtl w:val="true"/>
        </w:rPr>
        <w:t xml:space="preserve"> </w:t>
      </w:r>
      <w:r>
        <w:rPr>
          <w:rtl w:val="true"/>
        </w:rPr>
        <w:t>הכוחות</w:t>
      </w:r>
      <w:r>
        <w:rPr>
          <w:rFonts w:eastAsia="Arial TUR" w:cs="Arial TUR"/>
          <w:rtl w:val="true"/>
        </w:rPr>
        <w:t xml:space="preserve"> </w:t>
      </w:r>
      <w:r>
        <w:rPr>
          <w:rtl w:val="true"/>
        </w:rPr>
        <w:t>בינו</w:t>
      </w:r>
      <w:r>
        <w:rPr>
          <w:rFonts w:eastAsia="Arial TUR" w:cs="Arial TUR"/>
          <w:rtl w:val="true"/>
        </w:rPr>
        <w:t xml:space="preserve"> </w:t>
      </w:r>
      <w:r>
        <w:rPr>
          <w:rtl w:val="true"/>
        </w:rPr>
        <w:t>למתלוננת</w:t>
      </w:r>
      <w:r>
        <w:rPr>
          <w:rFonts w:eastAsia="Arial TUR" w:cs="Arial TUR"/>
          <w:rtl w:val="true"/>
        </w:rPr>
        <w:t xml:space="preserve"> </w:t>
      </w:r>
      <w:r>
        <w:rPr>
          <w:rtl w:val="true"/>
        </w:rPr>
        <w:t>כמו</w:t>
      </w:r>
      <w:r>
        <w:rPr>
          <w:rFonts w:eastAsia="Arial TUR" w:cs="Arial TUR"/>
          <w:rtl w:val="true"/>
        </w:rPr>
        <w:t xml:space="preserve"> </w:t>
      </w:r>
      <w:r>
        <w:rPr>
          <w:rtl w:val="true"/>
        </w:rPr>
        <w:t>את</w:t>
      </w:r>
      <w:r>
        <w:rPr>
          <w:rFonts w:eastAsia="Arial TUR" w:cs="Arial TUR"/>
          <w:rtl w:val="true"/>
        </w:rPr>
        <w:t xml:space="preserve"> </w:t>
      </w:r>
      <w:r>
        <w:rPr>
          <w:rtl w:val="true"/>
        </w:rPr>
        <w:t>הערכתו</w:t>
      </w:r>
      <w:r>
        <w:rP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תהווה</w:t>
      </w:r>
      <w:r>
        <w:rPr>
          <w:rFonts w:eastAsia="Arial TUR" w:cs="Arial TUR"/>
          <w:rtl w:val="true"/>
        </w:rPr>
        <w:t xml:space="preserve"> </w:t>
      </w:r>
      <w:r>
        <w:rPr>
          <w:rtl w:val="true"/>
        </w:rPr>
        <w:t>"</w:t>
      </w:r>
      <w:r>
        <w:rPr>
          <w:rtl w:val="true"/>
        </w:rPr>
        <w:t>טרף</w:t>
      </w:r>
      <w:r>
        <w:rPr>
          <w:rFonts w:eastAsia="Arial TUR" w:cs="Arial TUR"/>
          <w:rtl w:val="true"/>
        </w:rPr>
        <w:t xml:space="preserve"> </w:t>
      </w:r>
      <w:r>
        <w:rPr>
          <w:rtl w:val="true"/>
        </w:rPr>
        <w:t>קל</w:t>
      </w:r>
      <w:r>
        <w:rPr>
          <w:rtl w:val="true"/>
        </w:rPr>
        <w:t xml:space="preserve">" </w:t>
      </w:r>
      <w:r>
        <w:rPr>
          <w:rtl w:val="true"/>
        </w:rPr>
        <w:t>לסיפוק</w:t>
      </w:r>
      <w:r>
        <w:rPr>
          <w:rFonts w:eastAsia="Arial TUR" w:cs="Arial TUR"/>
          <w:rtl w:val="true"/>
        </w:rPr>
        <w:t xml:space="preserve"> </w:t>
      </w:r>
      <w:r>
        <w:rPr>
          <w:rtl w:val="true"/>
        </w:rPr>
        <w:t>צרכיו</w:t>
      </w:r>
      <w:r>
        <w:rPr>
          <w:rFonts w:eastAsia="Arial TUR" w:cs="Arial TUR"/>
          <w:rtl w:val="true"/>
        </w:rPr>
        <w:t xml:space="preserve"> </w:t>
      </w:r>
      <w:r>
        <w:rPr>
          <w:rtl w:val="true"/>
        </w:rPr>
        <w:t>הנלוזים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יתר על כן</w:t>
      </w:r>
      <w:r>
        <w:rPr>
          <w:rtl w:val="true"/>
        </w:rPr>
        <w:t>,</w:t>
      </w:r>
      <w:r>
        <w:rPr>
          <w:rtl w:val="true"/>
        </w:rPr>
        <w:t xml:space="preserve"> </w:t>
      </w:r>
      <w:r>
        <w:rPr>
          <w:rtl w:val="true"/>
        </w:rPr>
        <w:t xml:space="preserve">בית המשפט קמא </w:t>
      </w:r>
      <w:r>
        <w:rPr>
          <w:rtl w:val="true"/>
        </w:rPr>
        <w:t>הוסיף וקבע כי קיימות ראיות התומכות בעדות המתלוננת</w:t>
      </w:r>
      <w:r>
        <w:rPr>
          <w:rtl w:val="true"/>
        </w:rPr>
        <w:t xml:space="preserve">, </w:t>
      </w:r>
      <w:r>
        <w:rPr>
          <w:rtl w:val="true"/>
        </w:rPr>
        <w:t xml:space="preserve">ובהן </w:t>
      </w:r>
      <w:r>
        <w:rPr>
          <w:rtl w:val="true"/>
        </w:rPr>
        <w:t>הסרטון שצולם על ידה במהלכו של המפגש</w:t>
      </w:r>
      <w:r>
        <w:rPr>
          <w:rtl w:val="true"/>
        </w:rPr>
        <w:t xml:space="preserve">, </w:t>
      </w:r>
      <w:r>
        <w:rPr>
          <w:rtl w:val="true"/>
        </w:rPr>
        <w:t>ללא ידיעת המשיב</w:t>
      </w:r>
      <w:r>
        <w:rPr>
          <w:rtl w:val="true"/>
        </w:rPr>
        <w:t xml:space="preserve">, </w:t>
      </w:r>
      <w:r>
        <w:rPr>
          <w:rtl w:val="true"/>
        </w:rPr>
        <w:t xml:space="preserve">ואשר תיעד חלק משהותם בצימר </w:t>
      </w:r>
      <w:r>
        <w:rPr>
          <w:rtl w:val="true"/>
        </w:rPr>
        <w:t>(</w:t>
      </w:r>
      <w:r>
        <w:rPr>
          <w:rtl w:val="true"/>
        </w:rPr>
        <w:t>להלן</w:t>
      </w:r>
      <w:r>
        <w:rPr>
          <w:rtl w:val="true"/>
        </w:rPr>
        <w:t xml:space="preserve">: </w:t>
      </w:r>
      <w:r>
        <w:rPr>
          <w:rFonts w:ascii="Century" w:hAnsi="Century" w:cs="Miriam"/>
          <w:b/>
          <w:b/>
          <w:spacing w:val="0"/>
          <w:sz w:val="22"/>
          <w:sz w:val="22"/>
          <w:szCs w:val="24"/>
          <w:rtl w:val="true"/>
        </w:rPr>
        <w:t>הסרטון</w:t>
      </w:r>
      <w:r>
        <w:rPr>
          <w:rtl w:val="true"/>
        </w:rPr>
        <w:t>);</w:t>
      </w:r>
      <w:r>
        <w:rPr>
          <w:rtl w:val="true"/>
        </w:rPr>
        <w:t xml:space="preserve"> </w:t>
      </w:r>
      <w:r>
        <w:rPr>
          <w:rtl w:val="true"/>
        </w:rPr>
        <w:t>דיסק ההובלה והצבעה שנערך עם המתלוננת</w:t>
      </w:r>
      <w:r>
        <w:rPr>
          <w:rtl w:val="true"/>
        </w:rPr>
        <w:t xml:space="preserve">; </w:t>
      </w:r>
      <w:r>
        <w:rPr>
          <w:rtl w:val="true"/>
        </w:rPr>
        <w:t xml:space="preserve">וכן </w:t>
      </w:r>
      <w:r>
        <w:rPr>
          <w:rtl w:val="true"/>
        </w:rPr>
        <w:t xml:space="preserve">עדויות </w:t>
      </w:r>
      <w:r>
        <w:rPr>
          <w:rtl w:val="true"/>
        </w:rPr>
        <w:t xml:space="preserve">אודות מצבה הנפשי </w:t>
      </w:r>
      <w:r>
        <w:rPr>
          <w:rtl w:val="true"/>
        </w:rPr>
        <w:t xml:space="preserve">בעת חשיפת המעשים </w:t>
      </w:r>
      <w:r>
        <w:rPr>
          <w:rtl w:val="true"/>
        </w:rPr>
        <w:t xml:space="preserve">סמוך לאחר האירוע </w:t>
      </w:r>
      <w:r>
        <w:rPr>
          <w:rtl w:val="true"/>
        </w:rPr>
        <w:t xml:space="preserve">בפני </w:t>
      </w:r>
      <w:r>
        <w:rPr>
          <w:rtl w:val="true"/>
        </w:rPr>
        <w:t>גורמים שונים</w:t>
      </w:r>
      <w:r>
        <w:rPr>
          <w:rtl w:val="true"/>
        </w:rPr>
        <w:t xml:space="preserve">, </w:t>
      </w:r>
      <w:r>
        <w:rPr>
          <w:rtl w:val="true"/>
        </w:rPr>
        <w:t xml:space="preserve">במהלכם </w:t>
      </w:r>
      <w:r>
        <w:rPr>
          <w:rtl w:val="true"/>
        </w:rPr>
        <w:t>עמדה על גרסתה באופן אמי</w:t>
      </w:r>
      <w:r>
        <w:rPr>
          <w:rtl w:val="true"/>
        </w:rPr>
        <w:t>ן</w:t>
      </w:r>
      <w:r>
        <w:rPr>
          <w:rtl w:val="true"/>
        </w:rPr>
        <w:t>.</w:t>
      </w:r>
    </w:p>
    <w:p>
      <w:pPr>
        <w:pStyle w:val="Ruller42"/>
        <w:numPr>
          <w:ilvl w:val="0"/>
          <w:numId w:val="0"/>
        </w:numPr>
        <w:ind w:hanging="0" w:start="0" w:end="0"/>
        <w:jc w:val="both"/>
        <w:rPr>
          <w:rFonts w:ascii="FrankRuehl" w:hAnsi="FrankRuehl" w:cs="FrankRuehl"/>
          <w:sz w:val="28"/>
        </w:rPr>
      </w:pPr>
      <w:r>
        <w:rPr>
          <w:rFonts w:cs="FrankRuehl" w:ascii="FrankRuehl" w:hAnsi="FrankRuehl"/>
          <w:sz w:val="28"/>
          <w:rtl w:val="true"/>
        </w:rPr>
      </w:r>
    </w:p>
    <w:p>
      <w:pPr>
        <w:pStyle w:val="Ruller42"/>
        <w:numPr>
          <w:ilvl w:val="0"/>
          <w:numId w:val="1"/>
        </w:numPr>
        <w:ind w:hanging="0" w:start="0" w:end="0"/>
        <w:jc w:val="both"/>
        <w:rPr>
          <w:rFonts w:ascii="FrankRuehl" w:hAnsi="FrankRuehl" w:cs="FrankRuehl"/>
          <w:sz w:val="28"/>
        </w:rPr>
      </w:pPr>
      <w:r>
        <w:rPr>
          <w:rtl w:val="true"/>
        </w:rPr>
        <w:t>לצד האמור</w:t>
      </w:r>
      <w:r>
        <w:rPr>
          <w:rtl w:val="true"/>
        </w:rPr>
        <w:t xml:space="preserve">, </w:t>
      </w:r>
      <w:r>
        <w:rPr>
          <w:rtl w:val="true"/>
        </w:rPr>
        <w:t xml:space="preserve">עמד בית המשפט המחוזי על קשיים מסוימים וסתירות אחדות שעלו בגרסת המתלוננת </w:t>
      </w:r>
      <w:r>
        <w:rPr>
          <w:rtl w:val="true"/>
        </w:rPr>
        <w:t>ובחומר הראיות</w:t>
      </w:r>
      <w:r>
        <w:rPr>
          <w:rtl w:val="true"/>
        </w:rPr>
        <w:t xml:space="preserve">, </w:t>
      </w:r>
      <w:r>
        <w:rPr>
          <w:rtl w:val="true"/>
        </w:rPr>
        <w:t>וזיכה את המשיב כאמור מהעבירות הנוספות בהן הואשם</w:t>
      </w:r>
      <w:r>
        <w:rPr>
          <w:rtl w:val="true"/>
        </w:rPr>
        <w:t xml:space="preserve">. </w:t>
      </w:r>
      <w:r>
        <w:rPr>
          <w:rtl w:val="true"/>
        </w:rPr>
        <w:t>זאת</w:t>
      </w:r>
      <w:r>
        <w:rPr>
          <w:rtl w:val="true"/>
        </w:rPr>
        <w:t>,</w:t>
      </w:r>
      <w:r>
        <w:rPr>
          <w:rFonts w:cs="FrankRuehl" w:ascii="FrankRuehl" w:hAnsi="FrankRuehl"/>
          <w:sz w:val="28"/>
          <w:rtl w:val="true"/>
        </w:rPr>
        <w:t xml:space="preserve"> </w:t>
      </w:r>
      <w:r>
        <w:rPr>
          <w:rFonts w:ascii="FrankRuehl" w:hAnsi="FrankRuehl" w:cs="FrankRuehl"/>
          <w:sz w:val="28"/>
          <w:sz w:val="28"/>
          <w:rtl w:val="true"/>
        </w:rPr>
        <w:t>תוך שהודגש כי אין בכך כדי לגרוע ממהימנות</w:t>
      </w:r>
      <w:r>
        <w:rPr>
          <w:rFonts w:ascii="FrankRuehl" w:hAnsi="FrankRuehl" w:cs="FrankRuehl"/>
          <w:sz w:val="28"/>
          <w:sz w:val="28"/>
          <w:rtl w:val="true"/>
        </w:rPr>
        <w:t>ה המלאה של המתלוננת</w:t>
      </w:r>
      <w:r>
        <w:rPr>
          <w:rFonts w:ascii="FrankRuehl" w:hAnsi="FrankRuehl" w:cs="FrankRuehl"/>
          <w:sz w:val="28"/>
          <w:sz w:val="28"/>
          <w:rtl w:val="true"/>
        </w:rPr>
        <w:t xml:space="preserve"> וכדי להקים ספק בכל הנוגע למעשים </w:t>
      </w:r>
      <w:r>
        <w:rPr>
          <w:rFonts w:ascii="FrankRuehl" w:hAnsi="FrankRuehl" w:cs="FrankRuehl"/>
          <w:sz w:val="28"/>
          <w:sz w:val="28"/>
          <w:rtl w:val="true"/>
        </w:rPr>
        <w:t>האחרים בהם הורשע</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2"/>
        <w:numPr>
          <w:ilvl w:val="0"/>
          <w:numId w:val="1"/>
        </w:numPr>
        <w:ind w:hanging="0" w:start="0" w:end="0"/>
        <w:jc w:val="both"/>
        <w:rPr/>
      </w:pPr>
      <w:r>
        <w:rPr>
          <w:rtl w:val="true"/>
        </w:rPr>
        <w:t>להלן</w:t>
      </w:r>
      <w:r>
        <w:rPr>
          <w:rtl w:val="true"/>
        </w:rPr>
        <w:t xml:space="preserve">, </w:t>
      </w:r>
      <w:r>
        <w:rPr>
          <w:rtl w:val="true"/>
        </w:rPr>
        <w:t>בתמצית</w:t>
      </w:r>
      <w:r>
        <w:rPr>
          <w:rtl w:val="true"/>
        </w:rPr>
        <w:t xml:space="preserve">, </w:t>
      </w:r>
      <w:r>
        <w:rPr>
          <w:rtl w:val="true"/>
        </w:rPr>
        <w:t>עיקריה של הכרעת הדין המזכה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בית המשפט המחוזי זיכה את המשיב ממעשה האינוס של החדרת האצבעות לאיבר מינה של המתלוננת ומהמעשה המגונה של כפיית ידה על איבר מינו</w:t>
      </w:r>
      <w:r>
        <w:rPr>
          <w:rtl w:val="true"/>
        </w:rPr>
        <w:t xml:space="preserve">, </w:t>
      </w:r>
      <w:r>
        <w:rPr>
          <w:rtl w:val="true"/>
        </w:rPr>
        <w:t>לאחר שקבע כי נותר ספק קל</w:t>
      </w:r>
      <w:r>
        <w:rPr>
          <w:rtl w:val="true"/>
        </w:rPr>
        <w:t xml:space="preserve">, </w:t>
      </w:r>
      <w:r>
        <w:rPr>
          <w:rtl w:val="true"/>
        </w:rPr>
        <w:t>ברם ממשי</w:t>
      </w:r>
      <w:r>
        <w:rPr>
          <w:rtl w:val="true"/>
        </w:rPr>
        <w:t xml:space="preserve">, </w:t>
      </w:r>
      <w:r>
        <w:rPr>
          <w:rtl w:val="true"/>
        </w:rPr>
        <w:t>בדבר אשמתו של המשיב</w:t>
      </w:r>
      <w:r>
        <w:rPr>
          <w:rtl w:val="true"/>
        </w:rPr>
        <w:t xml:space="preserve">, </w:t>
      </w:r>
      <w:r>
        <w:rPr>
          <w:rtl w:val="true"/>
        </w:rPr>
        <w:t>זאת על רקע שני בקיעים מרכזיים</w:t>
      </w:r>
      <w:r>
        <w:rPr>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חוסר הבהירות בגרסת המתלוננת בשאלה האם המעשים בוצעו </w:t>
      </w:r>
      <w:r>
        <w:rPr>
          <w:rtl w:val="true"/>
        </w:rPr>
        <w:t>(</w:t>
      </w:r>
      <w:r>
        <w:rPr>
          <w:rtl w:val="true"/>
        </w:rPr>
        <w:t>גם</w:t>
      </w:r>
      <w:r>
        <w:rPr>
          <w:rtl w:val="true"/>
        </w:rPr>
        <w:t xml:space="preserve">) </w:t>
      </w:r>
      <w:r>
        <w:rPr>
          <w:rtl w:val="true"/>
        </w:rPr>
        <w:t>תוך כדי צילום הסרטון או רק לפניו</w:t>
      </w:r>
      <w:r>
        <w:rPr>
          <w:rtl w:val="true"/>
        </w:rPr>
        <w:t xml:space="preserve">; </w:t>
      </w:r>
      <w:r>
        <w:rPr>
          <w:rtl w:val="true"/>
        </w:rPr>
        <w:t>ו</w:t>
      </w:r>
      <w:r>
        <w:rPr>
          <w:rFonts w:ascii="Century" w:hAnsi="Century" w:cs="Miriam"/>
          <w:b/>
          <w:b/>
          <w:spacing w:val="0"/>
          <w:sz w:val="22"/>
          <w:sz w:val="22"/>
          <w:szCs w:val="24"/>
          <w:rtl w:val="true"/>
        </w:rPr>
        <w:t>השני</w:t>
      </w:r>
      <w:r>
        <w:rPr>
          <w:rtl w:val="true"/>
        </w:rPr>
        <w:t xml:space="preserve">, </w:t>
      </w:r>
      <w:r>
        <w:rPr>
          <w:rtl w:val="true"/>
        </w:rPr>
        <w:t>תוכן הסרטון</w:t>
      </w:r>
      <w:r>
        <w:rPr>
          <w:rtl w:val="true"/>
        </w:rPr>
        <w:t xml:space="preserve">, </w:t>
      </w:r>
      <w:r>
        <w:rPr>
          <w:rtl w:val="true"/>
        </w:rPr>
        <w:t>אשר מתיישב בחלקו עם האפשרות שמעשיו של המשיב לא חרגו מ</w:t>
      </w:r>
      <w:r>
        <w:rPr>
          <w:rtl w:val="true"/>
        </w:rPr>
        <w:t>"</w:t>
      </w:r>
      <w:r>
        <w:rPr>
          <w:rtl w:val="true"/>
        </w:rPr>
        <w:t>ניסיונות</w:t>
      </w:r>
      <w:r>
        <w:rPr>
          <w:rtl w:val="true"/>
        </w:rPr>
        <w:t xml:space="preserve">" </w:t>
      </w:r>
      <w:r>
        <w:rPr>
          <w:rtl w:val="true"/>
        </w:rPr>
        <w:t>גרידא</w:t>
      </w:r>
      <w:r>
        <w:rPr>
          <w:rtl w:val="true"/>
        </w:rPr>
        <w:t xml:space="preserve">. </w:t>
      </w:r>
      <w:r>
        <w:rPr>
          <w:rtl w:val="true"/>
        </w:rPr>
        <w:t>בנוסף עמד בית המשפט המחוזי על קשיים נוספים שעלו מחומר הראיות</w:t>
      </w:r>
      <w:r>
        <w:rPr>
          <w:rtl w:val="true"/>
        </w:rPr>
        <w:t xml:space="preserve">. </w:t>
      </w:r>
      <w:r>
        <w:rPr>
          <w:rtl w:val="true"/>
        </w:rPr>
        <w:t>בתוך כך</w:t>
      </w:r>
      <w:r>
        <w:rPr>
          <w:rtl w:val="true"/>
        </w:rPr>
        <w:t xml:space="preserve">, </w:t>
      </w:r>
      <w:r>
        <w:rPr>
          <w:rtl w:val="true"/>
        </w:rPr>
        <w:t>גרסת המתלוננת בפני עדי התביעה אשר נעדרה כל אינדיקציה למעשה החדרת האצבעות לאיבר מינה ולמעשה כפיית מגע באיבר מינו של המשיב</w:t>
      </w:r>
      <w:r>
        <w:rPr>
          <w:rtl w:val="true"/>
        </w:rPr>
        <w:t xml:space="preserve">. </w:t>
      </w:r>
      <w:r>
        <w:rPr>
          <w:rtl w:val="true"/>
        </w:rPr>
        <w:t>בנוסף</w:t>
      </w:r>
      <w:r>
        <w:rPr>
          <w:rtl w:val="true"/>
        </w:rPr>
        <w:t xml:space="preserve">, </w:t>
      </w:r>
      <w:r>
        <w:rPr>
          <w:rtl w:val="true"/>
        </w:rPr>
        <w:t>חוסר בהירות בגרסת המתלוננת בפני החוקרת יערית בכל הנוגע למעשה החדרת האצבעות לאיבר מינה</w:t>
      </w:r>
      <w:r>
        <w:rPr>
          <w:rtl w:val="true"/>
        </w:rPr>
        <w:t xml:space="preserve">. </w:t>
      </w:r>
      <w:r>
        <w:rPr>
          <w:rtl w:val="true"/>
        </w:rPr>
        <w:t>חוסר בהירות זה נוצר על רקע הספק שנותר האם המתלוננת טענה כי המשיב החדיר אצבעותיו לאיבר מינה או שמא התכוונה שהכניס אצבעותיו מתחת למכנסיה</w:t>
      </w:r>
      <w:r>
        <w:rPr>
          <w:rtl w:val="true"/>
        </w:rPr>
        <w:t xml:space="preserve">, </w:t>
      </w:r>
      <w:r>
        <w:rPr>
          <w:rtl w:val="true"/>
        </w:rPr>
        <w:t>מבלי להחדירן לאיבר מינה</w:t>
      </w:r>
      <w:r>
        <w:rPr>
          <w:rtl w:val="true"/>
        </w:rPr>
        <w:t xml:space="preserve">. </w:t>
      </w:r>
      <w:r>
        <w:rPr>
          <w:rtl w:val="true"/>
        </w:rPr>
        <w:t>זאת ועוד</w:t>
      </w:r>
      <w:r>
        <w:rPr>
          <w:rtl w:val="true"/>
        </w:rPr>
        <w:t xml:space="preserve">, </w:t>
      </w:r>
      <w:r>
        <w:rPr>
          <w:rtl w:val="true"/>
        </w:rPr>
        <w:t>המתלוננת לא נבדקה גופנית בסמוך לאירוע</w:t>
      </w:r>
      <w:r>
        <w:rPr>
          <w:rtl w:val="true"/>
        </w:rPr>
        <w:t xml:space="preserve">, </w:t>
      </w:r>
      <w:r>
        <w:rPr>
          <w:rtl w:val="true"/>
        </w:rPr>
        <w:t>על אף שטענה בעדותה כי חוותה כאב בעת ביצוע המעשים</w:t>
      </w:r>
      <w:r>
        <w:rPr>
          <w:rtl w:val="true"/>
        </w:rPr>
        <w:t xml:space="preserve">. </w:t>
      </w:r>
      <w:r>
        <w:rPr>
          <w:rtl w:val="true"/>
        </w:rPr>
        <w:t>בית המשפט קמא סבר כי הגם שאין בהיעדרו של ממצא בבדיקה גופנית</w:t>
      </w:r>
      <w:r>
        <w:rPr>
          <w:rtl w:val="true"/>
        </w:rPr>
        <w:t xml:space="preserve">, </w:t>
      </w:r>
      <w:r>
        <w:rPr>
          <w:rtl w:val="true"/>
        </w:rPr>
        <w:t>ככל שהייתה מבוצעת למתלוננת</w:t>
      </w:r>
      <w:r>
        <w:rPr>
          <w:rtl w:val="true"/>
        </w:rPr>
        <w:t xml:space="preserve">, </w:t>
      </w:r>
      <w:r>
        <w:rPr>
          <w:rtl w:val="true"/>
        </w:rPr>
        <w:t>כדי להעיד על כך שהמעשה המיוחס למשיב לא בוצע על ידו</w:t>
      </w:r>
      <w:r>
        <w:rPr>
          <w:rtl w:val="true"/>
        </w:rPr>
        <w:t xml:space="preserve">, </w:t>
      </w:r>
      <w:r>
        <w:rPr>
          <w:rtl w:val="true"/>
        </w:rPr>
        <w:t>עדיין היעדרו של ממצא לחובת המשיב בעניין זה מצטבר לספקות שלעיל</w:t>
      </w:r>
      <w:r>
        <w:rPr>
          <w:rtl w:val="true"/>
        </w:rPr>
        <w:t xml:space="preserve">. </w:t>
      </w:r>
      <w:r>
        <w:rPr>
          <w:rtl w:val="true"/>
        </w:rPr>
        <w:t>לנוכח האמור</w:t>
      </w:r>
      <w:r>
        <w:rPr>
          <w:rtl w:val="true"/>
        </w:rPr>
        <w:t xml:space="preserve">, </w:t>
      </w:r>
      <w:r>
        <w:rPr>
          <w:rtl w:val="true"/>
        </w:rPr>
        <w:t>סבר בית המשפט קמא כי המדינה לא הרימה את הנטל המוטל עליה להוכיח</w:t>
      </w:r>
      <w:r>
        <w:rPr>
          <w:rtl w:val="true"/>
        </w:rPr>
        <w:t xml:space="preserve">, </w:t>
      </w:r>
      <w:r>
        <w:rPr>
          <w:rtl w:val="true"/>
        </w:rPr>
        <w:t>מעבר לכל ספק סביר</w:t>
      </w:r>
      <w:r>
        <w:rPr>
          <w:rtl w:val="true"/>
        </w:rPr>
        <w:t xml:space="preserve">, </w:t>
      </w:r>
      <w:r>
        <w:rPr>
          <w:rtl w:val="true"/>
        </w:rPr>
        <w:t>כי המשיב ביצע את מעשה החדרת האצבעות שיוחס לו</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בנוסף</w:t>
      </w:r>
      <w:r>
        <w:rPr>
          <w:rtl w:val="true"/>
        </w:rPr>
        <w:t xml:space="preserve">, </w:t>
      </w:r>
      <w:r>
        <w:rPr>
          <w:rtl w:val="true"/>
        </w:rPr>
        <w:t>זיכה בית המשפט המחוזי את המשיב</w:t>
      </w:r>
      <w:r>
        <w:rPr>
          <w:rtl w:val="true"/>
        </w:rPr>
        <w:t xml:space="preserve">, </w:t>
      </w:r>
      <w:r>
        <w:rPr>
          <w:rtl w:val="true"/>
        </w:rPr>
        <w:t>מחמת הספק</w:t>
      </w:r>
      <w:r>
        <w:rPr>
          <w:rtl w:val="true"/>
        </w:rPr>
        <w:t xml:space="preserve">, </w:t>
      </w:r>
      <w:r>
        <w:rPr>
          <w:rtl w:val="true"/>
        </w:rPr>
        <w:t>מעבירת חטיפה לשם ביצוע עבירת מין</w:t>
      </w:r>
      <w:r>
        <w:rPr>
          <w:rtl w:val="true"/>
        </w:rPr>
        <w:t xml:space="preserve">, </w:t>
      </w:r>
      <w:r>
        <w:rPr>
          <w:rtl w:val="true"/>
        </w:rPr>
        <w:t>לאחר שקבע כי יסוד שלילת החירות שבעבירת החטיפה אינו מתקיים</w:t>
      </w:r>
      <w:r>
        <w:rPr>
          <w:rtl w:val="true"/>
        </w:rPr>
        <w:t xml:space="preserve">. </w:t>
      </w:r>
      <w:r>
        <w:rPr>
          <w:rtl w:val="true"/>
        </w:rPr>
        <w:t>אמנם</w:t>
      </w:r>
      <w:r>
        <w:rPr>
          <w:rtl w:val="true"/>
        </w:rPr>
        <w:t xml:space="preserve">, </w:t>
      </w:r>
      <w:r>
        <w:rPr>
          <w:rtl w:val="true"/>
        </w:rPr>
        <w:t>נקבע כי המתלוננת פותתה על ידי המשיב</w:t>
      </w:r>
      <w:r>
        <w:rPr>
          <w:rtl w:val="true"/>
        </w:rPr>
        <w:t xml:space="preserve">, </w:t>
      </w:r>
      <w:r>
        <w:rPr>
          <w:rtl w:val="true"/>
        </w:rPr>
        <w:t>באמצעי תרמית</w:t>
      </w:r>
      <w:r>
        <w:rPr>
          <w:rtl w:val="true"/>
        </w:rPr>
        <w:t xml:space="preserve">, </w:t>
      </w:r>
      <w:r>
        <w:rPr>
          <w:rtl w:val="true"/>
        </w:rPr>
        <w:t>לנסוע עימו לצימר</w:t>
      </w:r>
      <w:r>
        <w:rPr>
          <w:rtl w:val="true"/>
        </w:rPr>
        <w:t xml:space="preserve">, </w:t>
      </w:r>
      <w:r>
        <w:rPr>
          <w:rtl w:val="true"/>
        </w:rPr>
        <w:t xml:space="preserve">וכי בשלב בו התבררה לה התרמית </w:t>
      </w:r>
      <w:r>
        <w:rPr>
          <w:rtl w:val="true"/>
        </w:rPr>
        <w:t>(</w:t>
      </w:r>
      <w:r>
        <w:rPr>
          <w:rtl w:val="true"/>
        </w:rPr>
        <w:t>היינו</w:t>
      </w:r>
      <w:r>
        <w:rPr>
          <w:rtl w:val="true"/>
        </w:rPr>
        <w:t xml:space="preserve">, </w:t>
      </w:r>
      <w:r>
        <w:rPr>
          <w:rtl w:val="true"/>
        </w:rPr>
        <w:t>כי המשיב לא הביאה לצימר למטרת ביצוע עבודה נוספת אלא לשם קיום יחסי מין</w:t>
      </w:r>
      <w:r>
        <w:rPr>
          <w:rtl w:val="true"/>
        </w:rPr>
        <w:t xml:space="preserve">), </w:t>
      </w:r>
      <w:r>
        <w:rPr>
          <w:rtl w:val="true"/>
        </w:rPr>
        <w:t>ואף במהלך שהותם בצימר</w:t>
      </w:r>
      <w:r>
        <w:rPr>
          <w:rtl w:val="true"/>
        </w:rPr>
        <w:t xml:space="preserve">, </w:t>
      </w:r>
      <w:r>
        <w:rPr>
          <w:rtl w:val="true"/>
        </w:rPr>
        <w:t>הוגבלה חירותה</w:t>
      </w:r>
      <w:r>
        <w:rPr>
          <w:rtl w:val="true"/>
        </w:rPr>
        <w:t xml:space="preserve">; </w:t>
      </w:r>
      <w:r>
        <w:rPr>
          <w:rtl w:val="true"/>
        </w:rPr>
        <w:t>ואולם</w:t>
      </w:r>
      <w:r>
        <w:rPr>
          <w:rtl w:val="true"/>
        </w:rPr>
        <w:t xml:space="preserve">, </w:t>
      </w:r>
      <w:r>
        <w:rPr>
          <w:rtl w:val="true"/>
        </w:rPr>
        <w:t>להתרשמות בית המשפט קמא</w:t>
      </w:r>
      <w:r>
        <w:rPr>
          <w:rtl w:val="true"/>
        </w:rPr>
        <w:t xml:space="preserve">, </w:t>
      </w:r>
      <w:r>
        <w:rPr>
          <w:rtl w:val="true"/>
        </w:rPr>
        <w:t>נותר ספק האם המשיב פעל לשלול את חירות המתלוננת באופן שאף אם הייתה עומדת נחרצות על רצונה לעזוב את הצימר או לנסות לעשות כן</w:t>
      </w:r>
      <w:r>
        <w:rPr>
          <w:rtl w:val="true"/>
        </w:rPr>
        <w:t xml:space="preserve">, </w:t>
      </w:r>
      <w:r>
        <w:rPr>
          <w:rtl w:val="true"/>
        </w:rPr>
        <w:t>היה מונע זאת ממנה</w:t>
      </w:r>
      <w:r>
        <w:rPr>
          <w:rtl w:val="true"/>
        </w:rPr>
        <w:t xml:space="preserve">. </w:t>
      </w:r>
      <w:r>
        <w:rPr>
          <w:rtl w:val="true"/>
        </w:rPr>
        <w:t>מקורו של ספק זה בהלך רוחו של המשיב</w:t>
      </w:r>
      <w:r>
        <w:rPr>
          <w:rtl w:val="true"/>
        </w:rPr>
        <w:t xml:space="preserve">, </w:t>
      </w:r>
      <w:r>
        <w:rPr>
          <w:rtl w:val="true"/>
        </w:rPr>
        <w:t>כפי שנלמד בסרטון</w:t>
      </w:r>
      <w:r>
        <w:rPr>
          <w:rtl w:val="true"/>
        </w:rPr>
        <w:t xml:space="preserve">, </w:t>
      </w:r>
      <w:r>
        <w:rPr>
          <w:rtl w:val="true"/>
        </w:rPr>
        <w:t>ממנו עלה כי משדרשה המתלוננת שיעזבו את הצימר</w:t>
      </w:r>
      <w:r>
        <w:rPr>
          <w:rtl w:val="true"/>
        </w:rPr>
        <w:t xml:space="preserve">, </w:t>
      </w:r>
      <w:r>
        <w:rPr>
          <w:rtl w:val="true"/>
        </w:rPr>
        <w:t>המשיב לא מנע זאת</w:t>
      </w:r>
      <w:r>
        <w:rPr>
          <w:rtl w:val="true"/>
        </w:rPr>
        <w:t xml:space="preserve">; </w:t>
      </w:r>
      <w:r>
        <w:rPr>
          <w:rtl w:val="true"/>
        </w:rPr>
        <w:t>וכן בשל הספק שנותר לטובת האפשרות שהמפתח הושאר בדלת הצימר לאחר שנעל אותה המשיב</w:t>
      </w:r>
      <w:r>
        <w:rPr>
          <w:rtl w:val="true"/>
        </w:rPr>
        <w:t xml:space="preserve">. </w:t>
      </w:r>
      <w:r>
        <w:rPr>
          <w:rtl w:val="true"/>
        </w:rPr>
        <w:t>בהמשך לכך</w:t>
      </w:r>
      <w:r>
        <w:rPr>
          <w:rtl w:val="true"/>
        </w:rPr>
        <w:t xml:space="preserve">, </w:t>
      </w:r>
      <w:r>
        <w:rPr>
          <w:rtl w:val="true"/>
        </w:rPr>
        <w:t>לאור מסקנתו כי יסודות עבירת החטיפה לא התקיימו</w:t>
      </w:r>
      <w:r>
        <w:rPr>
          <w:rtl w:val="true"/>
        </w:rPr>
        <w:t xml:space="preserve">, </w:t>
      </w:r>
      <w:r>
        <w:rPr>
          <w:rtl w:val="true"/>
        </w:rPr>
        <w:t xml:space="preserve">סבר בית המשפט המחוזי כי ממילא לא נדרש לבחון האם המשיב ביצע עבירת חטיפה </w:t>
      </w:r>
      <w:r>
        <w:rPr>
          <w:rtl w:val="true"/>
        </w:rPr>
        <w:t>"</w:t>
      </w:r>
      <w:r>
        <w:rPr>
          <w:rtl w:val="true"/>
        </w:rPr>
        <w:t>לשם ביצוע עבירת מין</w:t>
      </w:r>
      <w:r>
        <w:rPr>
          <w:rtl w:val="true"/>
        </w:rPr>
        <w:t xml:space="preserve">"; </w:t>
      </w:r>
      <w:r>
        <w:rPr>
          <w:rtl w:val="true"/>
        </w:rPr>
        <w:t>עם זאת</w:t>
      </w:r>
      <w:r>
        <w:rPr>
          <w:rtl w:val="true"/>
        </w:rPr>
        <w:t xml:space="preserve">, </w:t>
      </w:r>
      <w:r>
        <w:rPr>
          <w:rtl w:val="true"/>
        </w:rPr>
        <w:t>ולשם שלמות הדיון</w:t>
      </w:r>
      <w:r>
        <w:rPr>
          <w:rtl w:val="true"/>
        </w:rPr>
        <w:t xml:space="preserve">, </w:t>
      </w:r>
      <w:r>
        <w:rPr>
          <w:rtl w:val="true"/>
        </w:rPr>
        <w:t>דן בית המשפט המחוזי בשאלה זו</w:t>
      </w:r>
      <w:r>
        <w:rPr>
          <w:rtl w:val="true"/>
        </w:rPr>
        <w:t xml:space="preserve">, </w:t>
      </w:r>
      <w:r>
        <w:rPr>
          <w:rtl w:val="true"/>
        </w:rPr>
        <w:t>תוך שציין כי דיון זה נעשה מההיבט התיאורטי ועל בסיס הנחה דיונית כי יתר יסודות עבירת החטיפה הוכחו</w:t>
      </w:r>
      <w:r>
        <w:rPr>
          <w:rtl w:val="true"/>
        </w:rPr>
        <w:t xml:space="preserve">. </w:t>
      </w:r>
      <w:r>
        <w:rPr>
          <w:rtl w:val="true"/>
        </w:rPr>
        <w:t>נקבע כי היסוד הנפשי הדרוש לעבירת החטיפה המחמירה</w:t>
      </w:r>
      <w:r>
        <w:rPr>
          <w:rtl w:val="true"/>
        </w:rPr>
        <w:t xml:space="preserve">, </w:t>
      </w:r>
      <w:r>
        <w:rPr>
          <w:rtl w:val="true"/>
        </w:rPr>
        <w:t>הוא היסוד של כוונה לבצע עבירת מין</w:t>
      </w:r>
      <w:r>
        <w:rPr>
          <w:rtl w:val="true"/>
        </w:rPr>
        <w:t xml:space="preserve">, </w:t>
      </w:r>
      <w:r>
        <w:rPr>
          <w:rtl w:val="true"/>
        </w:rPr>
        <w:t>התגבש אצל המשיב מהשלב ההתחלתי ביותר של רצף האירועים</w:t>
      </w:r>
      <w:r>
        <w:rPr>
          <w:rtl w:val="true"/>
        </w:rPr>
        <w:t xml:space="preserve">, </w:t>
      </w:r>
      <w:r>
        <w:rPr>
          <w:rtl w:val="true"/>
        </w:rPr>
        <w:t>שלב שיחת הטלפון</w:t>
      </w:r>
      <w:r>
        <w:rPr>
          <w:rtl w:val="true"/>
        </w:rPr>
        <w:t xml:space="preserve">. </w:t>
      </w:r>
      <w:r>
        <w:rPr>
          <w:rtl w:val="true"/>
        </w:rPr>
        <w:t>הוטעם כי תקוות המשיב</w:t>
      </w:r>
      <w:r>
        <w:rPr>
          <w:rtl w:val="true"/>
        </w:rPr>
        <w:t xml:space="preserve">, </w:t>
      </w:r>
      <w:r>
        <w:rPr>
          <w:rtl w:val="true"/>
        </w:rPr>
        <w:t>כפי שטען לה</w:t>
      </w:r>
      <w:r>
        <w:rPr>
          <w:rtl w:val="true"/>
        </w:rPr>
        <w:t xml:space="preserve">, </w:t>
      </w:r>
      <w:r>
        <w:rPr>
          <w:rtl w:val="true"/>
        </w:rPr>
        <w:t>כי האירוע יסתיים בהסכמה</w:t>
      </w:r>
      <w:r>
        <w:rPr>
          <w:rtl w:val="true"/>
        </w:rPr>
        <w:t xml:space="preserve">, </w:t>
      </w:r>
      <w:r>
        <w:rPr>
          <w:rtl w:val="true"/>
        </w:rPr>
        <w:t>נעדרה בסיס ואחיזה</w:t>
      </w:r>
      <w:r>
        <w:rPr>
          <w:rtl w:val="true"/>
        </w:rPr>
        <w:t xml:space="preserve">, </w:t>
      </w:r>
      <w:r>
        <w:rPr>
          <w:rtl w:val="true"/>
        </w:rPr>
        <w:t>כפי שהוכיחה אחריתו של המעשה</w:t>
      </w:r>
      <w:r>
        <w:rPr>
          <w:rtl w:val="true"/>
        </w:rPr>
        <w:t xml:space="preserve">, </w:t>
      </w:r>
      <w:r>
        <w:rPr>
          <w:rtl w:val="true"/>
        </w:rPr>
        <w:t>והמשיב צפה בוודאות קרובה כי האירוע יסתיים בכפיית מעשיו המגונים על המתלוננת</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בית המשפט המחוזי זיכה את המשיבה מעבירת כליאת השווא</w:t>
      </w:r>
      <w:r>
        <w:rPr>
          <w:rFonts w:cs="Century" w:ascii="Century" w:hAnsi="Century"/>
          <w:sz w:val="22"/>
          <w:rtl w:val="true"/>
        </w:rPr>
        <w:t xml:space="preserve">, </w:t>
      </w:r>
      <w:r>
        <w:rPr>
          <w:rFonts w:ascii="Century" w:hAnsi="Century" w:cs="Century"/>
          <w:sz w:val="22"/>
          <w:sz w:val="22"/>
          <w:rtl w:val="true"/>
        </w:rPr>
        <w:t>בנמקו</w:t>
      </w:r>
      <w:r>
        <w:rPr>
          <w:rFonts w:cs="Century" w:ascii="Century" w:hAnsi="Century"/>
          <w:sz w:val="22"/>
          <w:rtl w:val="true"/>
        </w:rPr>
        <w:t xml:space="preserve">, </w:t>
      </w:r>
      <w:r>
        <w:rPr>
          <w:rFonts w:ascii="Century" w:hAnsi="Century" w:cs="Century"/>
          <w:sz w:val="22"/>
          <w:sz w:val="22"/>
          <w:rtl w:val="true"/>
        </w:rPr>
        <w:t>כי בהתאם לדיון שקיים ביחס לעבירת החטיפה</w:t>
      </w:r>
      <w:r>
        <w:rPr>
          <w:rFonts w:cs="Century" w:ascii="Century" w:hAnsi="Century"/>
          <w:sz w:val="22"/>
          <w:rtl w:val="true"/>
        </w:rPr>
        <w:t xml:space="preserve">, </w:t>
      </w:r>
      <w:r>
        <w:rPr>
          <w:rFonts w:ascii="Century" w:hAnsi="Century" w:cs="Century"/>
          <w:sz w:val="22"/>
          <w:sz w:val="22"/>
          <w:rtl w:val="true"/>
        </w:rPr>
        <w:t>לא נשללה חירותה של המתלוננת</w:t>
      </w:r>
      <w:r>
        <w:rPr>
          <w:rFonts w:cs="Century" w:ascii="Century" w:hAnsi="Century"/>
          <w:sz w:val="22"/>
          <w:rtl w:val="true"/>
        </w:rPr>
        <w:t xml:space="preserve">, </w:t>
      </w:r>
      <w:r>
        <w:rPr>
          <w:rFonts w:ascii="Century" w:hAnsi="Century" w:cs="Century"/>
          <w:sz w:val="22"/>
          <w:sz w:val="22"/>
          <w:rtl w:val="true"/>
        </w:rPr>
        <w:t>כפי שנדרש להוכיח בגדרי עבירת כליאת שווא</w:t>
      </w:r>
      <w:r>
        <w:rPr>
          <w:rFonts w:cs="Century" w:ascii="Century" w:hAnsi="Century"/>
          <w:sz w:val="22"/>
          <w:rtl w:val="true"/>
        </w:rPr>
        <w:t xml:space="preserve">. </w:t>
      </w:r>
      <w:r>
        <w:rPr>
          <w:rFonts w:ascii="Century" w:hAnsi="Century" w:cs="Century"/>
          <w:sz w:val="22"/>
          <w:sz w:val="22"/>
          <w:rtl w:val="true"/>
        </w:rPr>
        <w:t>אשר על כן</w:t>
      </w:r>
      <w:r>
        <w:rPr>
          <w:rFonts w:cs="Century" w:ascii="Century" w:hAnsi="Century"/>
          <w:sz w:val="22"/>
          <w:rtl w:val="true"/>
        </w:rPr>
        <w:t xml:space="preserve">, </w:t>
      </w:r>
      <w:r>
        <w:rPr>
          <w:rFonts w:ascii="Century" w:hAnsi="Century" w:cs="Century"/>
          <w:sz w:val="22"/>
          <w:sz w:val="22"/>
          <w:rtl w:val="true"/>
        </w:rPr>
        <w:t>זוכה המשיב</w:t>
      </w:r>
      <w:r>
        <w:rPr>
          <w:rFonts w:cs="Century" w:ascii="Century" w:hAnsi="Century"/>
          <w:sz w:val="22"/>
          <w:rtl w:val="true"/>
        </w:rPr>
        <w:t xml:space="preserve">, </w:t>
      </w:r>
      <w:r>
        <w:rPr>
          <w:rFonts w:ascii="Century" w:hAnsi="Century" w:cs="Century"/>
          <w:sz w:val="22"/>
          <w:sz w:val="22"/>
          <w:rtl w:val="true"/>
        </w:rPr>
        <w:t>מחמת הספק</w:t>
      </w:r>
      <w:r>
        <w:rPr>
          <w:rFonts w:cs="Century" w:ascii="Century" w:hAnsi="Century"/>
          <w:sz w:val="22"/>
          <w:rtl w:val="true"/>
        </w:rPr>
        <w:t xml:space="preserve">, </w:t>
      </w:r>
      <w:r>
        <w:rPr>
          <w:rFonts w:ascii="Century" w:hAnsi="Century" w:cs="Century"/>
          <w:sz w:val="22"/>
          <w:sz w:val="22"/>
          <w:rtl w:val="true"/>
        </w:rPr>
        <w:t>גם מעבירה זו</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Miriam"/>
          <w:b/>
          <w:szCs w:val="24"/>
        </w:rPr>
      </w:pPr>
      <w:r>
        <w:rPr>
          <w:rFonts w:ascii="Century" w:hAnsi="Century" w:cs="Miriam"/>
          <w:b/>
          <w:b/>
          <w:szCs w:val="24"/>
          <w:rtl w:val="true"/>
        </w:rPr>
        <w:t>גזר</w:t>
      </w:r>
      <w:r>
        <w:rPr>
          <w:rFonts w:ascii="Century" w:hAnsi="Century" w:eastAsia="Century" w:cs="Century"/>
          <w:b/>
          <w:b/>
          <w:szCs w:val="24"/>
          <w:rtl w:val="true"/>
        </w:rPr>
        <w:t xml:space="preserve"> </w:t>
      </w:r>
      <w:r>
        <w:rPr>
          <w:rFonts w:ascii="Century" w:hAnsi="Century" w:cs="Miriam"/>
          <w:b/>
          <w:b/>
          <w:szCs w:val="24"/>
          <w:rtl w:val="true"/>
        </w:rPr>
        <w:t>דין</w:t>
      </w:r>
    </w:p>
    <w:p>
      <w:pPr>
        <w:pStyle w:val="Ruller41"/>
        <w:ind w:end="0"/>
        <w:jc w:val="both"/>
        <w:rPr>
          <w:rFonts w:ascii="Century" w:hAnsi="Century" w:cs="Miriam"/>
          <w:b/>
          <w:szCs w:val="24"/>
        </w:rPr>
      </w:pPr>
      <w:r>
        <w:rPr>
          <w:rFonts w:cs="Miriam" w:ascii="Century" w:hAnsi="Century"/>
          <w:b/>
          <w:szCs w:val="24"/>
          <w:rtl w:val="true"/>
        </w:rPr>
      </w:r>
    </w:p>
    <w:p>
      <w:pPr>
        <w:pStyle w:val="Ruller42"/>
        <w:numPr>
          <w:ilvl w:val="0"/>
          <w:numId w:val="1"/>
        </w:numPr>
        <w:ind w:hanging="0" w:start="0" w:end="0"/>
        <w:jc w:val="both"/>
        <w:rPr/>
      </w:pPr>
      <w:r>
        <w:rPr>
          <w:rtl w:val="true"/>
        </w:rPr>
        <w:t xml:space="preserve">ביום </w:t>
      </w:r>
      <w:r>
        <w:rPr/>
        <w:t>26.1.2020</w:t>
      </w:r>
      <w:r>
        <w:rPr>
          <w:rtl w:val="true"/>
        </w:rPr>
        <w:t xml:space="preserve"> </w:t>
      </w:r>
      <w:r>
        <w:rPr>
          <w:rtl w:val="true"/>
        </w:rPr>
        <w:t>גזר בית המשפט המחוזי את דינו של המשיב</w:t>
      </w:r>
      <w:r>
        <w:rPr>
          <w:rtl w:val="true"/>
        </w:rPr>
        <w:t xml:space="preserve">. </w:t>
      </w:r>
      <w:r>
        <w:rPr>
          <w:rFonts w:ascii="FrankRuehl" w:hAnsi="FrankRuehl" w:cs="FrankRuehl"/>
          <w:color w:val="000000"/>
          <w:sz w:val="28"/>
          <w:sz w:val="28"/>
          <w:rtl w:val="true"/>
        </w:rPr>
        <w:t>בקבעו את מתחם העונש ההולם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הביא במניין שיקוליו את </w:t>
      </w:r>
      <w:r>
        <w:rPr>
          <w:rFonts w:ascii="FrankRuehl" w:hAnsi="FrankRuehl" w:cs="FrankRuehl"/>
          <w:color w:val="000000"/>
          <w:sz w:val="28"/>
          <w:sz w:val="28"/>
          <w:rtl w:val="true"/>
        </w:rPr>
        <w:t>מידת הפגיעה ב</w:t>
      </w:r>
      <w:r>
        <w:rPr>
          <w:rFonts w:ascii="FrankRuehl" w:hAnsi="FrankRuehl" w:cs="FrankRuehl"/>
          <w:color w:val="000000"/>
          <w:sz w:val="28"/>
          <w:sz w:val="28"/>
          <w:rtl w:val="true"/>
        </w:rPr>
        <w:t>ערכים המוגנים</w:t>
      </w:r>
      <w:r>
        <w:rPr>
          <w:rFonts w:cs="FrankRuehl" w:ascii="FrankRuehl" w:hAnsi="FrankRuehl"/>
          <w:color w:val="000000"/>
          <w:sz w:val="28"/>
          <w:rtl w:val="true"/>
        </w:rPr>
        <w:t xml:space="preserve">, </w:t>
      </w:r>
      <w:r>
        <w:rPr>
          <w:rFonts w:ascii="FrankRuehl" w:hAnsi="FrankRuehl" w:cs="FrankRuehl"/>
          <w:color w:val="000000"/>
          <w:sz w:val="28"/>
          <w:sz w:val="28"/>
          <w:rtl w:val="true"/>
        </w:rPr>
        <w:t>מדיניות הענישה הנוהגת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ונסיבות ביצוע העבירה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ובכללם</w:t>
      </w:r>
      <w:r>
        <w:rPr>
          <w:rFonts w:cs="FrankRuehl" w:ascii="FrankRuehl" w:hAnsi="FrankRuehl"/>
          <w:color w:val="000000"/>
          <w:sz w:val="28"/>
          <w:rtl w:val="true"/>
        </w:rPr>
        <w:t xml:space="preserve">, </w:t>
      </w:r>
      <w:r>
        <w:rPr>
          <w:rFonts w:ascii="FrankRuehl" w:hAnsi="FrankRuehl" w:cs="FrankRuehl"/>
          <w:color w:val="000000"/>
          <w:sz w:val="28"/>
          <w:sz w:val="28"/>
          <w:rtl w:val="true"/>
        </w:rPr>
        <w:t>התכנון שקדם לביצועה</w:t>
      </w:r>
      <w:r>
        <w:rPr>
          <w:rFonts w:cs="FrankRuehl" w:ascii="FrankRuehl" w:hAnsi="FrankRuehl"/>
          <w:color w:val="000000"/>
          <w:sz w:val="28"/>
          <w:rtl w:val="true"/>
        </w:rPr>
        <w:t xml:space="preserve">; </w:t>
      </w:r>
      <w:r>
        <w:rPr>
          <w:rFonts w:ascii="FrankRuehl" w:hAnsi="FrankRuehl" w:cs="FrankRuehl"/>
          <w:color w:val="000000"/>
          <w:sz w:val="28"/>
          <w:sz w:val="28"/>
          <w:rtl w:val="true"/>
        </w:rPr>
        <w:t>משך הזמן שלאורכו בוצעה</w:t>
      </w:r>
      <w:r>
        <w:rPr>
          <w:rFonts w:cs="FrankRuehl" w:ascii="FrankRuehl" w:hAnsi="FrankRuehl"/>
          <w:color w:val="000000"/>
          <w:sz w:val="28"/>
          <w:rtl w:val="true"/>
        </w:rPr>
        <w:t xml:space="preserve">; </w:t>
      </w:r>
      <w:r>
        <w:rPr>
          <w:rFonts w:ascii="FrankRuehl" w:hAnsi="FrankRuehl" w:cs="FrankRuehl"/>
          <w:color w:val="000000"/>
          <w:sz w:val="28"/>
          <w:sz w:val="28"/>
          <w:rtl w:val="true"/>
        </w:rPr>
        <w:t>ניצול המשיב את ההיכרות המוקדמת</w:t>
      </w:r>
      <w:r>
        <w:rPr>
          <w:rFonts w:cs="FrankRuehl" w:ascii="FrankRuehl" w:hAnsi="FrankRuehl"/>
          <w:color w:val="000000"/>
          <w:sz w:val="28"/>
          <w:rtl w:val="true"/>
        </w:rPr>
        <w:t xml:space="preserve">, </w:t>
      </w:r>
      <w:r>
        <w:rPr>
          <w:rFonts w:ascii="FrankRuehl" w:hAnsi="FrankRuehl" w:cs="FrankRuehl"/>
          <w:color w:val="000000"/>
          <w:sz w:val="28"/>
          <w:sz w:val="28"/>
          <w:rtl w:val="true"/>
        </w:rPr>
        <w:t>מצוקותיה הכלכליות והנפשיות של המתלוננת</w:t>
      </w:r>
      <w:r>
        <w:rPr>
          <w:rFonts w:cs="FrankRuehl" w:ascii="FrankRuehl" w:hAnsi="FrankRuehl"/>
          <w:color w:val="000000"/>
          <w:sz w:val="28"/>
          <w:rtl w:val="true"/>
        </w:rPr>
        <w:t xml:space="preserve">, </w:t>
      </w:r>
      <w:r>
        <w:rPr>
          <w:rFonts w:ascii="FrankRuehl" w:hAnsi="FrankRuehl" w:cs="FrankRuehl"/>
          <w:color w:val="000000"/>
          <w:sz w:val="28"/>
          <w:sz w:val="28"/>
          <w:rtl w:val="true"/>
        </w:rPr>
        <w:t>מעמדו ופערי הכוחות הברורים ביניהם</w:t>
      </w:r>
      <w:r>
        <w:rPr>
          <w:rFonts w:cs="FrankRuehl" w:ascii="FrankRuehl" w:hAnsi="FrankRuehl"/>
          <w:color w:val="000000"/>
          <w:sz w:val="28"/>
          <w:rtl w:val="true"/>
        </w:rPr>
        <w:t xml:space="preserve">; </w:t>
      </w:r>
      <w:r>
        <w:rPr>
          <w:rFonts w:ascii="FrankRuehl" w:hAnsi="FrankRuehl" w:cs="FrankRuehl"/>
          <w:color w:val="000000"/>
          <w:sz w:val="28"/>
          <w:sz w:val="28"/>
          <w:rtl w:val="true"/>
        </w:rPr>
        <w:t>והנזק הכבד אשר נגרם וצפוי עוד להיגרם למתלוננת כתוצאה מהמעשים</w:t>
      </w:r>
      <w:r>
        <w:rPr>
          <w:rFonts w:cs="FrankRuehl" w:ascii="FrankRuehl" w:hAnsi="FrankRuehl"/>
          <w:color w:val="000000"/>
          <w:sz w:val="28"/>
          <w:rtl w:val="true"/>
        </w:rPr>
        <w:t xml:space="preserve">. </w:t>
      </w:r>
      <w:r>
        <w:rPr>
          <w:rFonts w:ascii="FrankRuehl" w:hAnsi="FrankRuehl" w:cs="FrankRuehl"/>
          <w:color w:val="000000"/>
          <w:sz w:val="28"/>
          <w:sz w:val="28"/>
          <w:rtl w:val="true"/>
        </w:rPr>
        <w:t>בשים לב לכל אלה</w:t>
      </w:r>
      <w:r>
        <w:rPr>
          <w:rFonts w:cs="FrankRuehl" w:ascii="FrankRuehl" w:hAnsi="FrankRuehl"/>
          <w:color w:val="000000"/>
          <w:sz w:val="28"/>
          <w:rtl w:val="true"/>
        </w:rPr>
        <w:t xml:space="preserve">, </w:t>
      </w:r>
      <w:r>
        <w:rPr>
          <w:rFonts w:ascii="FrankRuehl" w:hAnsi="FrankRuehl" w:cs="FrankRuehl"/>
          <w:color w:val="000000"/>
          <w:sz w:val="28"/>
          <w:sz w:val="28"/>
          <w:rtl w:val="true"/>
        </w:rPr>
        <w:t>העמיד בית המשפט</w:t>
      </w:r>
      <w:r>
        <w:rPr>
          <w:rFonts w:ascii="FrankRuehl" w:hAnsi="FrankRuehl" w:cs="FrankRuehl"/>
          <w:color w:val="000000"/>
          <w:sz w:val="28"/>
          <w:sz w:val="28"/>
          <w:rtl w:val="true"/>
        </w:rPr>
        <w:t xml:space="preserve"> המחוזי</w:t>
      </w:r>
      <w:r>
        <w:rPr>
          <w:rFonts w:ascii="FrankRuehl" w:hAnsi="FrankRuehl" w:cs="FrankRuehl"/>
          <w:color w:val="000000"/>
          <w:sz w:val="28"/>
          <w:sz w:val="28"/>
          <w:rtl w:val="true"/>
        </w:rPr>
        <w:t xml:space="preserve"> את מתחם העונש בעניינ</w:t>
      </w:r>
      <w:r>
        <w:rPr>
          <w:rFonts w:ascii="FrankRuehl" w:hAnsi="FrankRuehl" w:cs="FrankRuehl"/>
          <w:color w:val="000000"/>
          <w:sz w:val="28"/>
          <w:sz w:val="28"/>
          <w:rtl w:val="true"/>
        </w:rPr>
        <w:t xml:space="preserve">ו של המשיב </w:t>
      </w:r>
      <w:r>
        <w:rPr>
          <w:rFonts w:ascii="FrankRuehl" w:hAnsi="FrankRuehl" w:cs="FrankRuehl"/>
          <w:color w:val="000000"/>
          <w:sz w:val="28"/>
          <w:sz w:val="28"/>
          <w:rtl w:val="true"/>
        </w:rPr>
        <w:t xml:space="preserve">על </w:t>
      </w:r>
      <w:r>
        <w:rPr>
          <w:rFonts w:cs="FrankRuehl" w:ascii="FrankRuehl" w:hAnsi="FrankRuehl"/>
          <w:color w:val="000000"/>
          <w:sz w:val="28"/>
        </w:rPr>
        <w:t>36-20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חודשי </w:t>
      </w:r>
      <w:r>
        <w:rPr>
          <w:rFonts w:ascii="FrankRuehl" w:hAnsi="FrankRuehl" w:cs="FrankRuehl"/>
          <w:color w:val="000000"/>
          <w:sz w:val="28"/>
          <w:sz w:val="28"/>
          <w:rtl w:val="true"/>
        </w:rPr>
        <w:t>מאסר בפועל</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בבחינת נסיבות שאינן קשורות בביצוע עבירה</w:t>
      </w:r>
      <w:r>
        <w:rPr>
          <w:rFonts w:cs="FrankRuehl" w:ascii="FrankRuehl" w:hAnsi="FrankRuehl"/>
          <w:color w:val="000000"/>
          <w:sz w:val="28"/>
          <w:rtl w:val="true"/>
        </w:rPr>
        <w:t xml:space="preserve">, </w:t>
      </w:r>
      <w:r>
        <w:rPr>
          <w:rtl w:val="true"/>
        </w:rPr>
        <w:t xml:space="preserve">התחשב בגילו המבוגר יחסית </w:t>
      </w:r>
      <w:r>
        <w:rPr>
          <w:rtl w:val="true"/>
        </w:rPr>
        <w:t>(</w:t>
      </w:r>
      <w:r>
        <w:rPr>
          <w:rtl w:val="true"/>
        </w:rPr>
        <w:t xml:space="preserve">כבן </w:t>
      </w:r>
      <w:r>
        <w:rPr/>
        <w:t>68</w:t>
      </w:r>
      <w:r>
        <w:rPr>
          <w:rtl w:val="true"/>
        </w:rPr>
        <w:t xml:space="preserve">) </w:t>
      </w:r>
      <w:r>
        <w:rPr>
          <w:rtl w:val="true"/>
        </w:rPr>
        <w:t>של המשיב ובמצבו הרפואי</w:t>
      </w:r>
      <w:r>
        <w:rPr>
          <w:rtl w:val="true"/>
        </w:rPr>
        <w:t xml:space="preserve">; </w:t>
      </w:r>
      <w:r>
        <w:rPr>
          <w:rtl w:val="true"/>
        </w:rPr>
        <w:t>בהיעדר עבר פלילי</w:t>
      </w:r>
      <w:r>
        <w:rPr>
          <w:rtl w:val="true"/>
        </w:rPr>
        <w:t xml:space="preserve">; </w:t>
      </w:r>
      <w:r>
        <w:rPr>
          <w:rFonts w:ascii="Arial TUR" w:hAnsi="Arial TUR" w:cs="Arial TUR"/>
          <w:sz w:val="22"/>
          <w:sz w:val="22"/>
          <w:rtl w:val="true"/>
        </w:rPr>
        <w:t>ו</w:t>
      </w:r>
      <w:r>
        <w:rPr>
          <w:rtl w:val="true"/>
        </w:rPr>
        <w:t>בפגיעה שנגרמה למשפחתו עקב חשיפת מעשיו</w:t>
      </w:r>
      <w:r>
        <w:rPr>
          <w:rtl w:val="true"/>
        </w:rPr>
        <w:t xml:space="preserve">. </w:t>
      </w:r>
      <w:r>
        <w:rPr>
          <w:rtl w:val="true"/>
        </w:rPr>
        <w:t>מנגד</w:t>
      </w:r>
      <w:r>
        <w:rPr>
          <w:rtl w:val="true"/>
        </w:rPr>
        <w:t xml:space="preserve">, </w:t>
      </w:r>
      <w:r>
        <w:rPr>
          <w:rtl w:val="true"/>
        </w:rPr>
        <w:t>שקל שיקולי הרתעה נוכח מעמדו של המשיב ופערי הכוחות בינו לבין המתלוננת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לבסוף</w:t>
      </w:r>
      <w:r>
        <w:rPr>
          <w:rtl w:val="true"/>
        </w:rPr>
        <w:t xml:space="preserve">, </w:t>
      </w:r>
      <w:r>
        <w:rPr>
          <w:rtl w:val="true"/>
        </w:rPr>
        <w:t xml:space="preserve">קבע בית המשפט </w:t>
      </w:r>
      <w:r>
        <w:rPr>
          <w:rtl w:val="true"/>
        </w:rPr>
        <w:t>המחוזי</w:t>
      </w:r>
      <w:r>
        <w:rPr>
          <w:rtl w:val="true"/>
        </w:rPr>
        <w:t xml:space="preserve"> כי יש להעמיד את עונש המאסר בפועל </w:t>
      </w:r>
      <w:r>
        <w:rPr>
          <w:rtl w:val="true"/>
        </w:rPr>
        <w:t>בחציו</w:t>
      </w:r>
      <w:r>
        <w:rPr>
          <w:rtl w:val="true"/>
        </w:rPr>
        <w:t xml:space="preserve"> התחתון של מתחם הענישה</w:t>
      </w:r>
      <w:r>
        <w:rPr>
          <w:rtl w:val="true"/>
        </w:rPr>
        <w:t xml:space="preserve">, </w:t>
      </w:r>
      <w:r>
        <w:rPr>
          <w:rtl w:val="true"/>
        </w:rPr>
        <w:t xml:space="preserve">דהיינו </w:t>
      </w:r>
      <w:r>
        <w:rPr/>
        <w:t>24</w:t>
      </w:r>
      <w:r>
        <w:rPr>
          <w:rtl w:val="true"/>
        </w:rPr>
        <w:t xml:space="preserve"> </w:t>
      </w:r>
      <w:r>
        <w:rPr>
          <w:rtl w:val="true"/>
        </w:rPr>
        <w:t>חודשי מאסר בפועל</w:t>
      </w:r>
      <w:r>
        <w:rPr>
          <w:rtl w:val="true"/>
        </w:rPr>
        <w:t xml:space="preserve">, </w:t>
      </w:r>
      <w:r>
        <w:rPr>
          <w:rtl w:val="true"/>
        </w:rPr>
        <w:t xml:space="preserve">לצד </w:t>
      </w:r>
      <w:r>
        <w:rPr>
          <w:rtl w:val="true"/>
        </w:rPr>
        <w:t xml:space="preserve">שני </w:t>
      </w:r>
      <w:r>
        <w:rPr>
          <w:rtl w:val="true"/>
        </w:rPr>
        <w:t>מאסר</w:t>
      </w:r>
      <w:r>
        <w:rPr>
          <w:rtl w:val="true"/>
        </w:rPr>
        <w:t>ים</w:t>
      </w:r>
      <w:r>
        <w:rPr>
          <w:rtl w:val="true"/>
        </w:rPr>
        <w:t xml:space="preserve"> </w:t>
      </w:r>
      <w:r>
        <w:rPr>
          <w:rtl w:val="true"/>
        </w:rPr>
        <w:t>מותנים</w:t>
      </w:r>
      <w:r>
        <w:rPr>
          <w:rtl w:val="true"/>
        </w:rPr>
        <w:t xml:space="preserve"> </w:t>
      </w:r>
      <w:r>
        <w:rPr>
          <w:rtl w:val="true"/>
        </w:rPr>
        <w:t>ופיצוי כספי למתלוננת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מכאן ערעור המדינה שלפנינו</w:t>
      </w:r>
      <w:r>
        <w:rPr>
          <w:rtl w:val="true"/>
        </w:rPr>
        <w:t xml:space="preserve">, </w:t>
      </w:r>
      <w:r>
        <w:rPr>
          <w:rtl w:val="true"/>
        </w:rPr>
        <w:t>המופנה כאמור נגד הכרעת הדין המזכה בלבד</w:t>
      </w:r>
      <w:r>
        <w:rPr>
          <w:rtl w:val="true"/>
        </w:rPr>
        <w:t xml:space="preserve">. </w:t>
      </w:r>
    </w:p>
    <w:p>
      <w:pPr>
        <w:pStyle w:val="Ruller41"/>
        <w:ind w:end="0"/>
        <w:jc w:val="both"/>
        <w:rPr/>
      </w:pPr>
      <w:r>
        <w:rPr>
          <w:rtl w:val="true"/>
        </w:rPr>
      </w:r>
    </w:p>
    <w:p>
      <w:pPr>
        <w:pStyle w:val="Ruller41"/>
        <w:ind w:end="0"/>
        <w:jc w:val="both"/>
        <w:rPr>
          <w:rFonts w:ascii="Century" w:hAnsi="Century" w:cs="Miriam"/>
          <w:b/>
          <w:szCs w:val="24"/>
        </w:rPr>
      </w:pPr>
      <w:r>
        <w:rPr>
          <w:rFonts w:ascii="Century" w:hAnsi="Century" w:cs="Miriam"/>
          <w:b/>
          <w:b/>
          <w:szCs w:val="24"/>
          <w:rtl w:val="true"/>
        </w:rPr>
        <w:t>תמצית</w:t>
      </w:r>
      <w:r>
        <w:rPr>
          <w:rFonts w:ascii="Century" w:hAnsi="Century" w:eastAsia="Century" w:cs="Century"/>
          <w:b/>
          <w:b/>
          <w:szCs w:val="24"/>
          <w:rtl w:val="true"/>
        </w:rPr>
        <w:t xml:space="preserve"> </w:t>
      </w:r>
      <w:r>
        <w:rPr>
          <w:rFonts w:ascii="Century" w:hAnsi="Century" w:cs="Miriam"/>
          <w:b/>
          <w:b/>
          <w:szCs w:val="24"/>
          <w:rtl w:val="true"/>
        </w:rPr>
        <w:t>טענות</w:t>
      </w:r>
      <w:r>
        <w:rPr>
          <w:rFonts w:ascii="Century" w:hAnsi="Century" w:eastAsia="Century" w:cs="Century"/>
          <w:b/>
          <w:b/>
          <w:szCs w:val="24"/>
          <w:rtl w:val="true"/>
        </w:rPr>
        <w:t xml:space="preserve"> </w:t>
      </w:r>
      <w:r>
        <w:rPr>
          <w:rFonts w:ascii="Century" w:hAnsi="Century" w:cs="Miriam"/>
          <w:b/>
          <w:b/>
          <w:szCs w:val="24"/>
          <w:rtl w:val="true"/>
        </w:rPr>
        <w:t>הצדדים</w:t>
      </w:r>
      <w:r>
        <w:rPr>
          <w:rFonts w:ascii="Century" w:hAnsi="Century" w:eastAsia="Century" w:cs="Century"/>
          <w:b/>
          <w:b/>
          <w:szCs w:val="24"/>
          <w:rtl w:val="true"/>
        </w:rPr>
        <w:t xml:space="preserve"> </w:t>
      </w:r>
      <w:r>
        <w:rPr>
          <w:rFonts w:ascii="Century" w:hAnsi="Century" w:cs="Miriam"/>
          <w:b/>
          <w:b/>
          <w:szCs w:val="24"/>
          <w:rtl w:val="true"/>
        </w:rPr>
        <w:t>בערעור</w:t>
      </w:r>
      <w:r>
        <w:rPr>
          <w:rFonts w:ascii="Century" w:hAnsi="Century" w:eastAsia="Century" w:cs="Century"/>
          <w:b/>
          <w:b/>
          <w:szCs w:val="24"/>
          <w:rtl w:val="true"/>
        </w:rPr>
        <w:t xml:space="preserve"> </w:t>
      </w:r>
      <w:r>
        <w:rPr>
          <w:rFonts w:ascii="Century" w:hAnsi="Century" w:cs="Miriam"/>
          <w:b/>
          <w:b/>
          <w:szCs w:val="24"/>
          <w:rtl w:val="true"/>
        </w:rPr>
        <w:t>המדינה</w:t>
      </w:r>
    </w:p>
    <w:p>
      <w:pPr>
        <w:pStyle w:val="Ruller41"/>
        <w:ind w:end="0"/>
        <w:jc w:val="both"/>
        <w:rPr>
          <w:rFonts w:ascii="Century" w:hAnsi="Century" w:cs="Century"/>
          <w:b/>
          <w:szCs w:val="24"/>
        </w:rPr>
      </w:pPr>
      <w:r>
        <w:rPr>
          <w:rFonts w:cs="Century" w:ascii="Century" w:hAnsi="Century"/>
          <w:b/>
          <w:szCs w:val="24"/>
          <w:rtl w:val="true"/>
        </w:rPr>
      </w:r>
    </w:p>
    <w:p>
      <w:pPr>
        <w:pStyle w:val="Ruller42"/>
        <w:numPr>
          <w:ilvl w:val="0"/>
          <w:numId w:val="1"/>
        </w:numPr>
        <w:ind w:hanging="0" w:start="0" w:end="0"/>
        <w:jc w:val="both"/>
        <w:rPr/>
      </w:pPr>
      <w:r>
        <w:rPr>
          <w:rFonts w:ascii="FrankRuehl" w:hAnsi="FrankRuehl" w:cs="FrankRuehl"/>
          <w:color w:val="000000"/>
          <w:sz w:val="28"/>
          <w:sz w:val="28"/>
          <w:shd w:fill="FFFFFF" w:val="clear"/>
          <w:rtl w:val="true"/>
        </w:rPr>
        <w:t xml:space="preserve">בכתב ערעור מפורט </w:t>
      </w:r>
      <w:r>
        <w:rPr>
          <w:rFonts w:ascii="FrankRuehl" w:hAnsi="FrankRuehl" w:cs="FrankRuehl"/>
          <w:color w:val="000000"/>
          <w:sz w:val="28"/>
          <w:sz w:val="28"/>
          <w:shd w:fill="FFFFFF" w:val="clear"/>
          <w:rtl w:val="true"/>
        </w:rPr>
        <w:t xml:space="preserve">העלתה </w:t>
      </w:r>
      <w:r>
        <w:rPr>
          <w:rFonts w:ascii="FrankRuehl" w:hAnsi="FrankRuehl" w:cs="FrankRuehl"/>
          <w:color w:val="000000"/>
          <w:sz w:val="28"/>
          <w:sz w:val="28"/>
          <w:shd w:fill="FFFFFF" w:val="clear"/>
          <w:rtl w:val="true"/>
        </w:rPr>
        <w:t>המדינה את השגותיה נגד הכרעת</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הדין המזכה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להשקפתה</w:t>
      </w:r>
      <w:r>
        <w:rPr>
          <w:rFonts w:cs="FrankRuehl" w:ascii="FrankRuehl" w:hAnsi="FrankRuehl"/>
          <w:color w:val="000000"/>
          <w:sz w:val="28"/>
          <w:shd w:fill="FFFFFF" w:val="clear"/>
          <w:rtl w:val="true"/>
        </w:rPr>
        <w:t>,</w:t>
      </w:r>
      <w:r>
        <w:rPr>
          <w:rtl w:val="true"/>
        </w:rPr>
        <w:t xml:space="preserve"> </w:t>
      </w:r>
      <w:r>
        <w:rPr>
          <w:rtl w:val="true"/>
        </w:rPr>
        <w:t>יש להרשיע את המשיב בכל העבירות אשר יוחסו לו בכתב האישום</w:t>
      </w:r>
      <w:r>
        <w:rPr>
          <w:rtl w:val="true"/>
        </w:rPr>
        <w:t xml:space="preserve">. </w:t>
      </w:r>
      <w:r>
        <w:rPr>
          <w:rtl w:val="true"/>
        </w:rPr>
        <w:t>המדינה הוסיפה כי אם ערעורה על הכרעת הדין המזכה יתקבל</w:t>
      </w:r>
      <w:r>
        <w:rPr>
          <w:rtl w:val="true"/>
        </w:rPr>
        <w:t xml:space="preserve">, </w:t>
      </w:r>
      <w:r>
        <w:rPr>
          <w:rtl w:val="true"/>
        </w:rPr>
        <w:t>כולו או חלקו</w:t>
      </w:r>
      <w:r>
        <w:rPr>
          <w:rtl w:val="true"/>
        </w:rPr>
        <w:t xml:space="preserve">, </w:t>
      </w:r>
      <w:r>
        <w:rPr>
          <w:rtl w:val="true"/>
        </w:rPr>
        <w:t>הרי שהיא מבקשת החמרה משמעותית בעונשו וכן הגדלה של רכיב הפיצויים שחויב המשיב לשלם למתלוננת</w:t>
      </w:r>
      <w:r>
        <w:rPr>
          <w:rtl w:val="true"/>
        </w:rPr>
        <w:t xml:space="preserve">. </w:t>
      </w:r>
      <w:r>
        <w:rPr>
          <w:rtl w:val="true"/>
        </w:rPr>
        <w:t>עוד הבהירה המדינה כי ככל שהכרעת הדין המזכה תיוותר על קנה</w:t>
      </w:r>
      <w:r>
        <w:rPr>
          <w:rtl w:val="true"/>
        </w:rPr>
        <w:t xml:space="preserve">, </w:t>
      </w:r>
      <w:r>
        <w:rPr>
          <w:rtl w:val="true"/>
        </w:rPr>
        <w:t>אין היא מבקשת להחמיר בעונשו של המערער</w:t>
      </w:r>
      <w:r>
        <w:rPr>
          <w:rtl w:val="true"/>
        </w:rPr>
        <w:t xml:space="preserve">, </w:t>
      </w:r>
      <w:r>
        <w:rPr>
          <w:rtl w:val="true"/>
        </w:rPr>
        <w:t>משמע היא סבורה שהעונש שהוטל עליו בגין עבירות המעשים המגונים בכוח בהם הורשע אינו מצדיק התערבות ערכאת הערעור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FrankRuehl" w:hAnsi="FrankRuehl" w:cs="FrankRuehl"/>
          <w:color w:val="000000"/>
          <w:sz w:val="28"/>
          <w:sz w:val="28"/>
          <w:shd w:fill="FFFFFF" w:val="clear"/>
          <w:rtl w:val="true"/>
        </w:rPr>
        <w:t>טענות המדינה בערעורה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בתמצית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הן אלה</w:t>
      </w:r>
      <w:r>
        <w:rPr>
          <w:rFonts w:cs="FrankRuehl" w:ascii="FrankRuehl" w:hAnsi="FrankRuehl"/>
          <w:color w:val="000000"/>
          <w:sz w:val="28"/>
          <w:shd w:fill="FFFFFF" w:val="clea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ביחס לזיכוי מהאישום שעניינו האינוס בהחדרת האצבעות והמעשה המגונה של כפיית הנחת היד על איבר מינו </w:t>
      </w:r>
      <w:r>
        <w:rPr>
          <w:rtl w:val="true"/>
        </w:rPr>
        <w:t>(</w:t>
      </w:r>
      <w:r>
        <w:rPr>
          <w:rtl w:val="true"/>
        </w:rPr>
        <w:t>להלן</w:t>
      </w:r>
      <w:r>
        <w:rPr>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באינוס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המגונה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הנוסף</w:t>
      </w:r>
      <w:r>
        <w:rPr>
          <w:rtl w:val="true"/>
        </w:rPr>
        <w:t xml:space="preserve">), </w:t>
      </w:r>
      <w:r>
        <w:rPr>
          <w:rtl w:val="true"/>
        </w:rPr>
        <w:t>נטען</w:t>
      </w:r>
      <w:r>
        <w:rPr>
          <w:rtl w:val="true"/>
        </w:rPr>
        <w:t xml:space="preserve">, </w:t>
      </w:r>
      <w:r>
        <w:rPr>
          <w:rtl w:val="true"/>
        </w:rPr>
        <w:t>כי בהינתן ממצאי המהימנות החד</w:t>
      </w:r>
      <w:r>
        <w:rPr>
          <w:rtl w:val="true"/>
        </w:rPr>
        <w:t>-</w:t>
      </w:r>
      <w:r>
        <w:rPr>
          <w:rtl w:val="true"/>
        </w:rPr>
        <w:t>משמעיים שנקבעו על ידי בית המשפט קמא</w:t>
      </w:r>
      <w:r>
        <w:rPr>
          <w:rtl w:val="true"/>
        </w:rPr>
        <w:t xml:space="preserve">, </w:t>
      </w:r>
      <w:r>
        <w:rPr>
          <w:rtl w:val="true"/>
        </w:rPr>
        <w:t>הרי שמסקנתו הסופית בדבר קיומו של ספק סביר הייתה שגויה</w:t>
      </w:r>
      <w:r>
        <w:rPr>
          <w:rtl w:val="true"/>
        </w:rPr>
        <w:t xml:space="preserve">. </w:t>
      </w:r>
      <w:r>
        <w:rPr>
          <w:rtl w:val="true"/>
        </w:rPr>
        <w:t>בקשר לכך</w:t>
      </w:r>
      <w:r>
        <w:rPr>
          <w:rtl w:val="true"/>
        </w:rPr>
        <w:t xml:space="preserve">, </w:t>
      </w:r>
      <w:r>
        <w:rPr>
          <w:rtl w:val="true"/>
        </w:rPr>
        <w:t>מדגישה המדינה</w:t>
      </w:r>
      <w:r>
        <w:rPr>
          <w:rtl w:val="true"/>
        </w:rPr>
        <w:t xml:space="preserve">, </w:t>
      </w:r>
      <w:r>
        <w:rPr>
          <w:rtl w:val="true"/>
        </w:rPr>
        <w:t>כי הערעור אינו בא להשיג על ממצאי המהימנות שנקבעו</w:t>
      </w:r>
      <w:r>
        <w:rPr>
          <w:rtl w:val="true"/>
        </w:rPr>
        <w:t xml:space="preserve">, </w:t>
      </w:r>
      <w:r>
        <w:rPr>
          <w:rtl w:val="true"/>
        </w:rPr>
        <w:t xml:space="preserve">אלא לתקוף את </w:t>
      </w:r>
      <w:r>
        <w:rPr>
          <w:rtl w:val="true"/>
        </w:rPr>
        <w:t>"</w:t>
      </w:r>
      <w:r>
        <w:rPr>
          <w:rtl w:val="true"/>
        </w:rPr>
        <w:t>הגיונן הפנימי</w:t>
      </w:r>
      <w:r>
        <w:rPr>
          <w:rtl w:val="true"/>
        </w:rPr>
        <w:t xml:space="preserve">" </w:t>
      </w:r>
      <w:r>
        <w:rPr>
          <w:rtl w:val="true"/>
        </w:rPr>
        <w:t>של המסקנות שהוסקו</w:t>
      </w:r>
      <w:r>
        <w:rPr>
          <w:rtl w:val="true"/>
        </w:rPr>
        <w:t xml:space="preserve">. </w:t>
      </w:r>
      <w:r>
        <w:rPr>
          <w:rtl w:val="true"/>
        </w:rPr>
        <w:t>עוד טוענת המדינה</w:t>
      </w:r>
      <w:r>
        <w:rPr>
          <w:rtl w:val="true"/>
        </w:rPr>
        <w:t xml:space="preserve">, </w:t>
      </w:r>
      <w:r>
        <w:rPr>
          <w:rtl w:val="true"/>
        </w:rPr>
        <w:t xml:space="preserve">כי בית המשפט המחוזי שגה באופן יישומו את הכלל בדבר </w:t>
      </w:r>
      <w:r>
        <w:rPr>
          <w:rtl w:val="true"/>
        </w:rPr>
        <w:t>"</w:t>
      </w:r>
      <w:r>
        <w:rPr>
          <w:rtl w:val="true"/>
        </w:rPr>
        <w:t>פלגינן דיבורא</w:t>
      </w:r>
      <w:r>
        <w:rPr>
          <w:rtl w:val="true"/>
        </w:rPr>
        <w:t xml:space="preserve">", </w:t>
      </w:r>
      <w:r>
        <w:rPr>
          <w:rtl w:val="true"/>
        </w:rPr>
        <w:t>שהרי</w:t>
      </w:r>
      <w:r>
        <w:rPr>
          <w:rtl w:val="true"/>
        </w:rPr>
        <w:t xml:space="preserve">, </w:t>
      </w:r>
      <w:r>
        <w:rPr>
          <w:rtl w:val="true"/>
        </w:rPr>
        <w:t>לגישתה</w:t>
      </w:r>
      <w:r>
        <w:rPr>
          <w:rtl w:val="true"/>
        </w:rPr>
        <w:t xml:space="preserve">, </w:t>
      </w:r>
      <w:r>
        <w:rPr>
          <w:rtl w:val="true"/>
        </w:rPr>
        <w:t>לא היה יסוד סביר להפרדה בין חלקיה השונים של עדות המתלוננת</w:t>
      </w:r>
      <w:r>
        <w:rPr>
          <w:rtl w:val="true"/>
        </w:rPr>
        <w:t xml:space="preserve">. </w:t>
      </w:r>
      <w:r>
        <w:rPr>
          <w:rtl w:val="true"/>
        </w:rPr>
        <w:t>המתלוננת גרסה בעקביות כי המשיב החדיר את אצבעותיו לאיבר מינה וכפה מגע באיבר מינו</w:t>
      </w:r>
      <w:r>
        <w:rPr>
          <w:rtl w:val="true"/>
        </w:rPr>
        <w:t xml:space="preserve">, </w:t>
      </w:r>
      <w:r>
        <w:rPr>
          <w:rtl w:val="true"/>
        </w:rPr>
        <w:t>וחוסר הבהירות שנותר</w:t>
      </w:r>
      <w:r>
        <w:rPr>
          <w:rtl w:val="true"/>
        </w:rPr>
        <w:t xml:space="preserve">, </w:t>
      </w:r>
      <w:r>
        <w:rPr>
          <w:rtl w:val="true"/>
        </w:rPr>
        <w:t>לגישת המחוזי</w:t>
      </w:r>
      <w:r>
        <w:rPr>
          <w:rtl w:val="true"/>
        </w:rPr>
        <w:t xml:space="preserve">, </w:t>
      </w:r>
      <w:r>
        <w:rPr>
          <w:rtl w:val="true"/>
        </w:rPr>
        <w:t>בשאלה האם המעשים בוצעו בטרם צולם הסרטון או גם במהלכו</w:t>
      </w:r>
      <w:r>
        <w:rPr>
          <w:rtl w:val="true"/>
        </w:rPr>
        <w:t xml:space="preserve">, </w:t>
      </w:r>
      <w:r>
        <w:rPr>
          <w:rtl w:val="true"/>
        </w:rPr>
        <w:t>ולא בשאלת עצם ביצוע המעשים</w:t>
      </w:r>
      <w:r>
        <w:rPr>
          <w:rtl w:val="true"/>
        </w:rPr>
        <w:t xml:space="preserve">, </w:t>
      </w:r>
      <w:r>
        <w:rPr>
          <w:rtl w:val="true"/>
        </w:rPr>
        <w:t>אינו יכול לכרסם במשקלה המרשיע של גרסת המתלוננת ואינו מצדיק את זיכויו של המשיב מהמעשים שבוצעו למצער לפני צילום הסרטון</w:t>
      </w:r>
      <w:r>
        <w:rPr>
          <w:rtl w:val="true"/>
        </w:rPr>
        <w:t xml:space="preserve">. </w:t>
      </w:r>
      <w:r>
        <w:rPr>
          <w:rtl w:val="true"/>
        </w:rPr>
        <w:t>החלטה זו</w:t>
      </w:r>
      <w:r>
        <w:rPr>
          <w:rtl w:val="true"/>
        </w:rPr>
        <w:t xml:space="preserve">, </w:t>
      </w:r>
      <w:r>
        <w:rPr>
          <w:rtl w:val="true"/>
        </w:rPr>
        <w:t>לדידה של המערערת</w:t>
      </w:r>
      <w:r>
        <w:rPr>
          <w:rtl w:val="true"/>
        </w:rPr>
        <w:t xml:space="preserve">, </w:t>
      </w:r>
      <w:r>
        <w:rPr>
          <w:rtl w:val="true"/>
        </w:rPr>
        <w:t>אף אינה מתיישבת עם הגישה הראייתית הנהוגה בעבירות מין</w:t>
      </w:r>
      <w:r>
        <w:rPr>
          <w:rtl w:val="true"/>
        </w:rPr>
        <w:t xml:space="preserve">, </w:t>
      </w:r>
      <w:r>
        <w:rPr>
          <w:rtl w:val="true"/>
        </w:rPr>
        <w:t>על פיה אין לדקדק בפרטי עדותם של נפגעי עבירות מין</w:t>
      </w:r>
      <w:r>
        <w:rPr>
          <w:rtl w:val="true"/>
        </w:rPr>
        <w:t xml:space="preserve">. </w:t>
      </w:r>
      <w:r>
        <w:rPr>
          <w:rtl w:val="true"/>
        </w:rPr>
        <w:t>יתר על כן</w:t>
      </w:r>
      <w:r>
        <w:rPr>
          <w:rtl w:val="true"/>
        </w:rPr>
        <w:t xml:space="preserve">, </w:t>
      </w:r>
      <w:r>
        <w:rPr>
          <w:rtl w:val="true"/>
        </w:rPr>
        <w:t>טוענת המערערת כי אין סתירה בין גרסת המתלוננת בדבר שימוש בכוח על ידי המשיב לבין ניסיונות השכנוע המילוליים שנשמעו בסרטון</w:t>
      </w:r>
      <w:r>
        <w:rPr>
          <w:rtl w:val="true"/>
        </w:rPr>
        <w:t xml:space="preserve">, </w:t>
      </w:r>
      <w:r>
        <w:rPr>
          <w:rtl w:val="true"/>
        </w:rPr>
        <w:t>באשר גם אלו לוו בהפעלת לחץ וכפייה עצמית</w:t>
      </w:r>
      <w:r>
        <w:rPr>
          <w:rtl w:val="true"/>
        </w:rPr>
        <w:t xml:space="preserve">; </w:t>
      </w:r>
      <w:r>
        <w:rPr>
          <w:rtl w:val="true"/>
        </w:rPr>
        <w:t>ומכל מקום</w:t>
      </w:r>
      <w:r>
        <w:rPr>
          <w:rtl w:val="true"/>
        </w:rPr>
        <w:t xml:space="preserve">, </w:t>
      </w:r>
      <w:r>
        <w:rPr>
          <w:rtl w:val="true"/>
        </w:rPr>
        <w:t>אין בניסיונות מילוליים אלו כדי לסתור את המעשים המיניים שבוצעו במתלוננת</w:t>
      </w:r>
      <w:r>
        <w:rPr>
          <w:rtl w:val="true"/>
        </w:rPr>
        <w:t xml:space="preserve">, </w:t>
      </w:r>
      <w:r>
        <w:rPr>
          <w:rtl w:val="true"/>
        </w:rPr>
        <w:t>תוך שימוש בכוח</w:t>
      </w:r>
      <w:r>
        <w:rPr>
          <w:rtl w:val="true"/>
        </w:rPr>
        <w:t xml:space="preserve">, </w:t>
      </w:r>
      <w:r>
        <w:rPr>
          <w:rtl w:val="true"/>
        </w:rPr>
        <w:t>לפני כן</w:t>
      </w:r>
      <w:r>
        <w:rPr>
          <w:rtl w:val="true"/>
        </w:rPr>
        <w:t xml:space="preserve">, </w:t>
      </w:r>
      <w:r>
        <w:rPr>
          <w:rtl w:val="true"/>
        </w:rPr>
        <w:t>בייחוד לנוכח קביעת בית המשפט המחוזי לפיה בשלב צילום הסרטון</w:t>
      </w:r>
      <w:r>
        <w:rPr>
          <w:rtl w:val="true"/>
        </w:rPr>
        <w:t xml:space="preserve">, </w:t>
      </w:r>
      <w:r>
        <w:rPr>
          <w:rtl w:val="true"/>
        </w:rPr>
        <w:t xml:space="preserve">האווירה בצימר הפכה נינוחה יותר </w:t>
      </w:r>
      <w:r>
        <w:rPr>
          <w:rtl w:val="true"/>
        </w:rPr>
        <w:t>(</w:t>
      </w:r>
      <w:r>
        <w:rPr>
          <w:rtl w:val="true"/>
        </w:rPr>
        <w:t>באשר הגיע המשיב לפורקן מיני מספר רגעים קודם לכן כאשר נכנס לשירותים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לזיכוי</w:t>
      </w:r>
      <w:r>
        <w:rPr>
          <w:rFonts w:eastAsia="Arial TUR" w:cs="Arial TUR"/>
          <w:rtl w:val="true"/>
        </w:rPr>
        <w:t xml:space="preserve"> </w:t>
      </w:r>
      <w:r>
        <w:rPr>
          <w:rtl w:val="true"/>
        </w:rPr>
        <w:t>מהאישום</w:t>
      </w:r>
      <w:r>
        <w:rPr>
          <w:rFonts w:eastAsia="Arial TUR" w:cs="Arial TUR"/>
          <w:rtl w:val="true"/>
        </w:rPr>
        <w:t xml:space="preserve"> </w:t>
      </w:r>
      <w:r>
        <w:rPr>
          <w:rtl w:val="true"/>
        </w:rPr>
        <w:t>שענייננו</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עבירת</w:t>
      </w:r>
      <w:r>
        <w:rPr>
          <w:rFonts w:eastAsia="Arial TUR" w:cs="Arial TUR"/>
          <w:rtl w:val="true"/>
        </w:rPr>
        <w:t xml:space="preserve"> </w:t>
      </w:r>
      <w:r>
        <w:rPr>
          <w:rtl w:val="true"/>
        </w:rPr>
        <w:t>מין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בחטיפה</w:t>
      </w:r>
      <w:r>
        <w:rPr>
          <w:rFonts w:ascii="Century" w:hAnsi="Century" w:eastAsia="Century" w:cs="Century"/>
          <w:b/>
          <w:b/>
          <w:spacing w:val="0"/>
          <w:szCs w:val="24"/>
          <w:rtl w:val="true"/>
        </w:rPr>
        <w:t xml:space="preserve"> </w:t>
      </w:r>
      <w:r>
        <w:rPr>
          <w:rFonts w:ascii="Century" w:hAnsi="Century" w:cs="Miriam"/>
          <w:b/>
          <w:b/>
          <w:spacing w:val="0"/>
          <w:szCs w:val="24"/>
          <w:rtl w:val="true"/>
        </w:rPr>
        <w:t>לשם</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tl w:val="true"/>
        </w:rPr>
        <w:t xml:space="preserve">) </w:t>
      </w:r>
      <w:r>
        <w:rPr>
          <w:rtl w:val="true"/>
        </w:rPr>
        <w:t>משיגה</w:t>
      </w:r>
      <w:r>
        <w:rPr>
          <w:rFonts w:eastAsia="Arial TUR" w:cs="Arial TUR"/>
          <w:rtl w:val="true"/>
        </w:rPr>
        <w:t xml:space="preserve"> </w:t>
      </w:r>
      <w:r>
        <w:rPr>
          <w:rtl w:val="true"/>
        </w:rPr>
        <w:t>המדינה</w:t>
      </w:r>
      <w:r>
        <w:rPr>
          <w:rFonts w:eastAsia="Arial TUR" w:cs="Arial TUR"/>
          <w:rtl w:val="true"/>
        </w:rPr>
        <w:t xml:space="preserve"> </w:t>
      </w:r>
      <w:r>
        <w:rPr>
          <w:rtl w:val="true"/>
        </w:rPr>
        <w:t>על</w:t>
      </w:r>
      <w:r>
        <w:rPr>
          <w:rFonts w:eastAsia="Arial TUR" w:cs="Arial TUR"/>
          <w:rtl w:val="true"/>
        </w:rPr>
        <w:t xml:space="preserve"> </w:t>
      </w:r>
      <w:r>
        <w:rPr>
          <w:rtl w:val="true"/>
        </w:rPr>
        <w:t>ניתוחו</w:t>
      </w:r>
      <w:r>
        <w:rPr>
          <w:rFonts w:eastAsia="Arial TUR" w:cs="Arial TUR"/>
          <w:rtl w:val="true"/>
        </w:rPr>
        <w:t xml:space="preserve"> </w:t>
      </w:r>
      <w:r>
        <w:rPr>
          <w:rtl w:val="true"/>
        </w:rPr>
        <w:t>המשפטי</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בדונו</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tl w:val="true"/>
        </w:rPr>
        <w:t xml:space="preserve">. </w:t>
      </w:r>
      <w:r>
        <w:rPr>
          <w:rtl w:val="true"/>
        </w:rPr>
        <w:t>לגישתה</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במתן</w:t>
      </w:r>
      <w:r>
        <w:rPr>
          <w:rFonts w:eastAsia="Arial TUR" w:cs="Arial TUR"/>
          <w:rtl w:val="true"/>
        </w:rPr>
        <w:t xml:space="preserve"> </w:t>
      </w:r>
      <w:r>
        <w:rPr>
          <w:rtl w:val="true"/>
        </w:rPr>
        <w:t>פרשנות</w:t>
      </w:r>
      <w:r>
        <w:rPr>
          <w:rFonts w:eastAsia="Arial TUR" w:cs="Arial TUR"/>
          <w:rtl w:val="true"/>
        </w:rPr>
        <w:t xml:space="preserve"> </w:t>
      </w:r>
      <w:r>
        <w:rPr>
          <w:rtl w:val="true"/>
        </w:rPr>
        <w:t>מצומצמת</w:t>
      </w:r>
      <w:r>
        <w:rPr>
          <w:rFonts w:eastAsia="Arial TUR" w:cs="Arial TUR"/>
          <w:rtl w:val="true"/>
        </w:rPr>
        <w:t xml:space="preserve"> </w:t>
      </w:r>
      <w:r>
        <w:rPr>
          <w:rtl w:val="true"/>
        </w:rPr>
        <w:t>וצרה</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Fonts w:eastAsia="Arial TUR" w:cs="Arial TUR"/>
          <w:rtl w:val="true"/>
        </w:rPr>
        <w:t xml:space="preserve"> </w:t>
      </w:r>
      <w:r>
        <w:rPr>
          <w:rtl w:val="true"/>
        </w:rPr>
        <w:t>ליסוד</w:t>
      </w:r>
      <w:r>
        <w:rPr>
          <w:rFonts w:eastAsia="Arial TUR" w:cs="Arial TUR"/>
          <w:rtl w:val="true"/>
        </w:rPr>
        <w:t xml:space="preserve"> </w:t>
      </w:r>
      <w:r>
        <w:rPr>
          <w:rtl w:val="true"/>
        </w:rPr>
        <w:t>שלילת</w:t>
      </w:r>
      <w:r>
        <w:rPr>
          <w:rFonts w:eastAsia="Arial TUR" w:cs="Arial TUR"/>
          <w:rtl w:val="true"/>
        </w:rPr>
        <w:t xml:space="preserve"> </w:t>
      </w:r>
      <w:r>
        <w:rPr>
          <w:rtl w:val="true"/>
        </w:rPr>
        <w:t>החירות</w:t>
      </w:r>
      <w:r>
        <w:rPr>
          <w:rtl w:val="true"/>
        </w:rPr>
        <w:t xml:space="preserve">. </w:t>
      </w:r>
      <w:r>
        <w:rPr>
          <w:rtl w:val="true"/>
        </w:rPr>
        <w:t>חירות</w:t>
      </w:r>
      <w:r>
        <w:rPr>
          <w:rFonts w:eastAsia="Arial TUR" w:cs="Arial TUR"/>
          <w:rtl w:val="true"/>
        </w:rPr>
        <w:t xml:space="preserve"> </w:t>
      </w:r>
      <w:r>
        <w:rPr>
          <w:rtl w:val="true"/>
        </w:rPr>
        <w:t>המתלוננת</w:t>
      </w:r>
      <w:r>
        <w:rPr>
          <w:rFonts w:eastAsia="Arial TUR" w:cs="Arial TUR"/>
          <w:rtl w:val="true"/>
        </w:rPr>
        <w:t xml:space="preserve"> </w:t>
      </w:r>
      <w:r>
        <w:rPr>
          <w:rtl w:val="true"/>
        </w:rPr>
        <w:t>נשללה</w:t>
      </w:r>
      <w:r>
        <w:rPr>
          <w:rFonts w:eastAsia="Arial TUR" w:cs="Arial TUR"/>
          <w:rtl w:val="true"/>
        </w:rPr>
        <w:t xml:space="preserve"> </w:t>
      </w:r>
      <w:r>
        <w:rPr>
          <w:rtl w:val="true"/>
        </w:rPr>
        <w:t>משהובלה</w:t>
      </w:r>
      <w:r>
        <w:rPr>
          <w:rFonts w:eastAsia="Arial TUR" w:cs="Arial TUR"/>
          <w:rtl w:val="true"/>
        </w:rPr>
        <w:t xml:space="preserve"> </w:t>
      </w:r>
      <w:r>
        <w:rPr>
          <w:rtl w:val="true"/>
        </w:rPr>
        <w:t>בדרכי</w:t>
      </w:r>
      <w:r>
        <w:rPr>
          <w:rFonts w:eastAsia="Arial TUR" w:cs="Arial TUR"/>
          <w:rtl w:val="true"/>
        </w:rPr>
        <w:t xml:space="preserve"> </w:t>
      </w:r>
      <w:r>
        <w:rPr>
          <w:rtl w:val="true"/>
        </w:rPr>
        <w:t>מרמה</w:t>
      </w:r>
      <w:r>
        <w:rPr>
          <w:rFonts w:eastAsia="Arial TUR" w:cs="Arial TUR"/>
          <w:rtl w:val="true"/>
        </w:rPr>
        <w:t xml:space="preserve"> </w:t>
      </w:r>
      <w:r>
        <w:rPr>
          <w:rtl w:val="true"/>
        </w:rPr>
        <w:t>לצימר</w:t>
      </w:r>
      <w:r>
        <w:rPr>
          <w:rFonts w:eastAsia="Arial TUR" w:cs="Arial TUR"/>
          <w:rtl w:val="true"/>
        </w:rPr>
        <w:t xml:space="preserve"> </w:t>
      </w:r>
      <w:r>
        <w:rPr>
          <w:rtl w:val="true"/>
        </w:rPr>
        <w:t>ושהתה</w:t>
      </w:r>
      <w:r>
        <w:rPr>
          <w:rFonts w:eastAsia="Arial TUR" w:cs="Arial TUR"/>
          <w:rtl w:val="true"/>
        </w:rPr>
        <w:t xml:space="preserve"> </w:t>
      </w:r>
      <w:r>
        <w:rPr>
          <w:rtl w:val="true"/>
        </w:rPr>
        <w:t>בו</w:t>
      </w:r>
      <w:r>
        <w:rPr>
          <w:rFonts w:eastAsia="Arial TUR" w:cs="Arial TUR"/>
          <w:rtl w:val="true"/>
        </w:rPr>
        <w:t xml:space="preserve"> </w:t>
      </w:r>
      <w:r>
        <w:rPr>
          <w:rtl w:val="true"/>
        </w:rPr>
        <w:t>תחת</w:t>
      </w:r>
      <w:r>
        <w:rPr>
          <w:rFonts w:eastAsia="Arial TUR" w:cs="Arial TUR"/>
          <w:rtl w:val="true"/>
        </w:rPr>
        <w:t xml:space="preserve"> </w:t>
      </w:r>
      <w:r>
        <w:rPr>
          <w:rtl w:val="true"/>
        </w:rPr>
        <w:t>לחץ</w:t>
      </w:r>
      <w:r>
        <w:rPr>
          <w:rFonts w:eastAsia="Arial TUR" w:cs="Arial TUR"/>
          <w:rtl w:val="true"/>
        </w:rPr>
        <w:t xml:space="preserve"> </w:t>
      </w:r>
      <w:r>
        <w:rPr>
          <w:rtl w:val="true"/>
        </w:rPr>
        <w:t>פסיכולוגי</w:t>
      </w:r>
      <w:r>
        <w:rPr>
          <w:rFonts w:eastAsia="Arial TUR" w:cs="Arial TUR"/>
          <w:rtl w:val="true"/>
        </w:rPr>
        <w:t xml:space="preserve"> </w:t>
      </w:r>
      <w:r>
        <w:rPr>
          <w:rtl w:val="true"/>
        </w:rPr>
        <w:t>ונפשי</w:t>
      </w:r>
      <w:r>
        <w:rPr>
          <w:rFonts w:eastAsia="Arial TUR" w:cs="Arial TUR"/>
          <w:rtl w:val="true"/>
        </w:rPr>
        <w:t xml:space="preserve"> </w:t>
      </w:r>
      <w:r>
        <w:rPr>
          <w:rtl w:val="true"/>
        </w:rPr>
        <w:t>שהפעיל</w:t>
      </w:r>
      <w:r>
        <w:rPr>
          <w:rFonts w:eastAsia="Arial TUR" w:cs="Arial TUR"/>
          <w:rtl w:val="true"/>
        </w:rPr>
        <w:t xml:space="preserve"> </w:t>
      </w:r>
      <w:r>
        <w:rPr>
          <w:rtl w:val="true"/>
        </w:rPr>
        <w:t>עליה</w:t>
      </w:r>
      <w:r>
        <w:rPr>
          <w:rFonts w:eastAsia="Arial TUR" w:cs="Arial TUR"/>
          <w:rtl w:val="true"/>
        </w:rPr>
        <w:t xml:space="preserve"> </w:t>
      </w:r>
      <w:r>
        <w:rPr>
          <w:rtl w:val="true"/>
        </w:rPr>
        <w:t>המשיב</w:t>
      </w:r>
      <w:r>
        <w:rPr>
          <w:rtl w:val="true"/>
        </w:rPr>
        <w:t xml:space="preserve">, </w:t>
      </w:r>
      <w:r>
        <w:rPr>
          <w:rtl w:val="true"/>
        </w:rPr>
        <w:t>באופן</w:t>
      </w:r>
      <w:r>
        <w:rPr>
          <w:rFonts w:eastAsia="Arial TUR" w:cs="Arial TUR"/>
          <w:rtl w:val="true"/>
        </w:rPr>
        <w:t xml:space="preserve"> </w:t>
      </w:r>
      <w:r>
        <w:rPr>
          <w:rtl w:val="true"/>
        </w:rPr>
        <w:t>שגרם</w:t>
      </w:r>
      <w:r>
        <w:rPr>
          <w:rFonts w:eastAsia="Arial TUR" w:cs="Arial TUR"/>
          <w:rtl w:val="true"/>
        </w:rPr>
        <w:t xml:space="preserve"> </w:t>
      </w:r>
      <w:r>
        <w:rPr>
          <w:rtl w:val="true"/>
        </w:rPr>
        <w:t>לה</w:t>
      </w:r>
      <w:r>
        <w:rPr>
          <w:rFonts w:eastAsia="Arial TUR" w:cs="Arial TUR"/>
          <w:rtl w:val="true"/>
        </w:rPr>
        <w:t xml:space="preserve"> </w:t>
      </w:r>
      <w:r>
        <w:rPr>
          <w:rtl w:val="true"/>
        </w:rPr>
        <w:t>לחוש</w:t>
      </w:r>
      <w:r>
        <w:rPr>
          <w:rFonts w:eastAsia="Arial TUR" w:cs="Arial TUR"/>
          <w:rtl w:val="true"/>
        </w:rPr>
        <w:t xml:space="preserve"> </w:t>
      </w:r>
      <w:r>
        <w:rPr>
          <w:rtl w:val="true"/>
        </w:rPr>
        <w:t>כלואה</w:t>
      </w:r>
      <w:r>
        <w:rPr>
          <w:rFonts w:eastAsia="Arial TUR" w:cs="Arial TUR"/>
          <w:rtl w:val="true"/>
        </w:rPr>
        <w:t xml:space="preserve"> </w:t>
      </w:r>
      <w:r>
        <w:rPr>
          <w:rtl w:val="true"/>
        </w:rPr>
        <w:t>במהלך</w:t>
      </w:r>
      <w:r>
        <w:rPr>
          <w:rFonts w:eastAsia="Arial TUR" w:cs="Arial TUR"/>
          <w:rtl w:val="true"/>
        </w:rPr>
        <w:t xml:space="preserve"> </w:t>
      </w:r>
      <w:r>
        <w:rPr>
          <w:rtl w:val="true"/>
        </w:rPr>
        <w:t>שהותם</w:t>
      </w:r>
      <w:r>
        <w:rPr>
          <w:rFonts w:eastAsia="Arial TUR" w:cs="Arial TUR"/>
          <w:rtl w:val="true"/>
        </w:rPr>
        <w:t xml:space="preserve"> </w:t>
      </w:r>
      <w:r>
        <w:rPr>
          <w:rtl w:val="true"/>
        </w:rPr>
        <w:t>בצימר</w:t>
      </w:r>
      <w:r>
        <w:rPr>
          <w:rtl w:val="true"/>
        </w:rPr>
        <w:t xml:space="preserve">. </w:t>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לטענת</w:t>
      </w:r>
      <w:r>
        <w:rPr>
          <w:rFonts w:eastAsia="Arial TUR" w:cs="Arial TUR"/>
          <w:rtl w:val="true"/>
        </w:rPr>
        <w:t xml:space="preserve"> </w:t>
      </w:r>
      <w:r>
        <w:rPr>
          <w:rtl w:val="true"/>
        </w:rPr>
        <w:t>המדינה</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משבחן</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עבירת</w:t>
      </w:r>
      <w:r>
        <w:rPr>
          <w:rFonts w:eastAsia="Arial TUR" w:cs="Arial TUR"/>
          <w:rtl w:val="true"/>
        </w:rPr>
        <w:t xml:space="preserve"> </w:t>
      </w:r>
      <w:r>
        <w:rPr>
          <w:rtl w:val="true"/>
        </w:rPr>
        <w:t>החטיפה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הנסיבות</w:t>
      </w:r>
      <w:r>
        <w:rPr>
          <w:rFonts w:eastAsia="Arial TUR" w:cs="Arial TUR"/>
          <w:rtl w:val="true"/>
        </w:rPr>
        <w:t xml:space="preserve"> </w:t>
      </w:r>
      <w:r>
        <w:rPr>
          <w:rtl w:val="true"/>
        </w:rPr>
        <w:t>ששררו</w:t>
      </w:r>
      <w:r>
        <w:rPr>
          <w:rFonts w:eastAsia="Arial TUR" w:cs="Arial TUR"/>
          <w:rtl w:val="true"/>
        </w:rPr>
        <w:t xml:space="preserve"> </w:t>
      </w:r>
      <w:r>
        <w:rPr>
          <w:rtl w:val="true"/>
        </w:rPr>
        <w:t>בתוך</w:t>
      </w:r>
      <w:r>
        <w:rPr>
          <w:rFonts w:eastAsia="Arial TUR" w:cs="Arial TUR"/>
          <w:rtl w:val="true"/>
        </w:rPr>
        <w:t xml:space="preserve"> </w:t>
      </w:r>
      <w:r>
        <w:rPr>
          <w:rtl w:val="true"/>
        </w:rPr>
        <w:t>הצימר</w:t>
      </w:r>
      <w:r>
        <w:rPr>
          <w:rtl w:val="true"/>
        </w:rPr>
        <w:t xml:space="preserve">, </w:t>
      </w:r>
      <w:r>
        <w:rPr>
          <w:rtl w:val="true"/>
        </w:rPr>
        <w:t>שכן</w:t>
      </w:r>
      <w:r>
        <w:rPr>
          <w:rFonts w:eastAsia="Arial TUR" w:cs="Arial TUR"/>
          <w:rtl w:val="true"/>
        </w:rPr>
        <w:t xml:space="preserve"> </w:t>
      </w:r>
      <w:r>
        <w:rPr>
          <w:rtl w:val="true"/>
        </w:rPr>
        <w:t>עבירת</w:t>
      </w:r>
      <w:r>
        <w:rPr>
          <w:rFonts w:eastAsia="Arial TUR" w:cs="Arial TUR"/>
          <w:rtl w:val="true"/>
        </w:rPr>
        <w:t xml:space="preserve"> </w:t>
      </w:r>
      <w:r>
        <w:rPr>
          <w:rtl w:val="true"/>
        </w:rPr>
        <w:t>החטיפה</w:t>
      </w:r>
      <w:r>
        <w:rPr>
          <w:rFonts w:eastAsia="Arial TUR" w:cs="Arial TUR"/>
          <w:rtl w:val="true"/>
        </w:rPr>
        <w:t xml:space="preserve"> </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עבירת</w:t>
      </w:r>
      <w:r>
        <w:rPr>
          <w:rFonts w:eastAsia="Arial TUR" w:cs="Arial TUR"/>
          <w:rtl w:val="true"/>
        </w:rPr>
        <w:t xml:space="preserve"> </w:t>
      </w:r>
      <w:r>
        <w:rPr>
          <w:rtl w:val="true"/>
        </w:rPr>
        <w:t>מין</w:t>
      </w:r>
      <w:r>
        <w:rPr>
          <w:rFonts w:eastAsia="Arial TUR" w:cs="Arial TUR"/>
          <w:rtl w:val="true"/>
        </w:rPr>
        <w:t xml:space="preserve"> </w:t>
      </w:r>
      <w:r>
        <w:rPr>
          <w:rtl w:val="true"/>
        </w:rPr>
        <w:t>השתכללה</w:t>
      </w:r>
      <w:r>
        <w:rPr>
          <w:rFonts w:eastAsia="Arial TUR" w:cs="Arial TUR"/>
          <w:rtl w:val="true"/>
        </w:rPr>
        <w:t xml:space="preserve"> </w:t>
      </w:r>
      <w:r>
        <w:rPr>
          <w:rtl w:val="true"/>
        </w:rPr>
        <w:t>כבר</w:t>
      </w:r>
      <w:r>
        <w:rPr>
          <w:rFonts w:eastAsia="Arial TUR" w:cs="Arial TUR"/>
          <w:rtl w:val="true"/>
        </w:rPr>
        <w:t xml:space="preserve"> </w:t>
      </w:r>
      <w:r>
        <w:rPr>
          <w:rtl w:val="true"/>
        </w:rPr>
        <w:t>בעת</w:t>
      </w:r>
      <w:r>
        <w:rPr>
          <w:rFonts w:eastAsia="Arial TUR" w:cs="Arial TUR"/>
          <w:rtl w:val="true"/>
        </w:rPr>
        <w:t xml:space="preserve"> </w:t>
      </w:r>
      <w:r>
        <w:rPr>
          <w:rtl w:val="true"/>
        </w:rPr>
        <w:t>שהסיע</w:t>
      </w:r>
      <w:r>
        <w:rPr>
          <w:rFonts w:eastAsia="Arial TUR" w:cs="Arial TUR"/>
          <w:rtl w:val="true"/>
        </w:rPr>
        <w:t xml:space="preserve"> </w:t>
      </w:r>
      <w:r>
        <w:rPr>
          <w:rtl w:val="true"/>
        </w:rPr>
        <w:t>המשיב</w:t>
      </w:r>
      <w:r>
        <w:rPr>
          <w:rFonts w:eastAsia="Arial TUR" w:cs="Arial TUR"/>
          <w:rtl w:val="true"/>
        </w:rPr>
        <w:t xml:space="preserve"> </w:t>
      </w:r>
      <w:r>
        <w:rPr>
          <w:rtl w:val="true"/>
        </w:rPr>
        <w:t>את</w:t>
      </w:r>
      <w:r>
        <w:rPr>
          <w:rFonts w:eastAsia="Arial TUR" w:cs="Arial TUR"/>
          <w:rtl w:val="true"/>
        </w:rPr>
        <w:t xml:space="preserve"> </w:t>
      </w:r>
      <w:r>
        <w:rPr>
          <w:rtl w:val="true"/>
        </w:rPr>
        <w:t>המתלוננת</w:t>
      </w:r>
      <w:r>
        <w:rPr>
          <w:rFonts w:eastAsia="Arial TUR" w:cs="Arial TUR"/>
          <w:rtl w:val="true"/>
        </w:rPr>
        <w:t xml:space="preserve"> </w:t>
      </w:r>
      <w:r>
        <w:rPr>
          <w:rtl w:val="true"/>
        </w:rPr>
        <w:t>ברכבו</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לשיטת</w:t>
      </w:r>
      <w:r>
        <w:rPr>
          <w:rFonts w:eastAsia="Arial TUR" w:cs="Arial TUR"/>
          <w:rtl w:val="true"/>
        </w:rPr>
        <w:t xml:space="preserve"> </w:t>
      </w:r>
      <w:r>
        <w:rPr>
          <w:rtl w:val="true"/>
        </w:rPr>
        <w:t>המדינה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סבר</w:t>
      </w:r>
      <w:r>
        <w:rPr>
          <w:rFonts w:eastAsia="Arial TUR" w:cs="Arial TUR"/>
          <w:rtl w:val="true"/>
        </w:rPr>
        <w:t xml:space="preserve"> </w:t>
      </w:r>
      <w:r>
        <w:rPr>
          <w:rtl w:val="true"/>
        </w:rPr>
        <w:t>שלצורך</w:t>
      </w:r>
      <w:r>
        <w:rPr>
          <w:rFonts w:eastAsia="Arial TUR" w:cs="Arial TUR"/>
          <w:rtl w:val="true"/>
        </w:rPr>
        <w:t xml:space="preserve"> </w:t>
      </w:r>
      <w:r>
        <w:rPr>
          <w:rtl w:val="true"/>
        </w:rPr>
        <w:t>הרשעה</w:t>
      </w:r>
      <w:r>
        <w:rPr>
          <w:rFonts w:eastAsia="Arial TUR" w:cs="Arial TUR"/>
          <w:rtl w:val="true"/>
        </w:rPr>
        <w:t xml:space="preserve"> </w:t>
      </w:r>
      <w:r>
        <w:rPr>
          <w:rtl w:val="true"/>
        </w:rPr>
        <w:t>בעבירת</w:t>
      </w:r>
      <w:r>
        <w:rPr>
          <w:rFonts w:eastAsia="Arial TUR" w:cs="Arial TUR"/>
          <w:rtl w:val="true"/>
        </w:rPr>
        <w:t xml:space="preserve"> </w:t>
      </w:r>
      <w:r>
        <w:rPr>
          <w:rtl w:val="true"/>
        </w:rPr>
        <w:t>החטיפה</w:t>
      </w:r>
      <w:r>
        <w:rPr>
          <w:rFonts w:eastAsia="Arial TUR" w:cs="Arial TUR"/>
          <w:rtl w:val="true"/>
        </w:rPr>
        <w:t xml:space="preserve"> </w:t>
      </w:r>
      <w:r>
        <w:rPr>
          <w:rtl w:val="true"/>
        </w:rPr>
        <w:t>דרוש</w:t>
      </w:r>
      <w:r>
        <w:rPr>
          <w:rFonts w:eastAsia="Arial TUR" w:cs="Arial TUR"/>
          <w:rtl w:val="true"/>
        </w:rPr>
        <w:t xml:space="preserve">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מסוג</w:t>
      </w:r>
      <w:r>
        <w:rPr>
          <w:rFonts w:eastAsia="Arial TUR" w:cs="Arial TUR"/>
          <w:rtl w:val="true"/>
        </w:rPr>
        <w:t xml:space="preserve"> </w:t>
      </w:r>
      <w:r>
        <w:rPr>
          <w:rtl w:val="true"/>
        </w:rPr>
        <w:t>כוונה</w:t>
      </w:r>
      <w:r>
        <w:rPr>
          <w:rFonts w:eastAsia="Arial TUR" w:cs="Arial TU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מודעות</w:t>
      </w:r>
      <w:r>
        <w:rPr>
          <w:rtl w:val="true"/>
        </w:rPr>
        <w:t xml:space="preserve">, </w:t>
      </w:r>
      <w:r>
        <w:rPr>
          <w:rtl w:val="true"/>
        </w:rPr>
        <w:t>וכי</w:t>
      </w:r>
      <w:r>
        <w:rPr>
          <w:rFonts w:eastAsia="Arial TUR" w:cs="Arial TUR"/>
          <w:rtl w:val="true"/>
        </w:rPr>
        <w:t xml:space="preserve"> </w:t>
      </w:r>
      <w:r>
        <w:rPr>
          <w:rtl w:val="true"/>
        </w:rPr>
        <w:t>כוונה</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חייבת</w:t>
      </w:r>
      <w:r>
        <w:rPr>
          <w:rFonts w:eastAsia="Arial TUR" w:cs="Arial TUR"/>
          <w:rtl w:val="true"/>
        </w:rPr>
        <w:t xml:space="preserve"> </w:t>
      </w:r>
      <w:r>
        <w:rPr>
          <w:rtl w:val="true"/>
        </w:rPr>
        <w:t>להתייחס</w:t>
      </w:r>
      <w:r>
        <w:rPr>
          <w:rFonts w:eastAsia="Arial TUR" w:cs="Arial TUR"/>
          <w:rtl w:val="true"/>
        </w:rPr>
        <w:t xml:space="preserve"> </w:t>
      </w:r>
      <w:r>
        <w:rPr>
          <w:rtl w:val="true"/>
        </w:rPr>
        <w:t>לשלילת</w:t>
      </w:r>
      <w:r>
        <w:rPr>
          <w:rFonts w:eastAsia="Arial TUR" w:cs="Arial TUR"/>
          <w:rtl w:val="true"/>
        </w:rPr>
        <w:t xml:space="preserve"> </w:t>
      </w:r>
      <w:r>
        <w:rPr>
          <w:rtl w:val="true"/>
        </w:rPr>
        <w:t>חירותה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כך</w:t>
      </w:r>
      <w:r>
        <w:rPr>
          <w:rFonts w:eastAsia="Arial TUR" w:cs="Arial TUR"/>
          <w:rtl w:val="true"/>
        </w:rPr>
        <w:t xml:space="preserve"> </w:t>
      </w:r>
      <w:r>
        <w:rPr>
          <w:rtl w:val="true"/>
        </w:rPr>
        <w:t>שאין</w:t>
      </w:r>
      <w:r>
        <w:rPr>
          <w:rFonts w:eastAsia="Arial TUR" w:cs="Arial TUR"/>
          <w:rtl w:val="true"/>
        </w:rPr>
        <w:t xml:space="preserve"> </w:t>
      </w:r>
      <w:r>
        <w:rPr>
          <w:rtl w:val="true"/>
        </w:rPr>
        <w:t>די</w:t>
      </w:r>
      <w:r>
        <w:rPr>
          <w:rFonts w:eastAsia="Arial TUR" w:cs="Arial TUR"/>
          <w:rtl w:val="true"/>
        </w:rPr>
        <w:t xml:space="preserve"> </w:t>
      </w:r>
      <w:r>
        <w:rPr>
          <w:rtl w:val="true"/>
        </w:rPr>
        <w:t>בכוונה</w:t>
      </w:r>
      <w:r>
        <w:rPr>
          <w:rFonts w:eastAsia="Arial TUR" w:cs="Arial TUR"/>
          <w:rtl w:val="true"/>
        </w:rPr>
        <w:t xml:space="preserve"> </w:t>
      </w:r>
      <w:r>
        <w:rPr>
          <w:rtl w:val="true"/>
        </w:rPr>
        <w:t>להגביל</w:t>
      </w:r>
      <w:r>
        <w:rPr>
          <w:rFonts w:eastAsia="Arial TUR" w:cs="Arial TUR"/>
          <w:rtl w:val="true"/>
        </w:rPr>
        <w:t xml:space="preserve"> </w:t>
      </w:r>
      <w:r>
        <w:rPr>
          <w:rtl w:val="true"/>
        </w:rPr>
        <w:t>את</w:t>
      </w:r>
      <w:r>
        <w:rPr>
          <w:rFonts w:eastAsia="Arial TUR" w:cs="Arial TUR"/>
          <w:rtl w:val="true"/>
        </w:rPr>
        <w:t xml:space="preserve"> </w:t>
      </w:r>
      <w:r>
        <w:rPr>
          <w:rtl w:val="true"/>
        </w:rPr>
        <w:t>חירותה</w:t>
      </w:r>
      <w:r>
        <w:rPr>
          <w:rtl w:val="true"/>
        </w:rPr>
        <w:t xml:space="preserve">. </w:t>
      </w:r>
      <w:r>
        <w:rPr>
          <w:rtl w:val="true"/>
        </w:rPr>
        <w:t>פרשנות</w:t>
      </w:r>
      <w:r>
        <w:rPr>
          <w:rFonts w:eastAsia="Arial TUR" w:cs="Arial TUR"/>
          <w:rtl w:val="true"/>
        </w:rPr>
        <w:t xml:space="preserve"> </w:t>
      </w:r>
      <w:r>
        <w:rPr>
          <w:rtl w:val="true"/>
        </w:rPr>
        <w:t>נכונה</w:t>
      </w:r>
      <w:r>
        <w:rPr>
          <w:rtl w:val="true"/>
        </w:rPr>
        <w:t xml:space="preserve">, </w:t>
      </w:r>
      <w:r>
        <w:rPr>
          <w:rtl w:val="true"/>
        </w:rPr>
        <w:t>כך</w:t>
      </w:r>
      <w:r>
        <w:rPr>
          <w:rFonts w:eastAsia="Arial TUR" w:cs="Arial TUR"/>
          <w:rtl w:val="true"/>
        </w:rPr>
        <w:t xml:space="preserve"> </w:t>
      </w:r>
      <w:r>
        <w:rPr>
          <w:rtl w:val="true"/>
        </w:rPr>
        <w:t>סבורה</w:t>
      </w:r>
      <w:r>
        <w:rPr>
          <w:rFonts w:eastAsia="Arial TUR" w:cs="Arial TUR"/>
          <w:rtl w:val="true"/>
        </w:rPr>
        <w:t xml:space="preserve"> </w:t>
      </w:r>
      <w:r>
        <w:rPr>
          <w:rtl w:val="true"/>
        </w:rPr>
        <w:t>המדינה</w:t>
      </w:r>
      <w:r>
        <w:rPr>
          <w:rtl w:val="true"/>
        </w:rPr>
        <w:t xml:space="preserve">, </w:t>
      </w:r>
      <w:r>
        <w:rPr>
          <w:rtl w:val="true"/>
        </w:rPr>
        <w:t>אינה</w:t>
      </w:r>
      <w:r>
        <w:rPr>
          <w:rFonts w:eastAsia="Arial TUR" w:cs="Arial TUR"/>
          <w:rtl w:val="true"/>
        </w:rPr>
        <w:t xml:space="preserve"> </w:t>
      </w:r>
      <w:r>
        <w:rPr>
          <w:rtl w:val="true"/>
        </w:rPr>
        <w:t>מחייבת</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התכוון</w:t>
      </w:r>
      <w:r>
        <w:rPr>
          <w:rFonts w:eastAsia="Arial TUR" w:cs="Arial TUR"/>
          <w:rtl w:val="true"/>
        </w:rPr>
        <w:t xml:space="preserve"> </w:t>
      </w:r>
      <w:r>
        <w:rPr>
          <w:rtl w:val="true"/>
        </w:rPr>
        <w:t>במעשיו</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חירות</w:t>
      </w:r>
      <w:r>
        <w:rPr>
          <w:rFonts w:eastAsia="Arial TUR" w:cs="Arial TUR"/>
          <w:rtl w:val="true"/>
        </w:rPr>
        <w:t xml:space="preserve"> </w:t>
      </w:r>
      <w:r>
        <w:rPr>
          <w:rtl w:val="true"/>
        </w:rPr>
        <w:t>המתלוננת</w:t>
      </w:r>
      <w:r>
        <w:rPr>
          <w:rtl w:val="true"/>
        </w:rPr>
        <w:t xml:space="preserve">, </w:t>
      </w:r>
      <w:r>
        <w:rPr>
          <w:rtl w:val="true"/>
        </w:rPr>
        <w:t>אלא</w:t>
      </w:r>
      <w:r>
        <w:rPr>
          <w:rFonts w:eastAsia="Arial TUR" w:cs="Arial TUR"/>
          <w:rtl w:val="true"/>
        </w:rPr>
        <w:t xml:space="preserve"> </w:t>
      </w:r>
      <w:r>
        <w:rPr>
          <w:rtl w:val="true"/>
        </w:rPr>
        <w:t>שהייתה</w:t>
      </w:r>
      <w:r>
        <w:rPr>
          <w:rFonts w:eastAsia="Arial TUR" w:cs="Arial TUR"/>
          <w:rtl w:val="true"/>
        </w:rPr>
        <w:t xml:space="preserve"> </w:t>
      </w:r>
      <w:r>
        <w:rPr>
          <w:rtl w:val="true"/>
        </w:rPr>
        <w:t>לו</w:t>
      </w:r>
      <w:r>
        <w:rPr>
          <w:rFonts w:eastAsia="Arial TUR" w:cs="Arial TUR"/>
          <w:rtl w:val="true"/>
        </w:rPr>
        <w:t xml:space="preserve"> </w:t>
      </w:r>
      <w:r>
        <w:rPr>
          <w:rtl w:val="true"/>
        </w:rPr>
        <w:t>מודעות</w:t>
      </w:r>
      <w:r>
        <w:rPr>
          <w:rFonts w:eastAsia="Arial TUR" w:cs="Arial TUR"/>
          <w:rtl w:val="true"/>
        </w:rPr>
        <w:t xml:space="preserve"> </w:t>
      </w:r>
      <w:r>
        <w:rPr>
          <w:rtl w:val="true"/>
        </w:rPr>
        <w:t>לכך</w:t>
      </w:r>
      <w:r>
        <w:rPr>
          <w:rFonts w:eastAsia="Arial TUR" w:cs="Arial TUR"/>
          <w:rtl w:val="true"/>
        </w:rPr>
        <w:t xml:space="preserve"> </w:t>
      </w:r>
      <w:r>
        <w:rPr>
          <w:rtl w:val="true"/>
        </w:rPr>
        <w:t>שהוא</w:t>
      </w:r>
      <w:r>
        <w:rPr>
          <w:rFonts w:eastAsia="Arial TUR" w:cs="Arial TUR"/>
          <w:rtl w:val="true"/>
        </w:rPr>
        <w:t xml:space="preserve"> </w:t>
      </w:r>
      <w:r>
        <w:rPr>
          <w:rtl w:val="true"/>
        </w:rPr>
        <w:t>מפתה</w:t>
      </w:r>
      <w:r>
        <w:rPr>
          <w:rFonts w:eastAsia="Arial TUR" w:cs="Arial TUR"/>
          <w:rtl w:val="true"/>
        </w:rPr>
        <w:t xml:space="preserve"> </w:t>
      </w:r>
      <w:r>
        <w:rPr>
          <w:rtl w:val="true"/>
        </w:rPr>
        <w:t>אותה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ללכת</w:t>
      </w:r>
      <w:r>
        <w:rPr>
          <w:rFonts w:eastAsia="Arial TUR" w:cs="Arial TUR"/>
          <w:rtl w:val="true"/>
        </w:rPr>
        <w:t xml:space="preserve"> </w:t>
      </w:r>
      <w:r>
        <w:rPr>
          <w:rtl w:val="true"/>
        </w:rPr>
        <w:t>מהמקום</w:t>
      </w:r>
      <w:r>
        <w:rPr>
          <w:rFonts w:eastAsia="Arial TUR" w:cs="Arial TUR"/>
          <w:rtl w:val="true"/>
        </w:rPr>
        <w:t xml:space="preserve"> </w:t>
      </w:r>
      <w:r>
        <w:rPr>
          <w:rtl w:val="true"/>
        </w:rPr>
        <w:t>בו</w:t>
      </w:r>
      <w:r>
        <w:rPr>
          <w:rFonts w:eastAsia="Arial TUR" w:cs="Arial TUR"/>
          <w:rtl w:val="true"/>
        </w:rPr>
        <w:t xml:space="preserve"> </w:t>
      </w:r>
      <w:r>
        <w:rPr>
          <w:rtl w:val="true"/>
        </w:rPr>
        <w:t>נמצאת</w:t>
      </w:r>
      <w:r>
        <w:rPr>
          <w:rFonts w:eastAsia="Arial TUR" w:cs="Arial TUR"/>
          <w:rtl w:val="true"/>
        </w:rPr>
        <w:t xml:space="preserve"> </w:t>
      </w:r>
      <w:r>
        <w:rPr>
          <w:rtl w:val="true"/>
        </w:rPr>
        <w:t>–</w:t>
      </w:r>
      <w:r>
        <w:rPr>
          <w:rFonts w:eastAsia="Arial TUR" w:cs="Arial TUR"/>
          <w:rtl w:val="true"/>
        </w:rPr>
        <w:t xml:space="preserve"> </w:t>
      </w:r>
      <w:r>
        <w:rPr>
          <w:rtl w:val="true"/>
        </w:rPr>
        <w:t>וזו</w:t>
      </w:r>
      <w:r>
        <w:rPr>
          <w:rFonts w:eastAsia="Arial TUR" w:cs="Arial TUR"/>
          <w:rtl w:val="true"/>
        </w:rPr>
        <w:t xml:space="preserve"> </w:t>
      </w:r>
      <w:r>
        <w:rPr>
          <w:rtl w:val="true"/>
        </w:rPr>
        <w:t>התקיימה</w:t>
      </w:r>
      <w:r>
        <w:rPr>
          <w:rFonts w:eastAsia="Arial TUR" w:cs="Arial TUR"/>
          <w:rtl w:val="true"/>
        </w:rPr>
        <w:t xml:space="preserve"> </w:t>
      </w:r>
      <w:r>
        <w:rPr>
          <w:rtl w:val="true"/>
        </w:rPr>
        <w:t>בענייננו</w:t>
      </w:r>
      <w:r>
        <w:rPr>
          <w:rtl w:val="true"/>
        </w:rPr>
        <w:t xml:space="preserve">. </w:t>
      </w:r>
      <w:r>
        <w:rPr>
          <w:rtl w:val="true"/>
        </w:rPr>
        <w:t>בהתאם</w:t>
      </w:r>
      <w:r>
        <w:rPr>
          <w:rFonts w:eastAsia="Arial TUR" w:cs="Arial TUR"/>
          <w:rtl w:val="true"/>
        </w:rPr>
        <w:t xml:space="preserve"> </w:t>
      </w:r>
      <w:r>
        <w:rPr>
          <w:rtl w:val="true"/>
        </w:rPr>
        <w:t>לזאת</w:t>
      </w:r>
      <w:r>
        <w:rPr>
          <w:rtl w:val="true"/>
        </w:rPr>
        <w:t xml:space="preserve">, </w:t>
      </w:r>
      <w:r>
        <w:rPr>
          <w:rtl w:val="true"/>
        </w:rPr>
        <w:t>ובהינתן</w:t>
      </w:r>
      <w:r>
        <w:rPr>
          <w:rFonts w:eastAsia="Arial TUR" w:cs="Arial TUR"/>
          <w:rtl w:val="true"/>
        </w:rPr>
        <w:t xml:space="preserve"> </w:t>
      </w:r>
      <w:r>
        <w:rPr>
          <w:rtl w:val="true"/>
        </w:rPr>
        <w:t>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יסוד</w:t>
      </w:r>
      <w:r>
        <w:rPr>
          <w:rFonts w:eastAsia="Arial TUR" w:cs="Arial TUR"/>
          <w:rtl w:val="true"/>
        </w:rPr>
        <w:t xml:space="preserve"> </w:t>
      </w:r>
      <w:r>
        <w:rPr>
          <w:rtl w:val="true"/>
        </w:rPr>
        <w:t>"</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עבירת</w:t>
      </w:r>
      <w:r>
        <w:rPr>
          <w:rFonts w:eastAsia="Arial TUR" w:cs="Arial TUR"/>
          <w:rtl w:val="true"/>
        </w:rPr>
        <w:t xml:space="preserve"> </w:t>
      </w:r>
      <w:r>
        <w:rPr>
          <w:rtl w:val="true"/>
        </w:rPr>
        <w:t>מין</w:t>
      </w:r>
      <w:r>
        <w:rPr>
          <w:rtl w:val="true"/>
        </w:rPr>
        <w:t xml:space="preserve">" </w:t>
      </w:r>
      <w:r>
        <w:rPr>
          <w:rtl w:val="true"/>
        </w:rPr>
        <w:t>התקיים</w:t>
      </w:r>
      <w:r>
        <w:rPr>
          <w:rtl w:val="true"/>
        </w:rPr>
        <w:t xml:space="preserve">, </w:t>
      </w:r>
      <w:r>
        <w:rPr>
          <w:rtl w:val="true"/>
        </w:rPr>
        <w:t>ממשיכה</w:t>
      </w:r>
      <w:r>
        <w:rPr>
          <w:rFonts w:eastAsia="Arial TUR" w:cs="Arial TUR"/>
          <w:rtl w:val="true"/>
        </w:rPr>
        <w:t xml:space="preserve"> </w:t>
      </w:r>
      <w:r>
        <w:rPr>
          <w:rtl w:val="true"/>
        </w:rPr>
        <w:t>המדינה</w:t>
      </w:r>
      <w:r>
        <w:rPr>
          <w:rFonts w:eastAsia="Arial TUR" w:cs="Arial TUR"/>
          <w:rtl w:val="true"/>
        </w:rPr>
        <w:t xml:space="preserve"> </w:t>
      </w:r>
      <w:r>
        <w:rPr>
          <w:rtl w:val="true"/>
        </w:rPr>
        <w:t>וטוענת</w:t>
      </w:r>
      <w:r>
        <w:rPr>
          <w:rFonts w:eastAsia="Arial TUR" w:cs="Arial TUR"/>
          <w:rtl w:val="true"/>
        </w:rPr>
        <w:t xml:space="preserve"> </w:t>
      </w:r>
      <w:r>
        <w:rPr>
          <w:rtl w:val="true"/>
        </w:rPr>
        <w:t>כי</w:t>
      </w:r>
      <w:r>
        <w:rPr>
          <w:rFonts w:eastAsia="Arial TUR" w:cs="Arial TUR"/>
          <w:rtl w:val="true"/>
        </w:rPr>
        <w:t xml:space="preserve"> </w:t>
      </w:r>
      <w:r>
        <w:rPr>
          <w:rtl w:val="true"/>
        </w:rPr>
        <w:t>שאר</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התקיימו</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היא</w:t>
      </w:r>
      <w:r>
        <w:rPr>
          <w:rFonts w:eastAsia="Arial TUR" w:cs="Arial TUR"/>
          <w:rtl w:val="true"/>
        </w:rPr>
        <w:t xml:space="preserve"> </w:t>
      </w:r>
      <w:r>
        <w:rPr>
          <w:rtl w:val="true"/>
        </w:rPr>
        <w:t>מבקשת</w:t>
      </w:r>
      <w:r>
        <w:rPr>
          <w:rFonts w:eastAsia="Arial TUR" w:cs="Arial TUR"/>
          <w:rtl w:val="true"/>
        </w:rPr>
        <w:t xml:space="preserve"> </w:t>
      </w:r>
      <w:r>
        <w:rPr>
          <w:rtl w:val="true"/>
        </w:rPr>
        <w:t>כי</w:t>
      </w:r>
      <w:r>
        <w:rPr>
          <w:rFonts w:eastAsia="Arial TUR" w:cs="Arial TUR"/>
          <w:rtl w:val="true"/>
        </w:rPr>
        <w:t xml:space="preserve"> </w:t>
      </w:r>
      <w:r>
        <w:rPr>
          <w:rtl w:val="true"/>
        </w:rPr>
        <w:t>נרשיע</w:t>
      </w:r>
      <w:r>
        <w:rPr>
          <w:rFonts w:eastAsia="Arial TUR" w:cs="Arial TUR"/>
          <w:rtl w:val="true"/>
        </w:rPr>
        <w:t xml:space="preserve"> </w:t>
      </w:r>
      <w:r>
        <w:rPr>
          <w:rtl w:val="true"/>
        </w:rPr>
        <w:t>את</w:t>
      </w:r>
      <w:r>
        <w:rPr>
          <w:rFonts w:eastAsia="Arial TUR" w:cs="Arial TUR"/>
          <w:rtl w:val="true"/>
        </w:rPr>
        <w:t xml:space="preserve"> </w:t>
      </w:r>
      <w:r>
        <w:rPr>
          <w:rtl w:val="true"/>
        </w:rPr>
        <w:t>המשיב</w:t>
      </w:r>
      <w:r>
        <w:rPr>
          <w:rFonts w:eastAsia="Arial TUR" w:cs="Arial TUR"/>
          <w:rtl w:val="true"/>
        </w:rPr>
        <w:t xml:space="preserve"> </w:t>
      </w:r>
      <w:r>
        <w:rPr>
          <w:rtl w:val="true"/>
        </w:rPr>
        <w:t>גם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בנוגע</w:t>
      </w:r>
      <w:r>
        <w:rPr>
          <w:rFonts w:eastAsia="Arial TUR" w:cs="Arial TUR"/>
          <w:rtl w:val="true"/>
        </w:rPr>
        <w:t xml:space="preserve"> </w:t>
      </w:r>
      <w:r>
        <w:rPr>
          <w:rtl w:val="true"/>
        </w:rPr>
        <w:t>לאישום</w:t>
      </w:r>
      <w:r>
        <w:rPr>
          <w:rFonts w:eastAsia="Arial TUR" w:cs="Arial TUR"/>
          <w:rtl w:val="true"/>
        </w:rPr>
        <w:t xml:space="preserve"> </w:t>
      </w:r>
      <w:r>
        <w:rPr>
          <w:rtl w:val="true"/>
        </w:rPr>
        <w:t>בעבירת</w:t>
      </w:r>
      <w:r>
        <w:rPr>
          <w:rFonts w:eastAsia="Arial TUR" w:cs="Arial TUR"/>
          <w:rtl w:val="true"/>
        </w:rPr>
        <w:t xml:space="preserve"> </w:t>
      </w:r>
      <w:r>
        <w:rPr>
          <w:rtl w:val="true"/>
        </w:rPr>
        <w:t>כליאת</w:t>
      </w:r>
      <w:r>
        <w:rPr>
          <w:rFonts w:eastAsia="Arial TUR" w:cs="Arial TUR"/>
          <w:rtl w:val="true"/>
        </w:rPr>
        <w:t xml:space="preserve"> </w:t>
      </w:r>
      <w:r>
        <w:rPr>
          <w:rtl w:val="true"/>
        </w:rPr>
        <w:t>שווא</w:t>
      </w:r>
      <w:r>
        <w:rPr>
          <w:rtl w:val="true"/>
        </w:rPr>
        <w:t xml:space="preserve">, </w:t>
      </w:r>
      <w:r>
        <w:rPr>
          <w:rtl w:val="true"/>
        </w:rPr>
        <w:t>ובהמשך</w:t>
      </w:r>
      <w:r>
        <w:rPr>
          <w:rFonts w:eastAsia="Arial TUR" w:cs="Arial TUR"/>
          <w:rtl w:val="true"/>
        </w:rPr>
        <w:t xml:space="preserve"> </w:t>
      </w:r>
      <w:r>
        <w:rPr>
          <w:rtl w:val="true"/>
        </w:rPr>
        <w:t>לטענותיה</w:t>
      </w:r>
      <w:r>
        <w:rPr>
          <w:rFonts w:eastAsia="Arial TUR" w:cs="Arial TUR"/>
          <w:rtl w:val="true"/>
        </w:rPr>
        <w:t xml:space="preserve"> </w:t>
      </w:r>
      <w:r>
        <w:rPr>
          <w:rtl w:val="true"/>
        </w:rPr>
        <w:t>שלעיל</w:t>
      </w:r>
      <w:r>
        <w:rPr>
          <w:rFonts w:eastAsia="Arial TUR" w:cs="Arial TUR"/>
          <w:rtl w:val="true"/>
        </w:rPr>
        <w:t xml:space="preserve"> </w:t>
      </w:r>
      <w:r>
        <w:rPr>
          <w:rtl w:val="true"/>
        </w:rPr>
        <w:t>ביחס</w:t>
      </w:r>
      <w:r>
        <w:rPr>
          <w:rFonts w:eastAsia="Arial TUR" w:cs="Arial TUR"/>
          <w:rtl w:val="true"/>
        </w:rPr>
        <w:t xml:space="preserve"> </w:t>
      </w:r>
      <w:r>
        <w:rPr>
          <w:rtl w:val="true"/>
        </w:rPr>
        <w:t>ליסוד</w:t>
      </w:r>
      <w:r>
        <w:rPr>
          <w:rFonts w:eastAsia="Arial TUR" w:cs="Arial TUR"/>
          <w:rtl w:val="true"/>
        </w:rPr>
        <w:t xml:space="preserve"> </w:t>
      </w:r>
      <w:r>
        <w:rPr>
          <w:rtl w:val="true"/>
        </w:rPr>
        <w:t>שלילת</w:t>
      </w:r>
      <w:r>
        <w:rPr>
          <w:rFonts w:eastAsia="Arial TUR" w:cs="Arial TUR"/>
          <w:rtl w:val="true"/>
        </w:rPr>
        <w:t xml:space="preserve"> </w:t>
      </w:r>
      <w:r>
        <w:rPr>
          <w:rtl w:val="true"/>
        </w:rPr>
        <w:t>החירות</w:t>
      </w:r>
      <w:r>
        <w:rPr>
          <w:rtl w:val="true"/>
        </w:rPr>
        <w:t xml:space="preserve">, </w:t>
      </w:r>
      <w:r>
        <w:rPr>
          <w:rtl w:val="true"/>
        </w:rPr>
        <w:t>טוענת</w:t>
      </w:r>
      <w:r>
        <w:rPr>
          <w:rFonts w:eastAsia="Arial TUR" w:cs="Arial TUR"/>
          <w:rtl w:val="true"/>
        </w:rPr>
        <w:t xml:space="preserve"> </w:t>
      </w:r>
      <w:r>
        <w:rPr>
          <w:rtl w:val="true"/>
        </w:rPr>
        <w:t>המערערת</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חירותה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נשללה</w:t>
      </w:r>
      <w:r>
        <w:rPr>
          <w:rFonts w:eastAsia="Arial TUR" w:cs="Arial TUR"/>
          <w:rtl w:val="true"/>
        </w:rPr>
        <w:t xml:space="preserve"> </w:t>
      </w:r>
      <w:r>
        <w:rPr>
          <w:rtl w:val="true"/>
        </w:rPr>
        <w:t>במהלך</w:t>
      </w:r>
      <w:r>
        <w:rPr>
          <w:rFonts w:eastAsia="Arial TUR" w:cs="Arial TUR"/>
          <w:rtl w:val="true"/>
        </w:rPr>
        <w:t xml:space="preserve"> </w:t>
      </w:r>
      <w:r>
        <w:rPr>
          <w:rtl w:val="true"/>
        </w:rPr>
        <w:t>שהותה</w:t>
      </w:r>
      <w:r>
        <w:rPr>
          <w:rFonts w:eastAsia="Arial TUR" w:cs="Arial TUR"/>
          <w:rtl w:val="true"/>
        </w:rPr>
        <w:t xml:space="preserve"> </w:t>
      </w:r>
      <w:r>
        <w:rPr>
          <w:rtl w:val="true"/>
        </w:rPr>
        <w:t>בצימר</w:t>
      </w:r>
      <w:r>
        <w:rPr>
          <w:rtl w:val="true"/>
        </w:rPr>
        <w:t xml:space="preserve">, </w:t>
      </w:r>
      <w:r>
        <w:rPr>
          <w:rtl w:val="true"/>
        </w:rPr>
        <w:t>ומשכך</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משזיכה</w:t>
      </w:r>
      <w:r>
        <w:rPr>
          <w:rFonts w:eastAsia="Arial TUR" w:cs="Arial TUR"/>
          <w:rtl w:val="true"/>
        </w:rPr>
        <w:t xml:space="preserve"> </w:t>
      </w:r>
      <w:r>
        <w:rPr>
          <w:rtl w:val="true"/>
        </w:rPr>
        <w:t>את</w:t>
      </w:r>
      <w:r>
        <w:rPr>
          <w:rFonts w:eastAsia="Arial TUR" w:cs="Arial TUR"/>
          <w:rtl w:val="true"/>
        </w:rPr>
        <w:t xml:space="preserve"> </w:t>
      </w:r>
      <w:r>
        <w:rPr>
          <w:rtl w:val="true"/>
        </w:rPr>
        <w:t>המשיב</w:t>
      </w:r>
      <w:r>
        <w:rPr>
          <w:rFonts w:eastAsia="Arial TUR" w:cs="Arial TUR"/>
          <w:rtl w:val="true"/>
        </w:rPr>
        <w:t xml:space="preserve"> </w:t>
      </w:r>
      <w:r>
        <w:rPr>
          <w:rtl w:val="true"/>
        </w:rPr>
        <w:t>מעבירה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המשיב טוען כי מעשיו בצימר הסתכמו בניסיונות שכנוע מילוליים בלבד לקיום יחסי מין</w:t>
      </w:r>
      <w:r>
        <w:rPr>
          <w:rtl w:val="true"/>
        </w:rPr>
        <w:t xml:space="preserve">. </w:t>
      </w:r>
      <w:r>
        <w:rPr>
          <w:rtl w:val="true"/>
        </w:rPr>
        <w:t>בכל הנוגע לזיכויו מעבירות החטיפה לשם ביצוע עבירת מין וכליאת השווא</w:t>
      </w:r>
      <w:r>
        <w:rPr>
          <w:rtl w:val="true"/>
        </w:rPr>
        <w:t xml:space="preserve">, </w:t>
      </w:r>
      <w:r>
        <w:rPr>
          <w:rtl w:val="true"/>
        </w:rPr>
        <w:t>סומך הוא את ידו על קביעת בית המשפט המחוזי</w:t>
      </w:r>
      <w:r>
        <w:rPr>
          <w:rtl w:val="true"/>
        </w:rPr>
        <w:t xml:space="preserve">, </w:t>
      </w:r>
      <w:r>
        <w:rPr>
          <w:rtl w:val="true"/>
        </w:rPr>
        <w:t>וטוען</w:t>
      </w:r>
      <w:r>
        <w:rPr>
          <w:rtl w:val="true"/>
        </w:rPr>
        <w:t xml:space="preserve">, </w:t>
      </w:r>
      <w:r>
        <w:rPr>
          <w:rtl w:val="true"/>
        </w:rPr>
        <w:t>כי אכן</w:t>
      </w:r>
      <w:r>
        <w:rPr>
          <w:rtl w:val="true"/>
        </w:rPr>
        <w:t xml:space="preserve">, </w:t>
      </w:r>
      <w:r>
        <w:rPr>
          <w:rtl w:val="true"/>
        </w:rPr>
        <w:t>לא מנע את יציאתה של המתלוננת מהצימר באף שלב</w:t>
      </w:r>
      <w:r>
        <w:rPr>
          <w:rtl w:val="true"/>
        </w:rPr>
        <w:t xml:space="preserve">. </w:t>
      </w:r>
      <w:r>
        <w:rPr>
          <w:rtl w:val="true"/>
        </w:rPr>
        <w:t>היעדר ניסיונה של המתלוננת לצאת מהחדר</w:t>
      </w:r>
      <w:r>
        <w:rPr>
          <w:rtl w:val="true"/>
        </w:rPr>
        <w:t xml:space="preserve">, </w:t>
      </w:r>
      <w:r>
        <w:rPr>
          <w:rtl w:val="true"/>
        </w:rPr>
        <w:t xml:space="preserve">חרף יכולתה לעשות כן </w:t>
      </w:r>
      <w:r>
        <w:rPr>
          <w:rtl w:val="true"/>
        </w:rPr>
        <w:t>(</w:t>
      </w:r>
      <w:r>
        <w:rPr>
          <w:rtl w:val="true"/>
        </w:rPr>
        <w:t>לאור קביעות בית המשפט המחוזי כי המפתח נותר בדלת וכי המשיב נכנס לשירותים מספר פעמים</w:t>
      </w:r>
      <w:r>
        <w:rPr>
          <w:rtl w:val="true"/>
        </w:rPr>
        <w:t xml:space="preserve">) </w:t>
      </w:r>
      <w:r>
        <w:rPr>
          <w:rtl w:val="true"/>
        </w:rPr>
        <w:t>והסכמת המשיב לעזוב את הצימר עם בקשת המתלוננת</w:t>
      </w:r>
      <w:r>
        <w:rPr>
          <w:rtl w:val="true"/>
        </w:rPr>
        <w:t xml:space="preserve">, </w:t>
      </w:r>
      <w:r>
        <w:rPr>
          <w:rtl w:val="true"/>
        </w:rPr>
        <w:t>מלמדים על כך שחירותה לא נשללה</w:t>
      </w:r>
      <w:r>
        <w:rPr>
          <w:rtl w:val="true"/>
        </w:rPr>
        <w:t xml:space="preserve">. </w:t>
      </w:r>
      <w:r>
        <w:rPr>
          <w:rtl w:val="true"/>
        </w:rPr>
        <w:t>כך גם עולה מהפסיקה אשר מייחסת חשיבות רבה לתיחום גבולותיה של עבירת החטיפה</w:t>
      </w:r>
      <w:r>
        <w:rPr>
          <w:rtl w:val="true"/>
        </w:rPr>
        <w:t xml:space="preserve">. </w:t>
      </w:r>
      <w:r>
        <w:rPr>
          <w:rtl w:val="true"/>
        </w:rPr>
        <w:t>זאת ועוד</w:t>
      </w:r>
      <w:r>
        <w:rPr>
          <w:rtl w:val="true"/>
        </w:rPr>
        <w:t xml:space="preserve">, </w:t>
      </w:r>
      <w:r>
        <w:rPr>
          <w:rtl w:val="true"/>
        </w:rPr>
        <w:t>אשר ליסוד הכוונה המיוחדת</w:t>
      </w:r>
      <w:r>
        <w:rPr>
          <w:rtl w:val="true"/>
        </w:rPr>
        <w:t xml:space="preserve">, </w:t>
      </w:r>
      <w:r>
        <w:rPr>
          <w:rtl w:val="true"/>
        </w:rPr>
        <w:t>טוען המשיב כי יש לבחון את היסוד הנפשי בעת שהמתלוננת הוזזה ממקומה בתרמית</w:t>
      </w:r>
      <w:r>
        <w:rPr>
          <w:rtl w:val="true"/>
        </w:rPr>
        <w:t xml:space="preserve">, </w:t>
      </w:r>
      <w:r>
        <w:rPr>
          <w:rtl w:val="true"/>
        </w:rPr>
        <w:t>ולא בשלב ביצוע עבירת המין</w:t>
      </w:r>
      <w:r>
        <w:rPr>
          <w:rtl w:val="true"/>
        </w:rPr>
        <w:t xml:space="preserve">; </w:t>
      </w:r>
      <w:r>
        <w:rPr>
          <w:rtl w:val="true"/>
        </w:rPr>
        <w:t xml:space="preserve">ואילו בשלב זה </w:t>
      </w:r>
      <w:r>
        <w:rPr>
          <w:rtl w:val="true"/>
        </w:rPr>
        <w:t>(</w:t>
      </w:r>
      <w:r>
        <w:rPr>
          <w:rtl w:val="true"/>
        </w:rPr>
        <w:t>ולאחריו</w:t>
      </w:r>
      <w:r>
        <w:rPr>
          <w:rtl w:val="true"/>
        </w:rPr>
        <w:t xml:space="preserve">) </w:t>
      </w:r>
      <w:r>
        <w:rPr>
          <w:rtl w:val="true"/>
        </w:rPr>
        <w:t>כוונתו הייתה לקיים יחסי מין עם המתלוננת בהסכמה בלבד</w:t>
      </w:r>
      <w:r>
        <w:rPr>
          <w:rtl w:val="true"/>
        </w:rPr>
        <w:t xml:space="preserve">. </w:t>
      </w:r>
      <w:r>
        <w:rPr>
          <w:rtl w:val="true"/>
        </w:rPr>
        <w:t>לאור האמור</w:t>
      </w:r>
      <w:r>
        <w:rPr>
          <w:rtl w:val="true"/>
        </w:rPr>
        <w:t xml:space="preserve">, </w:t>
      </w:r>
      <w:r>
        <w:rPr>
          <w:rtl w:val="true"/>
        </w:rPr>
        <w:t>טוען המשיב כי יש להותיר על כנו את זיכויו מכלל העבירות שמהן זוכה</w:t>
      </w:r>
      <w:r>
        <w:rPr>
          <w:rtl w:val="true"/>
        </w:rPr>
        <w:t>.</w:t>
      </w:r>
    </w:p>
    <w:p>
      <w:pPr>
        <w:pStyle w:val="Ruller41"/>
        <w:ind w:end="0"/>
        <w:jc w:val="both"/>
        <w:rPr/>
      </w:pPr>
      <w:r>
        <w:rPr>
          <w:rtl w:val="true"/>
        </w:rPr>
      </w:r>
    </w:p>
    <w:p>
      <w:pPr>
        <w:pStyle w:val="Ruller41"/>
        <w:ind w:end="0"/>
        <w:jc w:val="both"/>
        <w:rPr>
          <w:rFonts w:ascii="Century" w:hAnsi="Century" w:cs="Miriam"/>
          <w:b/>
          <w:szCs w:val="24"/>
        </w:rPr>
      </w:pPr>
      <w:r>
        <w:rPr>
          <w:rFonts w:ascii="Century" w:hAnsi="Century" w:cs="Miriam"/>
          <w:b/>
          <w:b/>
          <w:szCs w:val="24"/>
          <w:rtl w:val="true"/>
        </w:rPr>
        <w:t>דיון</w:t>
      </w:r>
      <w:r>
        <w:rPr>
          <w:rFonts w:ascii="Century" w:hAnsi="Century" w:eastAsia="Century" w:cs="Century"/>
          <w:b/>
          <w:b/>
          <w:szCs w:val="24"/>
          <w:rtl w:val="true"/>
        </w:rPr>
        <w:t xml:space="preserve"> </w:t>
      </w:r>
      <w:r>
        <w:rPr>
          <w:rFonts w:ascii="Century" w:hAnsi="Century" w:cs="Miriam"/>
          <w:b/>
          <w:b/>
          <w:szCs w:val="24"/>
          <w:rtl w:val="true"/>
        </w:rPr>
        <w:t>והכרעה</w:t>
      </w:r>
    </w:p>
    <w:p>
      <w:pPr>
        <w:pStyle w:val="Ruller41"/>
        <w:ind w:end="0"/>
        <w:jc w:val="both"/>
        <w:rPr>
          <w:rFonts w:ascii="Century" w:hAnsi="Century" w:cs="Century"/>
          <w:b/>
          <w:szCs w:val="24"/>
        </w:rPr>
      </w:pPr>
      <w:r>
        <w:rPr>
          <w:rFonts w:cs="Century" w:ascii="Century" w:hAnsi="Century"/>
          <w:b/>
          <w:szCs w:val="24"/>
          <w:rtl w:val="true"/>
        </w:rPr>
      </w:r>
    </w:p>
    <w:p>
      <w:pPr>
        <w:pStyle w:val="Ruller42"/>
        <w:numPr>
          <w:ilvl w:val="0"/>
          <w:numId w:val="1"/>
        </w:numPr>
        <w:ind w:hanging="0" w:start="0" w:end="0"/>
        <w:jc w:val="both"/>
        <w:rPr/>
      </w:pPr>
      <w:r>
        <w:rPr>
          <w:rtl w:val="true"/>
        </w:rPr>
        <w:t>לאחר שעיינתי בערעור ובמכלול החומר המצוי בתיק</w:t>
      </w:r>
      <w:r>
        <w:rPr>
          <w:rtl w:val="true"/>
        </w:rPr>
        <w:t xml:space="preserve">, </w:t>
      </w:r>
      <w:r>
        <w:rPr>
          <w:rtl w:val="true"/>
        </w:rPr>
        <w:t>ושמעתי את טיעוניהם של באי</w:t>
      </w:r>
      <w:r>
        <w:rPr>
          <w:rtl w:val="true"/>
        </w:rPr>
        <w:t>-</w:t>
      </w:r>
      <w:r>
        <w:rPr>
          <w:rtl w:val="true"/>
        </w:rPr>
        <w:t>כוח הצדדים</w:t>
      </w:r>
      <w:r>
        <w:rPr>
          <w:rtl w:val="true"/>
        </w:rPr>
        <w:t xml:space="preserve">, </w:t>
      </w:r>
      <w:r>
        <w:rPr>
          <w:rtl w:val="true"/>
        </w:rPr>
        <w:t>באתי לכלל מסקנה כי דין הערעור להידחות</w:t>
      </w:r>
      <w:r>
        <w:rPr>
          <w:rtl w:val="true"/>
        </w:rPr>
        <w:t xml:space="preserve">. </w:t>
      </w:r>
      <w:r>
        <w:rPr>
          <w:rtl w:val="true"/>
        </w:rPr>
        <w:t>כך אציע לחבריי שנעשה</w:t>
      </w:r>
      <w:r>
        <w:rPr>
          <w:rtl w:val="true"/>
        </w:rPr>
        <w:t xml:space="preserve">, </w:t>
      </w:r>
      <w:r>
        <w:rPr>
          <w:rtl w:val="true"/>
        </w:rPr>
        <w:t>והכל מהטעמים שיפורטו להלן</w:t>
      </w:r>
      <w:r>
        <w:rPr>
          <w:rtl w:val="true"/>
        </w:rPr>
        <w:t xml:space="preserve">. </w:t>
      </w:r>
    </w:p>
    <w:p>
      <w:pPr>
        <w:pStyle w:val="Ruller41"/>
        <w:ind w:end="0"/>
        <w:jc w:val="both"/>
        <w:rPr/>
      </w:pPr>
      <w:r>
        <w:rPr>
          <w:rtl w:val="true"/>
        </w:rPr>
      </w:r>
    </w:p>
    <w:p>
      <w:pPr>
        <w:pStyle w:val="Ruller41"/>
        <w:ind w:end="0"/>
        <w:jc w:val="both"/>
        <w:rPr>
          <w:rFonts w:ascii="Century" w:hAnsi="Century" w:cs="Miriam"/>
          <w:b/>
          <w:szCs w:val="24"/>
        </w:rPr>
      </w:pPr>
      <w:r>
        <w:rPr>
          <w:rFonts w:ascii="Century" w:hAnsi="Century" w:cs="Miriam"/>
          <w:b/>
          <w:b/>
          <w:szCs w:val="24"/>
          <w:rtl w:val="true"/>
        </w:rPr>
        <w:t>הזיכוי</w:t>
      </w:r>
      <w:r>
        <w:rPr>
          <w:rFonts w:ascii="Century" w:hAnsi="Century" w:eastAsia="Century" w:cs="Century"/>
          <w:b/>
          <w:b/>
          <w:szCs w:val="24"/>
          <w:rtl w:val="true"/>
        </w:rPr>
        <w:t xml:space="preserve"> </w:t>
      </w:r>
      <w:r>
        <w:rPr>
          <w:rFonts w:ascii="Century" w:hAnsi="Century" w:cs="Miriam"/>
          <w:b/>
          <w:b/>
          <w:szCs w:val="24"/>
          <w:rtl w:val="true"/>
        </w:rPr>
        <w:t>מהאישום</w:t>
      </w:r>
      <w:r>
        <w:rPr>
          <w:rFonts w:ascii="Century" w:hAnsi="Century" w:eastAsia="Century" w:cs="Century"/>
          <w:b/>
          <w:b/>
          <w:szCs w:val="24"/>
          <w:rtl w:val="true"/>
        </w:rPr>
        <w:t xml:space="preserve"> </w:t>
      </w:r>
      <w:r>
        <w:rPr>
          <w:rFonts w:ascii="Century" w:hAnsi="Century" w:cs="Miriam"/>
          <w:b/>
          <w:b/>
          <w:szCs w:val="24"/>
          <w:rtl w:val="true"/>
        </w:rPr>
        <w:t>באינוס</w:t>
      </w:r>
      <w:r>
        <w:rPr>
          <w:rFonts w:ascii="Century" w:hAnsi="Century" w:eastAsia="Century" w:cs="Century"/>
          <w:b/>
          <w:b/>
          <w:szCs w:val="24"/>
          <w:rtl w:val="true"/>
        </w:rPr>
        <w:t xml:space="preserve"> </w:t>
      </w:r>
      <w:r>
        <w:rPr>
          <w:rFonts w:ascii="Century" w:hAnsi="Century" w:cs="Miriam"/>
          <w:b/>
          <w:b/>
          <w:szCs w:val="24"/>
          <w:rtl w:val="true"/>
        </w:rPr>
        <w:t>ובמעשה</w:t>
      </w:r>
      <w:r>
        <w:rPr>
          <w:rFonts w:ascii="Century" w:hAnsi="Century" w:eastAsia="Century" w:cs="Century"/>
          <w:b/>
          <w:b/>
          <w:szCs w:val="24"/>
          <w:rtl w:val="true"/>
        </w:rPr>
        <w:t xml:space="preserve"> </w:t>
      </w:r>
      <w:r>
        <w:rPr>
          <w:rFonts w:ascii="Century" w:hAnsi="Century" w:cs="Miriam"/>
          <w:b/>
          <w:b/>
          <w:szCs w:val="24"/>
          <w:rtl w:val="true"/>
        </w:rPr>
        <w:t>המגונה</w:t>
      </w:r>
      <w:r>
        <w:rPr>
          <w:rFonts w:ascii="Century" w:hAnsi="Century" w:eastAsia="Century" w:cs="Century"/>
          <w:b/>
          <w:b/>
          <w:szCs w:val="24"/>
          <w:rtl w:val="true"/>
        </w:rPr>
        <w:t xml:space="preserve"> </w:t>
      </w:r>
      <w:r>
        <w:rPr>
          <w:rFonts w:ascii="Century" w:hAnsi="Century" w:cs="Miriam"/>
          <w:b/>
          <w:b/>
          <w:szCs w:val="24"/>
          <w:rtl w:val="true"/>
        </w:rPr>
        <w:t>הנוסף</w:t>
      </w:r>
    </w:p>
    <w:p>
      <w:pPr>
        <w:pStyle w:val="Ruller41"/>
        <w:ind w:end="0"/>
        <w:jc w:val="both"/>
        <w:rPr>
          <w:rFonts w:ascii="Century" w:hAnsi="Century" w:cs="Miriam"/>
          <w:b/>
          <w:szCs w:val="24"/>
        </w:rPr>
      </w:pPr>
      <w:r>
        <w:rPr>
          <w:rFonts w:cs="Miriam" w:ascii="Century" w:hAnsi="Century"/>
          <w:b/>
          <w:szCs w:val="24"/>
          <w:rtl w:val="true"/>
        </w:rPr>
      </w:r>
    </w:p>
    <w:p>
      <w:pPr>
        <w:pStyle w:val="Ruller42"/>
        <w:numPr>
          <w:ilvl w:val="0"/>
          <w:numId w:val="1"/>
        </w:numPr>
        <w:ind w:hanging="0" w:start="0" w:end="0"/>
        <w:jc w:val="both"/>
        <w:rPr/>
      </w:pPr>
      <w:r>
        <w:rPr>
          <w:rFonts w:eastAsia="Garamond"/>
          <w:rtl w:val="true"/>
        </w:rPr>
        <w:t xml:space="preserve"> </w:t>
      </w:r>
      <w:r>
        <w:rPr>
          <w:rtl w:val="true"/>
        </w:rPr>
        <w:t>בענייננו</w:t>
      </w:r>
      <w:r>
        <w:rPr>
          <w:rtl w:val="true"/>
        </w:rPr>
        <w:t xml:space="preserve">, </w:t>
      </w:r>
      <w:r>
        <w:rPr>
          <w:rtl w:val="true"/>
        </w:rPr>
        <w:t>בית המשפט קמא קבע שנותר לו ספק בעניין מעשה החדרת האצבעות לאיבר מינה של המתלוננת וכפיית הנחת ידה על איבר מינו של המשיב</w:t>
      </w:r>
      <w:r>
        <w:rPr>
          <w:rtl w:val="true"/>
        </w:rPr>
        <w:t xml:space="preserve">, </w:t>
      </w:r>
      <w:r>
        <w:rPr>
          <w:rtl w:val="true"/>
        </w:rPr>
        <w:t>וזאת למרות האמון המלא שנתן בעדות המתלוננת</w:t>
      </w:r>
      <w:r>
        <w:rPr>
          <w:rtl w:val="true"/>
        </w:rPr>
        <w:t xml:space="preserve">. </w:t>
      </w:r>
      <w:r>
        <w:rPr>
          <w:rtl w:val="true"/>
        </w:rPr>
        <w:t>בכך</w:t>
      </w:r>
      <w:r>
        <w:rPr>
          <w:rtl w:val="true"/>
        </w:rPr>
        <w:t xml:space="preserve">, </w:t>
      </w:r>
      <w:r>
        <w:rPr>
          <w:rtl w:val="true"/>
        </w:rPr>
        <w:t xml:space="preserve">פילג את עדותה של המתלוננת </w:t>
      </w:r>
      <w:r>
        <w:rPr>
          <w:rtl w:val="true"/>
        </w:rPr>
        <w:t>("</w:t>
      </w:r>
      <w:r>
        <w:rPr>
          <w:rtl w:val="true"/>
        </w:rPr>
        <w:t>פלגינן דיבורא</w:t>
      </w:r>
      <w:r>
        <w:rPr>
          <w:rtl w:val="true"/>
        </w:rPr>
        <w:t xml:space="preserve">"), </w:t>
      </w:r>
      <w:r>
        <w:rPr>
          <w:rtl w:val="true"/>
        </w:rPr>
        <w:t>בקבלו חלק מדבריה</w:t>
      </w:r>
      <w:r>
        <w:rPr>
          <w:rtl w:val="true"/>
        </w:rPr>
        <w:t xml:space="preserve">, </w:t>
      </w:r>
      <w:r>
        <w:rPr>
          <w:rtl w:val="true"/>
        </w:rPr>
        <w:t>ובדחותו חלק אחר</w:t>
      </w:r>
      <w:r>
        <w:rPr>
          <w:rtl w:val="true"/>
        </w:rPr>
        <w:t xml:space="preserve">. </w:t>
      </w:r>
      <w:r>
        <w:rPr>
          <w:rtl w:val="true"/>
        </w:rPr>
        <w:t>בלב ערערו המדינה בעניין זה עומדת השאלה האם הייתה הצדקה לעשות כן במקרה דנן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FrankRuehl" w:hAnsi="FrankRuehl" w:cs="FrankRuehl"/>
          <w:sz w:val="28"/>
          <w:sz w:val="28"/>
          <w:rtl w:val="true"/>
        </w:rPr>
        <w:t>הלכה מושרשת היא</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 xml:space="preserve">כי בית משפט רשאי </w:t>
      </w:r>
      <w:r>
        <w:rPr>
          <w:rFonts w:ascii="FrankRuehl" w:hAnsi="FrankRuehl" w:cs="FrankRuehl"/>
          <w:sz w:val="28"/>
          <w:sz w:val="28"/>
          <w:rtl w:val="true"/>
        </w:rPr>
        <w:t xml:space="preserve">לפלג את העדות ולבור מתוכה את גרעין האמת </w:t>
      </w:r>
      <w:r>
        <w:rPr>
          <w:rFonts w:ascii="FrankRuehl" w:hAnsi="FrankRuehl" w:cs="FrankRuehl"/>
          <w:sz w:val="28"/>
          <w:sz w:val="28"/>
          <w:rtl w:val="true"/>
        </w:rPr>
        <w:t>כאשר הדבר נדרש</w:t>
      </w:r>
      <w:r>
        <w:rPr>
          <w:rFonts w:ascii="FrankRuehl" w:hAnsi="FrankRuehl" w:cs="FrankRuehl"/>
          <w:sz w:val="28"/>
          <w:sz w:val="28"/>
          <w:rtl w:val="true"/>
        </w:rPr>
        <w:t xml:space="preserve"> </w:t>
      </w:r>
      <w:r>
        <w:rPr>
          <w:rFonts w:cs="FrankRuehl" w:ascii="FrankRuehl" w:hAnsi="FrankRuehl"/>
          <w:sz w:val="28"/>
          <w:rtl w:val="true"/>
        </w:rPr>
        <w:t>(</w:t>
      </w:r>
      <w:r>
        <w:rPr>
          <w:rFonts w:ascii="FrankRuehl" w:hAnsi="FrankRuehl" w:cs="FrankRuehl"/>
          <w:sz w:val="28"/>
          <w:sz w:val="28"/>
          <w:rtl w:val="true"/>
        </w:rPr>
        <w:t>רא</w:t>
      </w:r>
      <w:r>
        <w:rPr>
          <w:rFonts w:ascii="FrankRuehl" w:hAnsi="FrankRuehl" w:cs="FrankRuehl"/>
          <w:sz w:val="28"/>
          <w:sz w:val="28"/>
          <w:rtl w:val="true"/>
        </w:rPr>
        <w:t>ו למשל</w:t>
      </w:r>
      <w:r>
        <w:rPr>
          <w:rFonts w:ascii="FrankRuehl" w:hAnsi="FrankRuehl" w:cs="FrankRuehl"/>
          <w:sz w:val="28"/>
          <w:sz w:val="28"/>
          <w:rtl w:val="true"/>
        </w:rPr>
        <w:t xml:space="preserve"> </w:t>
      </w:r>
      <w:hyperlink r:id="rId22">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526/90</w:t>
        </w:r>
      </w:hyperlink>
      <w:r>
        <w:rPr>
          <w:rFonts w:cs="FrankRuehl" w:ascii="FrankRuehl" w:hAnsi="FrankRuehl"/>
          <w:sz w:val="28"/>
          <w:rtl w:val="true"/>
        </w:rPr>
        <w:t xml:space="preserve"> </w:t>
      </w:r>
      <w:r>
        <w:rPr>
          <w:rFonts w:ascii="Century" w:hAnsi="Century" w:cs="Miriam"/>
          <w:b/>
          <w:b/>
          <w:spacing w:val="0"/>
          <w:sz w:val="22"/>
          <w:sz w:val="22"/>
          <w:szCs w:val="24"/>
          <w:rtl w:val="true"/>
        </w:rPr>
        <w:t>בלזר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sz w:val="28"/>
          <w:sz w:val="28"/>
          <w:rtl w:val="true"/>
        </w:rPr>
        <w:t xml:space="preserve"> מה</w:t>
      </w:r>
      <w:r>
        <w:rPr>
          <w:rFonts w:cs="FrankRuehl" w:ascii="FrankRuehl" w:hAnsi="FrankRuehl"/>
          <w:sz w:val="28"/>
          <w:rtl w:val="true"/>
        </w:rPr>
        <w:t>(</w:t>
      </w:r>
      <w:r>
        <w:rPr>
          <w:rFonts w:cs="FrankRuehl" w:ascii="FrankRuehl" w:hAnsi="FrankRuehl"/>
          <w:sz w:val="28"/>
        </w:rPr>
        <w:t>4</w:t>
      </w:r>
      <w:r>
        <w:rPr>
          <w:rFonts w:cs="FrankRuehl" w:ascii="FrankRuehl" w:hAnsi="FrankRuehl"/>
          <w:sz w:val="28"/>
          <w:rtl w:val="true"/>
        </w:rPr>
        <w:t xml:space="preserve">) </w:t>
      </w:r>
      <w:r>
        <w:rPr>
          <w:rFonts w:cs="FrankRuehl" w:ascii="FrankRuehl" w:hAnsi="FrankRuehl"/>
          <w:sz w:val="28"/>
        </w:rPr>
        <w:t>133</w:t>
      </w:r>
      <w:r>
        <w:rPr>
          <w:rFonts w:cs="FrankRuehl" w:ascii="FrankRuehl" w:hAnsi="FrankRuehl"/>
          <w:sz w:val="28"/>
          <w:rtl w:val="true"/>
        </w:rPr>
        <w:t xml:space="preserve">, </w:t>
      </w:r>
      <w:r>
        <w:rPr>
          <w:rFonts w:cs="FrankRuehl" w:ascii="FrankRuehl" w:hAnsi="FrankRuehl"/>
          <w:sz w:val="28"/>
        </w:rPr>
        <w:t>186-185</w:t>
      </w:r>
      <w:r>
        <w:rPr>
          <w:rFonts w:cs="FrankRuehl" w:ascii="FrankRuehl" w:hAnsi="FrankRuehl"/>
          <w:sz w:val="28"/>
          <w:rtl w:val="true"/>
        </w:rPr>
        <w:t xml:space="preserve"> (</w:t>
      </w:r>
      <w:r>
        <w:rPr>
          <w:rFonts w:cs="FrankRuehl" w:ascii="FrankRuehl" w:hAnsi="FrankRuehl"/>
          <w:sz w:val="28"/>
        </w:rPr>
        <w:t>1991</w:t>
      </w:r>
      <w:r>
        <w:rPr>
          <w:rFonts w:cs="FrankRuehl" w:ascii="FrankRuehl" w:hAnsi="FrankRuehl"/>
          <w:sz w:val="28"/>
          <w:rtl w:val="true"/>
        </w:rPr>
        <w:t>) (</w:t>
      </w:r>
      <w:r>
        <w:rPr>
          <w:rFonts w:ascii="FrankRuehl" w:hAnsi="FrankRuehl" w:cs="FrankRuehl"/>
          <w:sz w:val="28"/>
          <w:sz w:val="28"/>
          <w:rtl w:val="true"/>
        </w:rPr>
        <w:t>להלן</w:t>
      </w:r>
      <w:r>
        <w:rPr>
          <w:rFonts w:cs="FrankRuehl" w:ascii="FrankRuehl" w:hAnsi="FrankRuehl"/>
          <w:sz w:val="28"/>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בלזר</w:t>
      </w:r>
      <w:r>
        <w:rPr>
          <w:rFonts w:cs="FrankRuehl" w:ascii="FrankRuehl" w:hAnsi="FrankRuehl"/>
          <w:sz w:val="28"/>
          <w:rtl w:val="true"/>
        </w:rPr>
        <w:t xml:space="preserve">); </w:t>
      </w:r>
      <w:hyperlink r:id="rId23">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7255/14</w:t>
        </w:r>
      </w:hyperlink>
      <w:r>
        <w:rPr>
          <w:rFonts w:cs="FrankRuehl" w:ascii="FrankRuehl" w:hAnsi="FrankRuehl"/>
          <w:sz w:val="28"/>
          <w:rtl w:val="true"/>
        </w:rPr>
        <w:t xml:space="preserve"> </w:t>
      </w:r>
      <w:r>
        <w:rPr>
          <w:rFonts w:ascii="Century" w:hAnsi="Century" w:cs="Miriam"/>
          <w:b/>
          <w:b/>
          <w:spacing w:val="0"/>
          <w:sz w:val="22"/>
          <w:sz w:val="22"/>
          <w:szCs w:val="24"/>
          <w:rtl w:val="true"/>
        </w:rPr>
        <w:t>אנטקלי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sz w:val="28"/>
          <w:sz w:val="28"/>
          <w:rtl w:val="true"/>
        </w:rPr>
        <w:t xml:space="preserve">פסקה </w:t>
      </w:r>
      <w:r>
        <w:rPr>
          <w:rFonts w:cs="FrankRuehl" w:ascii="FrankRuehl" w:hAnsi="FrankRuehl"/>
          <w:sz w:val="28"/>
        </w:rPr>
        <w:t>3</w:t>
      </w:r>
      <w:r>
        <w:rPr>
          <w:rFonts w:cs="FrankRuehl" w:ascii="FrankRuehl" w:hAnsi="FrankRuehl"/>
          <w:sz w:val="28"/>
          <w:rtl w:val="true"/>
        </w:rPr>
        <w:t xml:space="preserve"> (</w:t>
      </w:r>
      <w:r>
        <w:rPr>
          <w:rFonts w:cs="FrankRuehl" w:ascii="FrankRuehl" w:hAnsi="FrankRuehl"/>
          <w:sz w:val="28"/>
        </w:rPr>
        <w:t>11.4.2016</w:t>
      </w:r>
      <w:r>
        <w:rPr>
          <w:rFonts w:cs="FrankRuehl" w:ascii="FrankRuehl" w:hAnsi="FrankRuehl"/>
          <w:sz w:val="28"/>
          <w:rtl w:val="true"/>
        </w:rPr>
        <w:t xml:space="preserve">)). </w:t>
      </w:r>
      <w:r>
        <w:rPr>
          <w:rFonts w:ascii="FrankRuehl" w:hAnsi="FrankRuehl" w:cs="FrankRuehl"/>
          <w:sz w:val="28"/>
          <w:sz w:val="28"/>
          <w:rtl w:val="true"/>
        </w:rPr>
        <w:t>על מנת להצדיק את פיצול העדות</w:t>
      </w:r>
      <w:r>
        <w:rPr>
          <w:rFonts w:cs="FrankRuehl" w:ascii="FrankRuehl" w:hAnsi="FrankRuehl"/>
          <w:sz w:val="28"/>
          <w:rtl w:val="true"/>
        </w:rPr>
        <w:t xml:space="preserve">, </w:t>
      </w:r>
      <w:r>
        <w:rPr>
          <w:rFonts w:ascii="FrankRuehl" w:hAnsi="FrankRuehl" w:cs="FrankRuehl"/>
          <w:sz w:val="28"/>
          <w:sz w:val="28"/>
          <w:rtl w:val="true"/>
        </w:rPr>
        <w:t>תוך אימוץ חלקה ודחיית חלק אחר</w:t>
      </w:r>
      <w:r>
        <w:rPr>
          <w:rFonts w:cs="FrankRuehl" w:ascii="FrankRuehl" w:hAnsi="FrankRuehl"/>
          <w:sz w:val="28"/>
          <w:rtl w:val="true"/>
        </w:rPr>
        <w:t xml:space="preserve">, </w:t>
      </w:r>
      <w:r>
        <w:rPr>
          <w:rtl w:val="true"/>
        </w:rPr>
        <w:t xml:space="preserve">נדרש יסוד סביר להבחנה בין החלקים השונים </w:t>
      </w:r>
      <w:r>
        <w:rPr>
          <w:rtl w:val="true"/>
        </w:rPr>
        <w:t>(</w:t>
      </w:r>
      <w:r>
        <w:rPr>
          <w:rtl w:val="true"/>
        </w:rPr>
        <w:t xml:space="preserve">ראו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5875/93</w:t>
        </w:r>
      </w:hyperlink>
      <w:r>
        <w:rPr>
          <w:rtl w:val="true"/>
        </w:rPr>
        <w:t xml:space="preserve"> </w:t>
      </w:r>
      <w:r>
        <w:rPr>
          <w:rFonts w:ascii="Century" w:hAnsi="Century" w:cs="Miriam"/>
          <w:b/>
          <w:b/>
          <w:spacing w:val="0"/>
          <w:sz w:val="22"/>
          <w:sz w:val="22"/>
          <w:szCs w:val="24"/>
          <w:rtl w:val="true"/>
        </w:rPr>
        <w:t>עביט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נ</w:t>
      </w:r>
      <w:r>
        <w:rPr>
          <w:rtl w:val="true"/>
        </w:rPr>
        <w:t>(</w:t>
      </w:r>
      <w:r>
        <w:rPr/>
        <w:t>5</w:t>
      </w:r>
      <w:r>
        <w:rPr>
          <w:rtl w:val="true"/>
        </w:rPr>
        <w:t xml:space="preserve">) </w:t>
      </w:r>
      <w:r>
        <w:rPr/>
        <w:t>801</w:t>
      </w:r>
      <w:r>
        <w:rPr>
          <w:rtl w:val="true"/>
        </w:rPr>
        <w:t xml:space="preserve">, </w:t>
      </w:r>
      <w:r>
        <w:rPr/>
        <w:t>813-812</w:t>
      </w:r>
      <w:r>
        <w:rPr>
          <w:rtl w:val="true"/>
        </w:rPr>
        <w:t xml:space="preserve"> (</w:t>
      </w:r>
      <w:r>
        <w:rPr/>
        <w:t>1997</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8273/07</w:t>
        </w:r>
      </w:hyperlink>
      <w:r>
        <w:rPr>
          <w:rtl w:val="true"/>
        </w:rPr>
        <w:t xml:space="preserve"> </w:t>
      </w:r>
      <w:r>
        <w:rPr>
          <w:rFonts w:ascii="Century" w:hAnsi="Century" w:cs="Miriam"/>
          <w:b/>
          <w:b/>
          <w:spacing w:val="0"/>
          <w:sz w:val="22"/>
          <w:sz w:val="22"/>
          <w:szCs w:val="24"/>
          <w:rtl w:val="true"/>
        </w:rPr>
        <w:t>כואזבה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t>18.7.2012</w:t>
      </w:r>
      <w:r>
        <w:rPr>
          <w:rtl w:val="true"/>
        </w:rPr>
        <w:t xml:space="preserve">)). </w:t>
      </w:r>
      <w:r>
        <w:rPr>
          <w:rtl w:val="true"/>
        </w:rPr>
        <w:t xml:space="preserve">הבחנה כזו יכולה להיעשות על ידי היעזרות בראיות קבילות ואמינות אחרות או על פי מבחני ההיגיון והשכל הישר </w:t>
      </w:r>
      <w:r>
        <w:rPr>
          <w:rtl w:val="true"/>
        </w:rPr>
        <w:t>(</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3510/16</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41-37</w:t>
      </w:r>
      <w:r>
        <w:rPr>
          <w:rtl w:val="true"/>
        </w:rPr>
        <w:t xml:space="preserve"> (</w:t>
      </w:r>
      <w:r>
        <w:rPr/>
        <w:t>17.7.2019</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בלזר</w:t>
      </w:r>
      <w:r>
        <w:rPr>
          <w:rtl w:val="true"/>
        </w:rPr>
        <w:t xml:space="preserve">, </w:t>
      </w:r>
      <w:r>
        <w:rPr>
          <w:rtl w:val="true"/>
        </w:rPr>
        <w:t>שם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Fonts w:ascii="FrankRuehl" w:hAnsi="FrankRuehl" w:cs="FrankRuehl"/>
          <w:sz w:val="22"/>
          <w:sz w:val="22"/>
          <w:rtl w:val="true"/>
        </w:rPr>
        <w:t xml:space="preserve">בהכרעת הדין </w:t>
      </w:r>
      <w:r>
        <w:rPr>
          <w:rFonts w:ascii="FrankRuehl" w:hAnsi="FrankRuehl" w:cs="FrankRuehl"/>
          <w:sz w:val="22"/>
          <w:sz w:val="22"/>
          <w:rtl w:val="true"/>
        </w:rPr>
        <w:t xml:space="preserve">מבהיר </w:t>
      </w:r>
      <w:r>
        <w:rPr>
          <w:rFonts w:ascii="FrankRuehl" w:hAnsi="FrankRuehl" w:cs="FrankRuehl"/>
          <w:sz w:val="28"/>
          <w:sz w:val="28"/>
          <w:rtl w:val="true"/>
        </w:rPr>
        <w:t>בית משפט קמא</w:t>
      </w:r>
      <w:r>
        <w:rPr>
          <w:rtl w:val="true"/>
        </w:rPr>
        <w:t xml:space="preserve"> בהרחבה מדוע מצא לנכון לקבוע כי הוכח מעבר לכל ספק סביר כי במהלך שהותם בצימר ביצע המשיב במתלוננת מספר </w:t>
      </w:r>
      <w:r>
        <w:rPr>
          <w:rFonts w:ascii="FrankRuehl" w:hAnsi="FrankRuehl" w:cs="FrankRuehl"/>
          <w:sz w:val="22"/>
          <w:sz w:val="22"/>
          <w:rtl w:val="true"/>
        </w:rPr>
        <w:t xml:space="preserve">מעשים מגונים בכוח </w:t>
      </w:r>
      <w:r>
        <w:rPr>
          <w:rFonts w:cs="FrankRuehl" w:ascii="FrankRuehl" w:hAnsi="FrankRuehl"/>
          <w:sz w:val="22"/>
          <w:rtl w:val="true"/>
        </w:rPr>
        <w:t>(</w:t>
      </w:r>
      <w:r>
        <w:rPr>
          <w:rFonts w:ascii="FrankRuehl" w:hAnsi="FrankRuehl" w:cs="FrankRuehl"/>
          <w:sz w:val="22"/>
          <w:sz w:val="22"/>
          <w:rtl w:val="true"/>
        </w:rPr>
        <w:t>בעיקר נגיעות באיבר מינה ובחזה של המתלוננת ונשיקות</w:t>
      </w:r>
      <w:r>
        <w:rPr>
          <w:rFonts w:cs="FrankRuehl" w:ascii="FrankRuehl" w:hAnsi="FrankRuehl"/>
          <w:sz w:val="22"/>
          <w:rtl w:val="true"/>
        </w:rPr>
        <w:t xml:space="preserve">), </w:t>
      </w:r>
      <w:r>
        <w:rPr>
          <w:rFonts w:ascii="FrankRuehl" w:hAnsi="FrankRuehl" w:cs="FrankRuehl"/>
          <w:sz w:val="22"/>
          <w:sz w:val="22"/>
          <w:rtl w:val="true"/>
        </w:rPr>
        <w:t xml:space="preserve">למרות שעדיין נותר אצלו </w:t>
      </w:r>
      <w:r>
        <w:rPr>
          <w:rFonts w:ascii="FrankRuehl" w:hAnsi="FrankRuehl" w:cs="FrankRuehl"/>
          <w:sz w:val="22"/>
          <w:sz w:val="22"/>
          <w:rtl w:val="true"/>
        </w:rPr>
        <w:t xml:space="preserve">ספק סביר </w:t>
      </w:r>
      <w:r>
        <w:rPr>
          <w:rFonts w:ascii="FrankRuehl" w:hAnsi="FrankRuehl" w:cs="FrankRuehl"/>
          <w:sz w:val="28"/>
          <w:sz w:val="28"/>
          <w:rtl w:val="true"/>
        </w:rPr>
        <w:t xml:space="preserve">ביחס לאישום </w:t>
      </w:r>
      <w:r>
        <w:rPr>
          <w:rtl w:val="true"/>
        </w:rPr>
        <w:t>ב</w:t>
      </w:r>
      <w:r>
        <w:rPr>
          <w:rFonts w:ascii="FrankRuehl" w:hAnsi="FrankRuehl" w:cs="FrankRuehl"/>
          <w:sz w:val="28"/>
          <w:sz w:val="28"/>
          <w:rtl w:val="true"/>
        </w:rPr>
        <w:t xml:space="preserve">עבירת האינוס ובמעשה המגונה הנוסף </w:t>
      </w:r>
      <w:r>
        <w:rPr>
          <w:rFonts w:cs="FrankRuehl" w:ascii="FrankRuehl" w:hAnsi="FrankRuehl"/>
          <w:sz w:val="28"/>
          <w:rtl w:val="true"/>
        </w:rPr>
        <w:t>(</w:t>
      </w:r>
      <w:r>
        <w:rPr>
          <w:rFonts w:ascii="FrankRuehl" w:hAnsi="FrankRuehl" w:cs="FrankRuehl"/>
          <w:sz w:val="28"/>
          <w:sz w:val="28"/>
          <w:rtl w:val="true"/>
        </w:rPr>
        <w:t>דהיינו</w:t>
      </w:r>
      <w:r>
        <w:rPr>
          <w:rFonts w:cs="FrankRuehl" w:ascii="FrankRuehl" w:hAnsi="FrankRuehl"/>
          <w:sz w:val="28"/>
          <w:rtl w:val="true"/>
        </w:rPr>
        <w:t xml:space="preserve">, </w:t>
      </w:r>
      <w:r>
        <w:rPr>
          <w:rFonts w:ascii="FrankRuehl" w:hAnsi="FrankRuehl" w:cs="FrankRuehl"/>
          <w:sz w:val="28"/>
          <w:sz w:val="28"/>
          <w:rtl w:val="true"/>
        </w:rPr>
        <w:t>החדרת האצבעות וכפיית מגע באיבר מינו</w:t>
      </w:r>
      <w:r>
        <w:rPr>
          <w:rFonts w:cs="FrankRuehl" w:ascii="FrankRuehl" w:hAnsi="FrankRuehl"/>
          <w:sz w:val="28"/>
          <w:rtl w:val="true"/>
        </w:rPr>
        <w:t>)</w:t>
      </w:r>
      <w:r>
        <w:rPr>
          <w:rFonts w:cs="FrankRuehl" w:ascii="FrankRuehl" w:hAnsi="FrankRuehl"/>
          <w:sz w:val="22"/>
          <w:rtl w:val="true"/>
        </w:rPr>
        <w:t>.</w:t>
      </w:r>
      <w:r>
        <w:rPr>
          <w:rFonts w:cs="FrankRuehl" w:ascii="FrankRuehl" w:hAnsi="FrankRuehl"/>
          <w:sz w:val="28"/>
          <w:rtl w:val="true"/>
        </w:rPr>
        <w:t xml:space="preserve"> </w:t>
      </w:r>
      <w:r>
        <w:rPr>
          <w:rFonts w:ascii="FrankRuehl" w:hAnsi="FrankRuehl" w:cs="FrankRuehl"/>
          <w:sz w:val="28"/>
          <w:sz w:val="28"/>
          <w:rtl w:val="true"/>
        </w:rPr>
        <w:t>ביחס לעבירה בה הורשע</w:t>
      </w:r>
      <w:r>
        <w:rPr>
          <w:rFonts w:cs="FrankRuehl" w:ascii="FrankRuehl" w:hAnsi="FrankRuehl"/>
          <w:sz w:val="28"/>
          <w:rtl w:val="true"/>
        </w:rPr>
        <w:t xml:space="preserve">, </w:t>
      </w:r>
      <w:r>
        <w:rPr>
          <w:rFonts w:ascii="FrankRuehl" w:hAnsi="FrankRuehl" w:cs="FrankRuehl"/>
          <w:sz w:val="28"/>
          <w:sz w:val="28"/>
          <w:rtl w:val="true"/>
        </w:rPr>
        <w:t xml:space="preserve">נקבע כי </w:t>
      </w:r>
      <w:r>
        <w:rPr>
          <w:rFonts w:ascii="FrankRuehl" w:hAnsi="FrankRuehl" w:cs="FrankRuehl"/>
          <w:sz w:val="28"/>
          <w:sz w:val="28"/>
          <w:rtl w:val="true"/>
        </w:rPr>
        <w:t>גרסת</w:t>
      </w:r>
      <w:r>
        <w:rPr>
          <w:rFonts w:ascii="FrankRuehl" w:hAnsi="FrankRuehl" w:cs="FrankRuehl"/>
          <w:sz w:val="28"/>
          <w:sz w:val="28"/>
          <w:rtl w:val="true"/>
        </w:rPr>
        <w:t xml:space="preserve"> </w:t>
      </w:r>
      <w:r>
        <w:rPr>
          <w:rFonts w:ascii="FrankRuehl" w:hAnsi="FrankRuehl" w:cs="FrankRuehl"/>
          <w:sz w:val="28"/>
          <w:sz w:val="28"/>
          <w:rtl w:val="true"/>
        </w:rPr>
        <w:t xml:space="preserve">המתלוננת נותרה עקבית ואמינה מרגע הגשת </w:t>
      </w:r>
      <w:r>
        <w:rPr>
          <w:rFonts w:ascii="FrankRuehl" w:hAnsi="FrankRuehl" w:cs="FrankRuehl"/>
          <w:sz w:val="28"/>
          <w:sz w:val="28"/>
          <w:rtl w:val="true"/>
        </w:rPr>
        <w:t>התלונה</w:t>
      </w:r>
      <w:r>
        <w:rPr>
          <w:rFonts w:cs="FrankRuehl" w:ascii="FrankRuehl" w:hAnsi="FrankRuehl"/>
          <w:sz w:val="28"/>
          <w:rtl w:val="true"/>
        </w:rPr>
        <w:t xml:space="preserve">, </w:t>
      </w:r>
      <w:r>
        <w:rPr>
          <w:rFonts w:ascii="FrankRuehl" w:hAnsi="FrankRuehl" w:cs="FrankRuehl"/>
          <w:sz w:val="28"/>
          <w:sz w:val="28"/>
          <w:rtl w:val="true"/>
        </w:rPr>
        <w:t>ועד לעדותה בבית המשפט</w:t>
      </w:r>
      <w:r>
        <w:rPr>
          <w:rFonts w:cs="FrankRuehl" w:ascii="FrankRuehl" w:hAnsi="FrankRuehl"/>
          <w:sz w:val="28"/>
          <w:rtl w:val="true"/>
        </w:rPr>
        <w:t xml:space="preserve">. </w:t>
      </w:r>
      <w:r>
        <w:rPr>
          <w:rFonts w:ascii="FrankRuehl" w:hAnsi="FrankRuehl" w:cs="FrankRuehl"/>
          <w:sz w:val="28"/>
          <w:sz w:val="28"/>
          <w:rtl w:val="true"/>
        </w:rPr>
        <w:t>יתר על כן</w:t>
      </w:r>
      <w:r>
        <w:rPr>
          <w:rFonts w:cs="FrankRuehl" w:ascii="FrankRuehl" w:hAnsi="FrankRuehl"/>
          <w:sz w:val="28"/>
          <w:rtl w:val="true"/>
        </w:rPr>
        <w:t xml:space="preserve">, </w:t>
      </w:r>
      <w:r>
        <w:rPr>
          <w:rFonts w:ascii="FrankRuehl" w:hAnsi="FrankRuehl" w:cs="FrankRuehl"/>
          <w:sz w:val="28"/>
          <w:sz w:val="28"/>
          <w:rtl w:val="true"/>
        </w:rPr>
        <w:t xml:space="preserve">גרסתה נתמכה גם </w:t>
      </w:r>
      <w:r>
        <w:rPr>
          <w:rFonts w:ascii="FrankRuehl" w:hAnsi="FrankRuehl" w:cs="FrankRuehl"/>
          <w:sz w:val="28"/>
          <w:sz w:val="28"/>
          <w:rtl w:val="true"/>
        </w:rPr>
        <w:t>בראיות חיצוניות</w:t>
      </w:r>
      <w:r>
        <w:rPr>
          <w:rFonts w:cs="FrankRuehl" w:ascii="FrankRuehl" w:hAnsi="FrankRuehl"/>
          <w:sz w:val="28"/>
          <w:rtl w:val="true"/>
        </w:rPr>
        <w:t xml:space="preserve">: </w:t>
      </w:r>
      <w:r>
        <w:rPr>
          <w:rFonts w:ascii="FrankRuehl" w:hAnsi="FrankRuehl" w:cs="FrankRuehl"/>
          <w:sz w:val="28"/>
          <w:sz w:val="28"/>
          <w:rtl w:val="true"/>
        </w:rPr>
        <w:t>הסרטון</w:t>
      </w:r>
      <w:r>
        <w:rPr>
          <w:rFonts w:cs="FrankRuehl" w:ascii="FrankRuehl" w:hAnsi="FrankRuehl"/>
          <w:sz w:val="28"/>
          <w:rtl w:val="true"/>
        </w:rPr>
        <w:t xml:space="preserve">, </w:t>
      </w:r>
      <w:r>
        <w:rPr>
          <w:rFonts w:ascii="FrankRuehl" w:hAnsi="FrankRuehl" w:cs="FrankRuehl"/>
          <w:sz w:val="28"/>
          <w:sz w:val="28"/>
          <w:rtl w:val="true"/>
        </w:rPr>
        <w:t>עדויות רבות של עדי התביעה</w:t>
      </w:r>
      <w:r>
        <w:rPr>
          <w:rFonts w:cs="FrankRuehl" w:ascii="FrankRuehl" w:hAnsi="FrankRuehl"/>
          <w:sz w:val="28"/>
          <w:rtl w:val="true"/>
        </w:rPr>
        <w:t xml:space="preserve">, </w:t>
      </w:r>
      <w:r>
        <w:rPr>
          <w:rFonts w:ascii="FrankRuehl" w:hAnsi="FrankRuehl" w:cs="FrankRuehl"/>
          <w:sz w:val="28"/>
          <w:sz w:val="28"/>
          <w:rtl w:val="true"/>
        </w:rPr>
        <w:t xml:space="preserve">אשר בית המשפט קבע </w:t>
      </w:r>
      <w:r>
        <w:rPr>
          <w:rFonts w:ascii="FrankRuehl" w:hAnsi="FrankRuehl" w:cs="FrankRuehl"/>
          <w:sz w:val="28"/>
          <w:sz w:val="28"/>
          <w:rtl w:val="true"/>
        </w:rPr>
        <w:t xml:space="preserve">כי הן אמינות </w:t>
      </w:r>
      <w:r>
        <w:rPr>
          <w:rFonts w:ascii="FrankRuehl" w:hAnsi="FrankRuehl" w:cs="FrankRuehl"/>
          <w:sz w:val="28"/>
          <w:sz w:val="28"/>
          <w:rtl w:val="true"/>
        </w:rPr>
        <w:t>ועקביות</w:t>
      </w:r>
      <w:r>
        <w:rPr>
          <w:rFonts w:cs="FrankRuehl" w:ascii="FrankRuehl" w:hAnsi="FrankRuehl"/>
          <w:sz w:val="28"/>
          <w:rtl w:val="true"/>
        </w:rPr>
        <w:t xml:space="preserve">, </w:t>
      </w:r>
      <w:r>
        <w:rPr>
          <w:rFonts w:ascii="FrankRuehl" w:hAnsi="FrankRuehl" w:cs="FrankRuehl"/>
          <w:sz w:val="28"/>
          <w:sz w:val="28"/>
          <w:rtl w:val="true"/>
        </w:rPr>
        <w:t>ופעולת ההובלה ההצבעה</w:t>
      </w:r>
      <w:r>
        <w:rPr>
          <w:rFonts w:cs="FrankRuehl" w:ascii="FrankRuehl" w:hAnsi="FrankRuehl"/>
          <w:sz w:val="28"/>
          <w:rtl w:val="true"/>
        </w:rPr>
        <w:t xml:space="preserve">. </w:t>
      </w:r>
      <w:r>
        <w:rPr>
          <w:rFonts w:ascii="FrankRuehl" w:hAnsi="FrankRuehl" w:cs="FrankRuehl"/>
          <w:sz w:val="28"/>
          <w:sz w:val="28"/>
          <w:rtl w:val="true"/>
        </w:rPr>
        <w:t>זאת ועוד</w:t>
      </w:r>
      <w:r>
        <w:rPr>
          <w:rFonts w:cs="FrankRuehl" w:ascii="FrankRuehl" w:hAnsi="FrankRuehl"/>
          <w:sz w:val="28"/>
          <w:rtl w:val="true"/>
        </w:rPr>
        <w:t xml:space="preserve">, </w:t>
      </w:r>
      <w:r>
        <w:rPr>
          <w:rFonts w:ascii="FrankRuehl" w:hAnsi="FrankRuehl" w:cs="FrankRuehl"/>
          <w:sz w:val="28"/>
          <w:sz w:val="28"/>
          <w:rtl w:val="true"/>
        </w:rPr>
        <w:t xml:space="preserve">בעדותו של </w:t>
      </w:r>
      <w:r>
        <w:rPr>
          <w:rFonts w:ascii="FrankRuehl" w:hAnsi="FrankRuehl" w:cs="FrankRuehl"/>
          <w:sz w:val="28"/>
          <w:sz w:val="28"/>
          <w:rtl w:val="true"/>
        </w:rPr>
        <w:t>המשיב נ</w:t>
      </w:r>
      <w:r>
        <w:rPr>
          <w:rFonts w:ascii="FrankRuehl" w:hAnsi="FrankRuehl" w:cs="FrankRuehl"/>
          <w:sz w:val="28"/>
          <w:sz w:val="28"/>
          <w:rtl w:val="true"/>
        </w:rPr>
        <w:t xml:space="preserve">תגלו סתירות רבות </w:t>
      </w:r>
      <w:r>
        <w:rPr>
          <w:rFonts w:ascii="FrankRuehl" w:hAnsi="FrankRuehl" w:cs="FrankRuehl"/>
          <w:sz w:val="28"/>
          <w:sz w:val="28"/>
          <w:rtl w:val="true"/>
        </w:rPr>
        <w:t xml:space="preserve">אשר חיזקו </w:t>
      </w:r>
      <w:r>
        <w:rPr>
          <w:rFonts w:ascii="FrankRuehl" w:hAnsi="FrankRuehl" w:cs="FrankRuehl"/>
          <w:sz w:val="28"/>
          <w:sz w:val="28"/>
          <w:rtl w:val="true"/>
        </w:rPr>
        <w:t>את גרסתה של המתלוננת</w:t>
      </w:r>
      <w:r>
        <w:rPr>
          <w:rFonts w:cs="FrankRuehl" w:ascii="FrankRuehl" w:hAnsi="FrankRuehl"/>
          <w:sz w:val="28"/>
          <w:rtl w:val="true"/>
        </w:rPr>
        <w:t xml:space="preserve">. </w:t>
      </w:r>
      <w:r>
        <w:rPr>
          <w:rFonts w:ascii="FrankRuehl" w:hAnsi="FrankRuehl" w:cs="FrankRuehl"/>
          <w:sz w:val="28"/>
          <w:sz w:val="28"/>
          <w:rtl w:val="true"/>
        </w:rPr>
        <w:t>לעומת זאת</w:t>
      </w:r>
      <w:r>
        <w:rPr>
          <w:rFonts w:cs="FrankRuehl" w:ascii="FrankRuehl" w:hAnsi="FrankRuehl"/>
          <w:sz w:val="28"/>
          <w:rtl w:val="true"/>
        </w:rPr>
        <w:t xml:space="preserve">, </w:t>
      </w:r>
      <w:r>
        <w:rPr>
          <w:rtl w:val="true"/>
        </w:rPr>
        <w:t>בכל הנוגע לאישום באינוס ובמעשה המגונה הנוסף</w:t>
      </w:r>
      <w:r>
        <w:rPr>
          <w:rtl w:val="true"/>
        </w:rPr>
        <w:t xml:space="preserve">, </w:t>
      </w:r>
      <w:r>
        <w:rPr>
          <w:rtl w:val="true"/>
        </w:rPr>
        <w:t>בית המשפט קמא סבר כי נפלו בקיעים בעדות המתלוננת</w:t>
      </w:r>
      <w:r>
        <w:rPr>
          <w:rtl w:val="true"/>
        </w:rPr>
        <w:t xml:space="preserve">, </w:t>
      </w:r>
      <w:r>
        <w:rPr>
          <w:rtl w:val="true"/>
        </w:rPr>
        <w:t>אליהם מצטרפים קשיים נוספים</w:t>
      </w:r>
      <w:r>
        <w:rPr>
          <w:rtl w:val="true"/>
        </w:rPr>
        <w:t xml:space="preserve">, </w:t>
      </w:r>
      <w:r>
        <w:rPr>
          <w:rtl w:val="true"/>
        </w:rPr>
        <w:t>ועל כן נותר בליבו ספק המצדיק את הזיכוי</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המתלוננת העידה הן בחקירתה במשטרה והן בעדותה בבית המשפט כי במהלך שהותם המשותפת בצימר חרגו מעשי המשיב מגדר המעשים המגונים בגינם הורשע וכללו גם את המעשים של החדרת האצבעות וכפיית המגע באיבר מינו של המשיב</w:t>
      </w:r>
      <w:r>
        <w:rPr>
          <w:rtl w:val="true"/>
        </w:rPr>
        <w:t xml:space="preserve">. </w:t>
      </w:r>
      <w:r>
        <w:rPr>
          <w:rtl w:val="true"/>
        </w:rPr>
        <w:t>למרות שהאמין לעדות המתלוננת</w:t>
      </w:r>
      <w:r>
        <w:rPr>
          <w:rtl w:val="true"/>
        </w:rPr>
        <w:t xml:space="preserve">, </w:t>
      </w:r>
      <w:r>
        <w:rPr>
          <w:rtl w:val="true"/>
        </w:rPr>
        <w:t>ומצא אותה מהימנה</w:t>
      </w:r>
      <w:r>
        <w:rPr>
          <w:rtl w:val="true"/>
        </w:rPr>
        <w:t xml:space="preserve">, </w:t>
      </w:r>
      <w:r>
        <w:rPr>
          <w:rtl w:val="true"/>
        </w:rPr>
        <w:t>סבר בית המשפט קמא כי יש לזכות את המשיב מחמת הספק ביחס לאישום באינוס ובמעשה המגונה הנוסף</w:t>
      </w:r>
      <w:r>
        <w:rPr>
          <w:rtl w:val="true"/>
        </w:rPr>
        <w:t xml:space="preserve">, </w:t>
      </w:r>
      <w:r>
        <w:rPr>
          <w:rtl w:val="true"/>
        </w:rPr>
        <w:t>על בסיס שני בקיעים בגרסת המתלוננת</w:t>
      </w:r>
      <w:r>
        <w:rPr>
          <w:rtl w:val="true"/>
        </w:rPr>
        <w:t xml:space="preserve">, </w:t>
      </w:r>
      <w:r>
        <w:rPr>
          <w:rtl w:val="true"/>
        </w:rPr>
        <w:t>אליהם הצטברו שלושה קשיים במסכת הראייתית</w:t>
      </w:r>
      <w:r>
        <w:rPr>
          <w:rtl w:val="true"/>
        </w:rPr>
        <w:t xml:space="preserve">. </w:t>
      </w:r>
      <w:r>
        <w:rPr>
          <w:rtl w:val="true"/>
        </w:rPr>
        <w:t>שני הבקיעים בגרסת המתלוננת הם אלה</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חוסר הבהירות ביחס לשאלה האם המעשים האמורים התרחשו רק לפני הסרטון או גם במהלכו</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דברים שנאמרו בסרטון</w:t>
      </w:r>
      <w:r>
        <w:rPr>
          <w:rtl w:val="true"/>
        </w:rPr>
        <w:t xml:space="preserve">, </w:t>
      </w:r>
      <w:r>
        <w:rPr>
          <w:rtl w:val="true"/>
        </w:rPr>
        <w:t>מהם עולה</w:t>
      </w:r>
      <w:r>
        <w:rPr>
          <w:rtl w:val="true"/>
        </w:rPr>
        <w:t xml:space="preserve">, </w:t>
      </w:r>
      <w:r>
        <w:rPr>
          <w:rtl w:val="true"/>
        </w:rPr>
        <w:t>להתרשמות בית המשפט קמא</w:t>
      </w:r>
      <w:r>
        <w:rPr>
          <w:rtl w:val="true"/>
        </w:rPr>
        <w:t xml:space="preserve">, </w:t>
      </w:r>
      <w:r>
        <w:rPr>
          <w:rtl w:val="true"/>
        </w:rPr>
        <w:t xml:space="preserve">כי מעשי המשיב עד לאותה עת לא חרגו מגדר </w:t>
      </w:r>
      <w:r>
        <w:rPr>
          <w:rtl w:val="true"/>
        </w:rPr>
        <w:t>"</w:t>
      </w:r>
      <w:r>
        <w:rPr>
          <w:rtl w:val="true"/>
        </w:rPr>
        <w:t>ניסיונות</w:t>
      </w:r>
      <w:r>
        <w:rPr>
          <w:rtl w:val="true"/>
        </w:rPr>
        <w:t xml:space="preserve">" </w:t>
      </w:r>
      <w:r>
        <w:rPr>
          <w:rtl w:val="true"/>
        </w:rPr>
        <w:t>בלבד</w:t>
      </w:r>
      <w:r>
        <w:rPr>
          <w:rtl w:val="true"/>
        </w:rPr>
        <w:t xml:space="preserve">. </w:t>
      </w:r>
      <w:r>
        <w:rPr>
          <w:rtl w:val="true"/>
        </w:rPr>
        <w:t>שלושת הקשיים במסכת הראייתית הינם</w:t>
      </w:r>
      <w:r>
        <w:rPr>
          <w:rtl w:val="true"/>
        </w:rPr>
        <w:t xml:space="preserve">: </w:t>
      </w:r>
      <w:r>
        <w:rPr>
          <w:rtl w:val="true"/>
        </w:rPr>
        <w:t>אי פירוט מעשה החדרת האצבעות בפני אף אחד מהגורמים עמם נפגשה המתלוננת סמוך לאחר האירוע</w:t>
      </w:r>
      <w:r>
        <w:rPr>
          <w:rtl w:val="true"/>
        </w:rPr>
        <w:t xml:space="preserve">; </w:t>
      </w:r>
      <w:r>
        <w:rPr>
          <w:rtl w:val="true"/>
        </w:rPr>
        <w:t>חוסר בהירות קלה בעדותה במשטרה בעניינים אלה</w:t>
      </w:r>
      <w:r>
        <w:rPr>
          <w:rtl w:val="true"/>
        </w:rPr>
        <w:t xml:space="preserve">; </w:t>
      </w:r>
      <w:r>
        <w:rPr>
          <w:rtl w:val="true"/>
        </w:rPr>
        <w:t>אי ביצוע בדיקה גופנית למתלוננת לאחר האירוע</w:t>
      </w:r>
      <w:r>
        <w:rPr>
          <w:rtl w:val="true"/>
        </w:rPr>
        <w:t xml:space="preserve">, </w:t>
      </w:r>
      <w:r>
        <w:rPr>
          <w:rtl w:val="true"/>
        </w:rPr>
        <w:t>למרות דיווחה כי חוותה כאב עז</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האמת חייבת להיאמר</w:t>
      </w:r>
      <w:r>
        <w:rPr>
          <w:rtl w:val="true"/>
        </w:rPr>
        <w:t xml:space="preserve">: </w:t>
      </w:r>
      <w:r>
        <w:rPr>
          <w:rtl w:val="true"/>
        </w:rPr>
        <w:t>כשלעצמי</w:t>
      </w:r>
      <w:r>
        <w:rPr>
          <w:rtl w:val="true"/>
        </w:rPr>
        <w:t xml:space="preserve">, </w:t>
      </w:r>
      <w:r>
        <w:rPr>
          <w:rtl w:val="true"/>
        </w:rPr>
        <w:t>ספק אם מסקנת בית המשפט קמא בעניין זה משכנעת</w:t>
      </w:r>
      <w:r>
        <w:rPr>
          <w:rtl w:val="true"/>
        </w:rPr>
        <w:t xml:space="preserve">. </w:t>
      </w:r>
      <w:r>
        <w:rPr>
          <w:rtl w:val="true"/>
        </w:rPr>
        <w:t>שני הבקיעים שבית המשפט מצא בגרסת המתלוננת ביחס לאישום באינוס ובמעשה המגונה הנוסף</w:t>
      </w:r>
      <w:r>
        <w:rPr>
          <w:rtl w:val="true"/>
        </w:rPr>
        <w:t xml:space="preserve">, </w:t>
      </w:r>
      <w:r>
        <w:rPr>
          <w:rtl w:val="true"/>
        </w:rPr>
        <w:t>רחוקים מלהיות מובהקים</w:t>
      </w:r>
      <w:r>
        <w:rPr>
          <w:rtl w:val="true"/>
        </w:rPr>
        <w:t xml:space="preserve">. </w:t>
      </w:r>
      <w:r>
        <w:rPr>
          <w:rtl w:val="true"/>
        </w:rPr>
        <w:t xml:space="preserve">מצפייה בסרטון </w:t>
      </w:r>
      <w:r>
        <w:rPr>
          <w:rtl w:val="true"/>
        </w:rPr>
        <w:t>(</w:t>
      </w:r>
      <w:r>
        <w:rPr>
          <w:rtl w:val="true"/>
        </w:rPr>
        <w:t>וליתר דיוק</w:t>
      </w:r>
      <w:r>
        <w:rPr>
          <w:rtl w:val="true"/>
        </w:rPr>
        <w:t xml:space="preserve">, </w:t>
      </w:r>
      <w:r>
        <w:rPr>
          <w:rtl w:val="true"/>
        </w:rPr>
        <w:t>האזנה לו</w:t>
      </w:r>
      <w:r>
        <w:rPr>
          <w:rtl w:val="true"/>
        </w:rPr>
        <w:t xml:space="preserve">, </w:t>
      </w:r>
      <w:r>
        <w:rPr>
          <w:rtl w:val="true"/>
        </w:rPr>
        <w:t>שכן לאורך רובו ככולו אין רואים את המשוחחים</w:t>
      </w:r>
      <w:r>
        <w:rPr>
          <w:rtl w:val="true"/>
        </w:rPr>
        <w:t xml:space="preserve">), </w:t>
      </w:r>
      <w:r>
        <w:rPr>
          <w:rtl w:val="true"/>
        </w:rPr>
        <w:t>המתעד רק את סיום האירוע בצימר</w:t>
      </w:r>
      <w:r>
        <w:rPr>
          <w:rtl w:val="true"/>
        </w:rPr>
        <w:t xml:space="preserve">, </w:t>
      </w:r>
      <w:r>
        <w:rPr>
          <w:rtl w:val="true"/>
        </w:rPr>
        <w:t>מתקבל הרושם כי המעשים אליהם מתייחס האישום באינוס ובמעשה המגונה הנוסף אירעו קודם לצילומו</w:t>
      </w:r>
      <w:r>
        <w:rPr>
          <w:rtl w:val="true"/>
        </w:rPr>
        <w:t xml:space="preserve">, </w:t>
      </w:r>
      <w:r>
        <w:rPr>
          <w:rtl w:val="true"/>
        </w:rPr>
        <w:t>ולא במהלכו</w:t>
      </w:r>
      <w:r>
        <w:rPr>
          <w:rtl w:val="true"/>
        </w:rPr>
        <w:t xml:space="preserve">. </w:t>
      </w:r>
      <w:r>
        <w:rPr>
          <w:rtl w:val="true"/>
        </w:rPr>
        <w:t>כך גם עולה מעיקר עדותה של המתלוננת במשטרה ובבית המשפט</w:t>
      </w:r>
      <w:r>
        <w:rPr>
          <w:rtl w:val="true"/>
        </w:rPr>
        <w:t xml:space="preserve">, </w:t>
      </w:r>
      <w:r>
        <w:rPr>
          <w:rtl w:val="true"/>
        </w:rPr>
        <w:t>וכך גם נטה להתרשם בית המשפט קמא</w:t>
      </w:r>
      <w:r>
        <w:rPr>
          <w:rtl w:val="true"/>
        </w:rPr>
        <w:t xml:space="preserve">. </w:t>
      </w:r>
      <w:r>
        <w:rPr>
          <w:rtl w:val="true"/>
        </w:rPr>
        <w:t>העובדה שהמתלוננת אישרה בחקירתה הנגדית לסנגור כי המעשים אירעו גם במהלך הסרטון יכולה להיות מוסברת במגוון דרכים</w:t>
      </w:r>
      <w:r>
        <w:rPr>
          <w:rtl w:val="true"/>
        </w:rPr>
        <w:t xml:space="preserve">, </w:t>
      </w:r>
      <w:r>
        <w:rPr>
          <w:rtl w:val="true"/>
        </w:rPr>
        <w:t>ובכללם קשיי השפה וכושר הביטוי המוגבל של המתלוננת בעברית</w:t>
      </w:r>
      <w:r>
        <w:rPr>
          <w:rtl w:val="true"/>
        </w:rPr>
        <w:t xml:space="preserve">. </w:t>
      </w:r>
      <w:r>
        <w:rPr>
          <w:rtl w:val="true"/>
        </w:rPr>
        <w:t>מכל מקום</w:t>
      </w:r>
      <w:r>
        <w:rPr>
          <w:rtl w:val="true"/>
        </w:rPr>
        <w:t xml:space="preserve">, </w:t>
      </w:r>
      <w:r>
        <w:rPr>
          <w:rtl w:val="true"/>
        </w:rPr>
        <w:t>גם אם נניח כי נותרה אי בהירות מסוימת בעניין זה</w:t>
      </w:r>
      <w:r>
        <w:rPr>
          <w:rtl w:val="true"/>
        </w:rPr>
        <w:t xml:space="preserve">, </w:t>
      </w:r>
      <w:r>
        <w:rPr>
          <w:rtl w:val="true"/>
        </w:rPr>
        <w:t>היא איננה מהסוג המצדיק זיכוי מהאישומים בהם עסקינן</w:t>
      </w:r>
      <w:r>
        <w:rPr>
          <w:rtl w:val="true"/>
        </w:rPr>
        <w:t xml:space="preserve">, </w:t>
      </w:r>
      <w:r>
        <w:rPr>
          <w:rtl w:val="true"/>
        </w:rPr>
        <w:t>בהינתן גרסתה הברורה של המתלוננת כי המעשים בוצעו כבר בחלק שקדם לסרטון</w:t>
      </w:r>
      <w:r>
        <w:rPr>
          <w:rtl w:val="true"/>
        </w:rPr>
        <w:t xml:space="preserve">. </w:t>
      </w:r>
      <w:r>
        <w:rPr>
          <w:rtl w:val="true"/>
        </w:rPr>
        <w:t>בנוסף</w:t>
      </w:r>
      <w:r>
        <w:rPr>
          <w:rtl w:val="true"/>
        </w:rPr>
        <w:t xml:space="preserve">, </w:t>
      </w:r>
      <w:r>
        <w:rPr>
          <w:rtl w:val="true"/>
        </w:rPr>
        <w:t>מהאזנה לסרטון עולה חשש כי חילופי הדברים מהם הסיק בית המשפט קמא כי עד לאותו שלב רק ניסה המשיב לגרום למתלוננת לשתף פעולה עימו בביצוע המעשים הללו</w:t>
      </w:r>
      <w:r>
        <w:rPr>
          <w:rtl w:val="true"/>
        </w:rPr>
        <w:t xml:space="preserve">, </w:t>
      </w:r>
      <w:r>
        <w:rPr>
          <w:rtl w:val="true"/>
        </w:rPr>
        <w:t>הוצאו מהקשרם</w:t>
      </w:r>
      <w:r>
        <w:rPr>
          <w:rtl w:val="true"/>
        </w:rPr>
        <w:t xml:space="preserve">. </w:t>
      </w:r>
      <w:r>
        <w:rPr>
          <w:rtl w:val="true"/>
        </w:rPr>
        <w:t>כך</w:t>
      </w:r>
      <w:r>
        <w:rPr>
          <w:rtl w:val="true"/>
        </w:rPr>
        <w:t xml:space="preserve">, </w:t>
      </w:r>
      <w:r>
        <w:rPr>
          <w:rtl w:val="true"/>
        </w:rPr>
        <w:t>למשל</w:t>
      </w:r>
      <w:r>
        <w:rPr>
          <w:rtl w:val="true"/>
        </w:rPr>
        <w:t xml:space="preserve">, </w:t>
      </w:r>
      <w:r>
        <w:rPr>
          <w:rtl w:val="true"/>
        </w:rPr>
        <w:t xml:space="preserve">אמירת המשיב </w:t>
      </w:r>
      <w:r>
        <w:rPr>
          <w:rtl w:val="true"/>
        </w:rPr>
        <w:t>"</w:t>
      </w:r>
      <w:r>
        <w:rPr>
          <w:rtl w:val="true"/>
        </w:rPr>
        <w:t>אבל לא ניסית עוד</w:t>
      </w:r>
      <w:r>
        <w:rPr>
          <w:rtl w:val="true"/>
        </w:rPr>
        <w:t xml:space="preserve">" </w:t>
      </w:r>
      <w:r>
        <w:rPr>
          <w:rtl w:val="true"/>
        </w:rPr>
        <w:t xml:space="preserve">התייחסה להצעה מסוימת שהציע למתלוננת </w:t>
      </w:r>
      <w:r>
        <w:rPr>
          <w:rtl w:val="true"/>
        </w:rPr>
        <w:t>("</w:t>
      </w:r>
      <w:r>
        <w:rPr>
          <w:rtl w:val="true"/>
        </w:rPr>
        <w:t>את רוצה לתת לי קצת להרטיב לך אותו</w:t>
      </w:r>
      <w:r>
        <w:rPr>
          <w:rtl w:val="true"/>
        </w:rPr>
        <w:t xml:space="preserve">"), </w:t>
      </w:r>
      <w:r>
        <w:rPr>
          <w:rtl w:val="true"/>
        </w:rPr>
        <w:t>ולא ניתן ללמוד ממנה כי המעשים אליהם מתייחס האישום בו עסקינן לא אירעו קודם לכן</w:t>
      </w:r>
      <w:r>
        <w:rPr>
          <w:rtl w:val="true"/>
        </w:rPr>
        <w:t xml:space="preserve">. </w:t>
      </w:r>
      <w:r>
        <w:rPr>
          <w:rtl w:val="true"/>
        </w:rPr>
        <w:t>דברים דומים אמורים גם ביחס לקשיים במסכת הראייתית</w:t>
      </w:r>
      <w:r>
        <w:rPr>
          <w:rtl w:val="true"/>
        </w:rPr>
        <w:t xml:space="preserve">: </w:t>
      </w:r>
      <w:r>
        <w:rPr>
          <w:rtl w:val="true"/>
        </w:rPr>
        <w:t>ההימנעות מלפרט באוזני ידידיה את פרטי המעשים אינה מעידה שלא התרחשו</w:t>
      </w:r>
      <w:r>
        <w:rPr>
          <w:rtl w:val="true"/>
        </w:rPr>
        <w:t xml:space="preserve">; </w:t>
      </w:r>
      <w:r>
        <w:rPr>
          <w:rtl w:val="true"/>
        </w:rPr>
        <w:t>המתלוננת מסרה כבר בהודעתה הראשונה במשטרה</w:t>
      </w:r>
      <w:r>
        <w:rPr>
          <w:rtl w:val="true"/>
        </w:rPr>
        <w:t xml:space="preserve">, </w:t>
      </w:r>
      <w:r>
        <w:rPr>
          <w:rtl w:val="true"/>
        </w:rPr>
        <w:t>שנמסרה ביום האירוע</w:t>
      </w:r>
      <w:r>
        <w:rPr>
          <w:rtl w:val="true"/>
        </w:rPr>
        <w:t xml:space="preserve">, </w:t>
      </w:r>
      <w:r>
        <w:rPr>
          <w:rtl w:val="true"/>
        </w:rPr>
        <w:t>כי המשיב ביצע את המעשים האמורים</w:t>
      </w:r>
      <w:r>
        <w:rPr>
          <w:rtl w:val="true"/>
        </w:rPr>
        <w:t xml:space="preserve">; </w:t>
      </w:r>
      <w:r>
        <w:rPr>
          <w:rtl w:val="true"/>
        </w:rPr>
        <w:t>התועלת שבבדיקה גופנית בנסיבות אלה נראית על פניה נמוכה מאד</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אפס</w:t>
      </w:r>
      <w:r>
        <w:rPr>
          <w:rtl w:val="true"/>
        </w:rPr>
        <w:t xml:space="preserve">, </w:t>
      </w:r>
      <w:r>
        <w:rPr>
          <w:rtl w:val="true"/>
        </w:rPr>
        <w:t>השאלה הניצבת לפנינו איננה האם ערכאת הערעור מגיעה לאותה מסקנה כמו הערכאה המבררת</w:t>
      </w:r>
      <w:r>
        <w:rPr>
          <w:rtl w:val="true"/>
        </w:rPr>
        <w:t xml:space="preserve">, </w:t>
      </w:r>
      <w:r>
        <w:rPr>
          <w:rtl w:val="true"/>
        </w:rPr>
        <w:t>אלא האם הונח בסיס מספיק להתערבות ערכאת הערעור בממצא עובדתי מזכה שנקבע על ידי הערכאה המבררת</w:t>
      </w:r>
      <w:r>
        <w:rPr>
          <w:rtl w:val="true"/>
        </w:rPr>
        <w:t xml:space="preserve">. </w:t>
      </w:r>
      <w:r>
        <w:rPr>
          <w:rtl w:val="true"/>
        </w:rPr>
        <w:t>כידוע</w:t>
      </w:r>
      <w:r>
        <w:rPr>
          <w:rtl w:val="true"/>
        </w:rPr>
        <w:t xml:space="preserve">, </w:t>
      </w:r>
      <w:r>
        <w:rPr>
          <w:rtl w:val="true"/>
        </w:rPr>
        <w:t xml:space="preserve">בעניין זה היקף התערבותה של ערכאת הערעור מצומצם מאד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3506/13</w:t>
        </w:r>
      </w:hyperlink>
      <w:r>
        <w:rPr>
          <w:rtl w:val="true"/>
        </w:rPr>
        <w:t xml:space="preserve"> </w:t>
      </w:r>
      <w:r>
        <w:rPr>
          <w:rFonts w:ascii="Century" w:hAnsi="Century" w:cs="Miriam"/>
          <w:b/>
          <w:b/>
          <w:spacing w:val="0"/>
          <w:sz w:val="22"/>
          <w:sz w:val="22"/>
          <w:szCs w:val="24"/>
          <w:rtl w:val="true"/>
        </w:rPr>
        <w:t>הבי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148</w:t>
      </w:r>
      <w:r>
        <w:rPr>
          <w:rtl w:val="true"/>
        </w:rPr>
        <w:t xml:space="preserve"> (</w:t>
      </w:r>
      <w:r>
        <w:rPr/>
        <w:t>12.1.2016</w:t>
      </w:r>
      <w:r>
        <w:rPr>
          <w:rtl w:val="true"/>
        </w:rPr>
        <w:t xml:space="preserve">); </w:t>
      </w:r>
      <w:r>
        <w:rPr>
          <w:rtl w:val="true"/>
        </w:rPr>
        <w:t>ע</w:t>
      </w:r>
      <w:r>
        <w:rPr>
          <w:rtl w:val="true"/>
        </w:rPr>
        <w:t>"</w:t>
      </w:r>
      <w:r>
        <w:rPr>
          <w:rtl w:val="true"/>
        </w:rPr>
        <w:t xml:space="preserve">פ </w:t>
      </w:r>
      <w:r>
        <w:rPr/>
        <w:t>2103/07</w:t>
      </w:r>
      <w:r>
        <w:rPr>
          <w:rtl w:val="true"/>
        </w:rPr>
        <w:t xml:space="preserve"> </w:t>
      </w:r>
      <w:r>
        <w:rPr>
          <w:rFonts w:ascii="Century" w:hAnsi="Century" w:cs="Miriam"/>
          <w:b/>
          <w:b/>
          <w:spacing w:val="0"/>
          <w:sz w:val="22"/>
          <w:sz w:val="22"/>
          <w:szCs w:val="24"/>
          <w:rtl w:val="true"/>
        </w:rPr>
        <w:t>הורוביץ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29-27</w:t>
      </w:r>
      <w:r>
        <w:rPr>
          <w:rtl w:val="true"/>
        </w:rPr>
        <w:t xml:space="preserve"> </w:t>
      </w:r>
      <w:r>
        <w:rPr>
          <w:rtl w:val="true"/>
        </w:rPr>
        <w:t xml:space="preserve">והאסמכתאות הנזכרות שם </w:t>
      </w:r>
      <w:r>
        <w:rPr>
          <w:rtl w:val="true"/>
        </w:rPr>
        <w:t>(</w:t>
      </w:r>
      <w:r>
        <w:rPr/>
        <w:t>31.12.2008</w:t>
      </w:r>
      <w:r>
        <w:rPr>
          <w:rtl w:val="true"/>
        </w:rPr>
        <w:t xml:space="preserve">)). </w:t>
      </w:r>
      <w:r>
        <w:rPr>
          <w:rtl w:val="true"/>
        </w:rPr>
        <w:t>לאחר התלבטות</w:t>
      </w:r>
      <w:r>
        <w:rPr>
          <w:rtl w:val="true"/>
        </w:rPr>
        <w:t xml:space="preserve">, </w:t>
      </w:r>
      <w:r>
        <w:rPr>
          <w:rtl w:val="true"/>
        </w:rPr>
        <w:t>הגעתי למסקנה כי בענייננו לא נחצה הרף הגבוה להצדקת התערבות שכזו</w:t>
      </w:r>
      <w:r>
        <w:rPr>
          <w:rtl w:val="true"/>
        </w:rPr>
        <w:t xml:space="preserve">. </w:t>
      </w:r>
      <w:r>
        <w:rPr>
          <w:rtl w:val="true"/>
        </w:rPr>
        <w:t>אכן</w:t>
      </w:r>
      <w:r>
        <w:rPr>
          <w:rtl w:val="true"/>
        </w:rPr>
        <w:t xml:space="preserve">, </w:t>
      </w:r>
      <w:r>
        <w:rPr>
          <w:rtl w:val="true"/>
        </w:rPr>
        <w:t>כטענת המדינה</w:t>
      </w:r>
      <w:r>
        <w:rPr>
          <w:rtl w:val="true"/>
        </w:rPr>
        <w:t xml:space="preserve">, </w:t>
      </w:r>
      <w:r>
        <w:rPr>
          <w:rtl w:val="true"/>
        </w:rPr>
        <w:t xml:space="preserve">לכל אחד מהבקיעים והקשיים עליהם הצביע בית המשפט קמא יש תשובה </w:t>
      </w:r>
      <w:r>
        <w:rPr>
          <w:rtl w:val="true"/>
        </w:rPr>
        <w:t>–</w:t>
      </w:r>
      <w:r>
        <w:rPr>
          <w:rtl w:val="true"/>
        </w:rPr>
        <w:t xml:space="preserve"> ולרובם</w:t>
      </w:r>
      <w:r>
        <w:rPr>
          <w:rtl w:val="true"/>
        </w:rPr>
        <w:t xml:space="preserve">, </w:t>
      </w:r>
      <w:r>
        <w:rPr>
          <w:rtl w:val="true"/>
        </w:rPr>
        <w:t>אם לא כולם</w:t>
      </w:r>
      <w:r>
        <w:rPr>
          <w:rtl w:val="true"/>
        </w:rPr>
        <w:t xml:space="preserve">, </w:t>
      </w:r>
      <w:r>
        <w:rPr>
          <w:rtl w:val="true"/>
        </w:rPr>
        <w:t>להתרשמותי</w:t>
      </w:r>
      <w:r>
        <w:rPr>
          <w:rtl w:val="true"/>
        </w:rPr>
        <w:t xml:space="preserve">, </w:t>
      </w:r>
      <w:r>
        <w:rPr>
          <w:rtl w:val="true"/>
        </w:rPr>
        <w:t>אף תשובה טובה</w:t>
      </w:r>
      <w:r>
        <w:rPr>
          <w:rtl w:val="true"/>
        </w:rPr>
        <w:t xml:space="preserve">. </w:t>
      </w:r>
      <w:r>
        <w:rPr>
          <w:rtl w:val="true"/>
        </w:rPr>
        <w:t>ואולם</w:t>
      </w:r>
      <w:r>
        <w:rPr>
          <w:rtl w:val="true"/>
        </w:rPr>
        <w:t xml:space="preserve">, </w:t>
      </w:r>
      <w:r>
        <w:rPr>
          <w:rtl w:val="true"/>
        </w:rPr>
        <w:t>עדיין</w:t>
      </w:r>
      <w:r>
        <w:rPr>
          <w:rtl w:val="true"/>
        </w:rPr>
        <w:t xml:space="preserve">, </w:t>
      </w:r>
      <w:r>
        <w:rPr>
          <w:rtl w:val="true"/>
        </w:rPr>
        <w:t>כאשר ישנן מספר ראיות אשר מעוררות ספק</w:t>
      </w:r>
      <w:r>
        <w:rPr>
          <w:rtl w:val="true"/>
        </w:rPr>
        <w:t xml:space="preserve">, </w:t>
      </w:r>
      <w:r>
        <w:rPr>
          <w:rtl w:val="true"/>
        </w:rPr>
        <w:t>כל אחת בדרכה שלה</w:t>
      </w:r>
      <w:r>
        <w:rPr>
          <w:rtl w:val="true"/>
        </w:rPr>
        <w:t xml:space="preserve">, </w:t>
      </w:r>
      <w:r>
        <w:rPr>
          <w:rtl w:val="true"/>
        </w:rPr>
        <w:t xml:space="preserve">עשוי להיות לכך כוח מצטבר </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531/80</w:t>
        </w:r>
      </w:hyperlink>
      <w:r>
        <w:rPr>
          <w:rtl w:val="true"/>
        </w:rPr>
        <w:t xml:space="preserve"> </w:t>
      </w:r>
      <w:r>
        <w:rPr>
          <w:rFonts w:ascii="Century" w:hAnsi="Century" w:cs="Miriam"/>
          <w:b/>
          <w:b/>
          <w:spacing w:val="0"/>
          <w:sz w:val="22"/>
          <w:sz w:val="22"/>
          <w:szCs w:val="24"/>
          <w:rtl w:val="true"/>
        </w:rPr>
        <w:t>אבוחצירא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לו</w:t>
      </w:r>
      <w:r>
        <w:rPr>
          <w:rtl w:val="true"/>
        </w:rPr>
        <w:t>(</w:t>
      </w:r>
      <w:r>
        <w:rPr/>
        <w:t>3</w:t>
      </w:r>
      <w:r>
        <w:rPr>
          <w:rtl w:val="true"/>
        </w:rPr>
        <w:t xml:space="preserve">) </w:t>
      </w:r>
      <w:r>
        <w:rPr/>
        <w:t>589</w:t>
      </w:r>
      <w:r>
        <w:rPr>
          <w:rtl w:val="true"/>
        </w:rPr>
        <w:t xml:space="preserve">, </w:t>
      </w:r>
      <w:r>
        <w:rPr/>
        <w:t>601-600</w:t>
      </w:r>
      <w:r>
        <w:rPr>
          <w:rtl w:val="true"/>
        </w:rPr>
        <w:t xml:space="preserve"> (</w:t>
      </w:r>
      <w:r>
        <w:rPr/>
        <w:t>1982</w:t>
      </w:r>
      <w:r>
        <w:rPr>
          <w:rtl w:val="true"/>
        </w:rPr>
        <w:t xml:space="preserve">)). </w:t>
      </w:r>
      <w:r>
        <w:rPr>
          <w:rtl w:val="true"/>
        </w:rPr>
        <w:t>מקום בו משקלן המצטבר של הראיות מתיר ספק</w:t>
      </w:r>
      <w:r>
        <w:rPr>
          <w:rtl w:val="true"/>
        </w:rPr>
        <w:t xml:space="preserve">, </w:t>
      </w:r>
      <w:r>
        <w:rPr>
          <w:rtl w:val="true"/>
        </w:rPr>
        <w:t>ולספק אחיזה בחומר הראיות</w:t>
      </w:r>
      <w:r>
        <w:rPr>
          <w:rtl w:val="true"/>
        </w:rPr>
        <w:t xml:space="preserve">, </w:t>
      </w:r>
      <w:r>
        <w:rPr>
          <w:rtl w:val="true"/>
        </w:rPr>
        <w:t xml:space="preserve">עליו להביא לזיכוי המשיב </w:t>
      </w:r>
      <w:r>
        <w:rPr>
          <w:rtl w:val="true"/>
        </w:rPr>
        <w:t>(</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6392/13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קריאף</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104-96</w:t>
      </w:r>
      <w:r>
        <w:rPr>
          <w:rtl w:val="true"/>
        </w:rPr>
        <w:t xml:space="preserve"> (</w:t>
      </w:r>
      <w:r>
        <w:rPr/>
        <w:t>21.1.2015</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409/89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רוימי</w:t>
      </w:r>
      <w:r>
        <w:rPr>
          <w:rtl w:val="true"/>
        </w:rPr>
        <w:t xml:space="preserve">, </w:t>
      </w:r>
      <w:r>
        <w:rPr>
          <w:rtl w:val="true"/>
        </w:rPr>
        <w:t>מד</w:t>
      </w:r>
      <w:r>
        <w:rPr>
          <w:rtl w:val="true"/>
        </w:rPr>
        <w:t>(</w:t>
      </w:r>
      <w:r>
        <w:rPr/>
        <w:t>3</w:t>
      </w:r>
      <w:r>
        <w:rPr>
          <w:rtl w:val="true"/>
        </w:rPr>
        <w:t xml:space="preserve">) </w:t>
      </w:r>
      <w:r>
        <w:rPr/>
        <w:t>465</w:t>
      </w:r>
      <w:r>
        <w:rPr>
          <w:rtl w:val="true"/>
        </w:rPr>
        <w:t xml:space="preserve">, </w:t>
      </w:r>
      <w:r>
        <w:rPr/>
        <w:t>473-470</w:t>
      </w:r>
      <w:r>
        <w:rPr>
          <w:rtl w:val="true"/>
        </w:rPr>
        <w:t xml:space="preserve"> (</w:t>
      </w:r>
      <w:r>
        <w:rPr/>
        <w:t>1990</w:t>
      </w:r>
      <w:r>
        <w:rPr>
          <w:rtl w:val="true"/>
        </w:rPr>
        <w:t xml:space="preserve">)). </w:t>
      </w:r>
      <w:r>
        <w:rPr>
          <w:rtl w:val="true"/>
        </w:rPr>
        <w:t xml:space="preserve">בפסיקה </w:t>
      </w:r>
      <w:r>
        <w:rPr>
          <w:rtl w:val="true"/>
        </w:rPr>
        <w:t xml:space="preserve">אף </w:t>
      </w:r>
      <w:r>
        <w:rPr>
          <w:rtl w:val="true"/>
        </w:rPr>
        <w:t xml:space="preserve">נשמעו גישות </w:t>
      </w:r>
      <w:r>
        <w:rPr>
          <w:rtl w:val="true"/>
        </w:rPr>
        <w:t>הגורסות כי כאשר בלב השופט נותר ספק</w:t>
      </w:r>
      <w:r>
        <w:rPr>
          <w:rtl w:val="true"/>
        </w:rPr>
        <w:t xml:space="preserve">, </w:t>
      </w:r>
      <w:r>
        <w:rPr>
          <w:rtl w:val="true"/>
        </w:rPr>
        <w:t>ואפילו מקורו אינו ידוע</w:t>
      </w:r>
      <w:r>
        <w:rPr>
          <w:rtl w:val="true"/>
        </w:rPr>
        <w:t xml:space="preserve">, </w:t>
      </w:r>
      <w:r>
        <w:rPr>
          <w:rtl w:val="true"/>
        </w:rPr>
        <w:t xml:space="preserve">יש מקום לזיכוי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 xml:space="preserve">ראו למשל </w:t>
      </w:r>
      <w:hyperlink r:id="rId31">
        <w:r>
          <w:rPr>
            <w:rStyle w:val="Hyperlink"/>
            <w:rFonts w:ascii="FrankRuehl" w:hAnsi="FrankRuehl" w:cs="FrankRuehl"/>
            <w:color w:val="0000FF"/>
            <w:sz w:val="28"/>
            <w:sz w:val="28"/>
            <w:u w:val="single"/>
            <w:shd w:fill="FFFFFF" w:val="clear"/>
            <w:rtl w:val="true"/>
          </w:rPr>
          <w:t>ע</w:t>
        </w:r>
        <w:r>
          <w:rPr>
            <w:rStyle w:val="Hyperlink"/>
            <w:rFonts w:cs="FrankRuehl" w:ascii="FrankRuehl" w:hAnsi="FrankRuehl"/>
            <w:color w:val="0000FF"/>
            <w:sz w:val="28"/>
            <w:u w:val="single"/>
            <w:shd w:fill="FFFFFF" w:val="clear"/>
            <w:rtl w:val="true"/>
          </w:rPr>
          <w:t>"</w:t>
        </w:r>
        <w:r>
          <w:rPr>
            <w:rStyle w:val="Hyperlink"/>
            <w:rFonts w:ascii="FrankRuehl" w:hAnsi="FrankRuehl" w:cs="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6251/94</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בן</w:t>
      </w:r>
      <w:r>
        <w:rPr>
          <w:rFonts w:cs="Miriam" w:ascii="Century" w:hAnsi="Century"/>
          <w:b/>
          <w:spacing w:val="0"/>
          <w:sz w:val="22"/>
          <w:szCs w:val="24"/>
          <w:shd w:fill="FFFFFF" w:val="clear"/>
          <w:rtl w:val="true"/>
        </w:rPr>
        <w:t>-</w:t>
      </w:r>
      <w:r>
        <w:rPr>
          <w:rFonts w:ascii="Century" w:hAnsi="Century" w:cs="Miriam"/>
          <w:b/>
          <w:b/>
          <w:spacing w:val="0"/>
          <w:sz w:val="22"/>
          <w:sz w:val="22"/>
          <w:szCs w:val="24"/>
          <w:shd w:fill="FFFFFF" w:val="clear"/>
          <w:rtl w:val="true"/>
        </w:rPr>
        <w:t>ארי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מט</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3</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45</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125-120</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1995</w:t>
      </w:r>
      <w:r>
        <w:rPr>
          <w:rFonts w:cs="FrankRuehl" w:ascii="FrankRuehl" w:hAnsi="FrankRuehl"/>
          <w:color w:val="000000"/>
          <w:sz w:val="28"/>
          <w:shd w:fill="FFFFFF" w:val="clear"/>
          <w:rtl w:val="true"/>
        </w:rPr>
        <w:t xml:space="preserve">); </w:t>
      </w:r>
      <w:hyperlink r:id="rId32">
        <w:r>
          <w:rPr>
            <w:rStyle w:val="Hyperlink"/>
            <w:rFonts w:ascii="FrankRuehl" w:hAnsi="FrankRuehl" w:cs="FrankRuehl"/>
            <w:color w:val="0000FF"/>
            <w:sz w:val="28"/>
            <w:sz w:val="28"/>
            <w:u w:val="single"/>
            <w:shd w:fill="FFFFFF" w:val="clear"/>
            <w:rtl w:val="true"/>
          </w:rPr>
          <w:t>ע</w:t>
        </w:r>
        <w:r>
          <w:rPr>
            <w:rStyle w:val="Hyperlink"/>
            <w:rFonts w:cs="FrankRuehl" w:ascii="FrankRuehl" w:hAnsi="FrankRuehl"/>
            <w:color w:val="0000FF"/>
            <w:sz w:val="28"/>
            <w:u w:val="single"/>
            <w:shd w:fill="FFFFFF" w:val="clear"/>
            <w:rtl w:val="true"/>
          </w:rPr>
          <w:t>"</w:t>
        </w:r>
        <w:r>
          <w:rPr>
            <w:rStyle w:val="Hyperlink"/>
            <w:rFonts w:ascii="FrankRuehl" w:hAnsi="FrankRuehl" w:cs="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7939/10</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רומן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זדורוב</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cs="FrankRuehl" w:ascii="FrankRuehl" w:hAnsi="FrankRuehl"/>
          <w:color w:val="000000"/>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ascii="FrankRuehl" w:hAnsi="FrankRuehl" w:cs="FrankRuehl"/>
          <w:color w:val="000000"/>
          <w:sz w:val="28"/>
          <w:sz w:val="28"/>
          <w:shd w:fill="FFFFFF" w:val="clear"/>
          <w:rtl w:val="true"/>
        </w:rPr>
        <w:t xml:space="preserve">פסקאות </w:t>
      </w:r>
      <w:r>
        <w:rPr>
          <w:rFonts w:cs="FrankRuehl" w:ascii="FrankRuehl" w:hAnsi="FrankRuehl"/>
          <w:color w:val="000000"/>
          <w:sz w:val="28"/>
          <w:shd w:fill="FFFFFF" w:val="clear"/>
        </w:rPr>
        <w:t>349-352</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לפסק דינו של כב</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השופט </w:t>
      </w:r>
      <w:r>
        <w:rPr>
          <w:rFonts w:ascii="Century" w:hAnsi="Century" w:cs="Miriam"/>
          <w:b/>
          <w:b/>
          <w:spacing w:val="0"/>
          <w:sz w:val="22"/>
          <w:sz w:val="22"/>
          <w:szCs w:val="24"/>
          <w:shd w:fill="FFFFFF" w:val="clear"/>
          <w:rtl w:val="true"/>
        </w:rPr>
        <w:t>יורם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דנציגר</w:t>
      </w:r>
      <w:r>
        <w:rPr>
          <w:rFonts w:ascii="FrankRuehl" w:hAnsi="FrankRuehl" w:cs="FrankRuehl"/>
          <w:color w:val="000000"/>
          <w:sz w:val="28"/>
          <w:sz w:val="28"/>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23.12.2015</w:t>
      </w:r>
      <w:r>
        <w:rPr>
          <w:rFonts w:cs="FrankRuehl" w:ascii="FrankRuehl" w:hAnsi="FrankRuehl"/>
          <w:color w:val="000000"/>
          <w:sz w:val="28"/>
          <w:shd w:fill="FFFFFF" w:val="clear"/>
          <w:rtl w:val="true"/>
        </w:rPr>
        <w:t>);</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273/14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פארס</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rtl w:val="true"/>
        </w:rPr>
        <w:t>לפסק דינו של כב</w:t>
      </w:r>
      <w:r>
        <w:rPr>
          <w:rtl w:val="true"/>
        </w:rPr>
        <w:t xml:space="preserve">' </w:t>
      </w:r>
      <w:r>
        <w:rPr>
          <w:rtl w:val="true"/>
        </w:rPr>
        <w:t xml:space="preserve">השופט </w:t>
      </w:r>
      <w:r>
        <w:rPr>
          <w:rFonts w:ascii="Century" w:hAnsi="Century" w:cs="Miriam"/>
          <w:b/>
          <w:b/>
          <w:spacing w:val="0"/>
          <w:sz w:val="22"/>
          <w:sz w:val="22"/>
          <w:szCs w:val="24"/>
          <w:rtl w:val="true"/>
        </w:rPr>
        <w:t>ניל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t>23.12.2014</w:t>
      </w:r>
      <w:r>
        <w:rPr>
          <w:rtl w:val="true"/>
        </w:rPr>
        <w:t xml:space="preserve">)). </w:t>
      </w:r>
      <w:r>
        <w:rPr>
          <w:rtl w:val="true"/>
        </w:rPr>
        <w:t xml:space="preserve">הדברים אמורים ביתר שאת שעה </w:t>
      </w:r>
      <w:r>
        <w:rPr>
          <w:shd w:fill="FFFFFF" w:val="clear"/>
          <w:rtl w:val="true"/>
        </w:rPr>
        <w:t>שמדובר בזיכוי שניתן פה אחד בפני שלושה שופטים</w:t>
      </w:r>
      <w:r>
        <w:rPr>
          <w:shd w:fill="FFFFFF" w:val="clear"/>
          <w:rtl w:val="true"/>
        </w:rPr>
        <w:t xml:space="preserve">, </w:t>
      </w:r>
      <w:r>
        <w:rPr>
          <w:shd w:fill="FFFFFF" w:val="clear"/>
          <w:rtl w:val="true"/>
        </w:rPr>
        <w:t>שהיו</w:t>
      </w:r>
      <w:r>
        <w:rPr>
          <w:shd w:fill="FFFFFF" w:val="clear"/>
          <w:rtl w:val="true"/>
        </w:rPr>
        <w:t xml:space="preserve">, </w:t>
      </w:r>
      <w:r>
        <w:rPr>
          <w:shd w:fill="FFFFFF" w:val="clear"/>
          <w:rtl w:val="true"/>
        </w:rPr>
        <w:t>כך ניתן להתרשם מהכרעת הדין</w:t>
      </w:r>
      <w:r>
        <w:rPr>
          <w:shd w:fill="FFFFFF" w:val="clear"/>
          <w:rtl w:val="true"/>
        </w:rPr>
        <w:t xml:space="preserve">, </w:t>
      </w:r>
      <w:r>
        <w:rPr>
          <w:shd w:fill="FFFFFF" w:val="clear"/>
          <w:rtl w:val="true"/>
        </w:rPr>
        <w:t>בקיאים בעובדות ובמצב המשפטי הנובע מהן</w:t>
      </w:r>
      <w:r>
        <w:rPr>
          <w:shd w:fill="FFFFFF" w:val="clear"/>
          <w:rtl w:val="true"/>
        </w:rPr>
        <w:t xml:space="preserve">, </w:t>
      </w:r>
      <w:r>
        <w:rPr>
          <w:rFonts w:ascii="FrankRuehl" w:hAnsi="FrankRuehl" w:cs="FrankRuehl"/>
          <w:sz w:val="28"/>
          <w:sz w:val="28"/>
          <w:rtl w:val="true"/>
        </w:rPr>
        <w:t>וניכרת התמודדות</w:t>
      </w:r>
      <w:r>
        <w:rPr>
          <w:rFonts w:ascii="FrankRuehl" w:hAnsi="FrankRuehl" w:cs="FrankRuehl"/>
          <w:sz w:val="28"/>
          <w:sz w:val="28"/>
          <w:rtl w:val="true"/>
        </w:rPr>
        <w:t xml:space="preserve">ם </w:t>
      </w:r>
      <w:r>
        <w:rPr>
          <w:rFonts w:ascii="FrankRuehl" w:hAnsi="FrankRuehl" w:cs="FrankRuehl"/>
          <w:sz w:val="28"/>
          <w:sz w:val="28"/>
          <w:rtl w:val="true"/>
        </w:rPr>
        <w:t xml:space="preserve">עם </w:t>
      </w:r>
      <w:r>
        <w:rPr>
          <w:rFonts w:ascii="FrankRuehl" w:hAnsi="FrankRuehl" w:cs="FrankRuehl"/>
          <w:sz w:val="28"/>
          <w:sz w:val="28"/>
          <w:rtl w:val="true"/>
        </w:rPr>
        <w:t xml:space="preserve">הפסיקה הנוהגת </w:t>
      </w:r>
      <w:r>
        <w:rPr>
          <w:rFonts w:ascii="FrankRuehl" w:hAnsi="FrankRuehl" w:cs="FrankRuehl"/>
          <w:sz w:val="28"/>
          <w:sz w:val="28"/>
          <w:rtl w:val="true"/>
        </w:rPr>
        <w:t>וטענות שונות שהתעוררו במהלך ההליך</w:t>
      </w:r>
      <w:r>
        <w:rPr>
          <w:rFonts w:cs="FrankRuehl" w:ascii="FrankRuehl" w:hAnsi="FrankRuehl"/>
          <w:sz w:val="28"/>
          <w:rtl w:val="true"/>
        </w:rPr>
        <w:t xml:space="preserve">, </w:t>
      </w:r>
      <w:r>
        <w:rPr>
          <w:rFonts w:ascii="FrankRuehl" w:hAnsi="FrankRuehl" w:cs="FrankRuehl"/>
          <w:sz w:val="28"/>
          <w:sz w:val="28"/>
          <w:rtl w:val="true"/>
        </w:rPr>
        <w:t>על מורכבותו</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בהינתן כל אלה</w:t>
      </w:r>
      <w:r>
        <w:rPr>
          <w:rFonts w:cs="FrankRuehl" w:ascii="FrankRuehl" w:hAnsi="FrankRuehl"/>
          <w:sz w:val="28"/>
          <w:rtl w:val="true"/>
        </w:rPr>
        <w:t xml:space="preserve">, </w:t>
      </w:r>
      <w:r>
        <w:rPr>
          <w:rFonts w:ascii="FrankRuehl" w:hAnsi="FrankRuehl" w:cs="FrankRuehl"/>
          <w:sz w:val="28"/>
          <w:sz w:val="28"/>
          <w:rtl w:val="true"/>
        </w:rPr>
        <w:t>ו</w:t>
      </w:r>
      <w:r>
        <w:rPr>
          <w:rtl w:val="true"/>
        </w:rPr>
        <w:t>על אף הספקות בדבר קיומו של ספק סביר ביחס לאישום באינוס ובמעשה המגונה הנוסף</w:t>
      </w:r>
      <w:r>
        <w:rPr>
          <w:rtl w:val="true"/>
        </w:rPr>
        <w:t xml:space="preserve">, </w:t>
      </w:r>
      <w:r>
        <w:rPr>
          <w:rtl w:val="true"/>
        </w:rPr>
        <w:t>לא מצאתי כי קיימת הצדקה במקרה זה להתערבות בממצא מזכה שנקבע במותב תלתא על ידי הערכאה המבררת</w:t>
      </w:r>
      <w:r>
        <w:rPr>
          <w:rtl w:val="true"/>
        </w:rPr>
        <w:t xml:space="preserve">. </w:t>
      </w:r>
      <w:r>
        <w:rPr>
          <w:rtl w:val="true"/>
        </w:rPr>
        <w:t>לפיכך אציע לחבריי להותיר על כנו את זיכוי המשיב מחמת הספק מעבירת האינוס והמעשה המגונה הנוסף</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זיכוי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החטיפה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כזכור</w:t>
      </w:r>
      <w:r>
        <w:rPr>
          <w:rtl w:val="true"/>
        </w:rPr>
        <w:t xml:space="preserve">, </w:t>
      </w:r>
      <w:r>
        <w:rPr>
          <w:rtl w:val="true"/>
        </w:rPr>
        <w:t>בית המשפט קמא זיכה את המשיב מעבירת חטיפה לשם ביצוע עבירת מין</w:t>
      </w:r>
      <w:r>
        <w:rPr>
          <w:rtl w:val="true"/>
        </w:rPr>
        <w:t xml:space="preserve">, </w:t>
      </w:r>
      <w:r>
        <w:rPr>
          <w:rtl w:val="true"/>
        </w:rPr>
        <w:t xml:space="preserve">אשר מורכבת משילוב של שלוש הוראות המצויות </w:t>
      </w:r>
      <w:hyperlink r:id="rId34">
        <w:r>
          <w:rPr>
            <w:rStyle w:val="Hyperlink"/>
            <w:rtl w:val="true"/>
          </w:rPr>
          <w:t>בפרק</w:t>
        </w:r>
        <w:r>
          <w:rPr>
            <w:rStyle w:val="Hyperlink"/>
            <w:rtl w:val="true"/>
          </w:rPr>
          <w:t xml:space="preserve"> </w:t>
        </w:r>
        <w:r>
          <w:rPr>
            <w:rStyle w:val="Hyperlink"/>
            <w:rtl w:val="true"/>
          </w:rPr>
          <w:t>י</w:t>
        </w:r>
        <w:r>
          <w:rPr>
            <w:rStyle w:val="Hyperlink"/>
            <w:rtl w:val="true"/>
          </w:rPr>
          <w:t xml:space="preserve">' </w:t>
        </w:r>
        <w:r>
          <w:rPr>
            <w:rStyle w:val="Hyperlink"/>
            <w:rtl w:val="true"/>
          </w:rPr>
          <w:t>לחוק</w:t>
        </w:r>
      </w:hyperlink>
      <w:r>
        <w:rPr>
          <w:rtl w:val="true"/>
        </w:rPr>
        <w:t xml:space="preserve">, </w:t>
      </w:r>
      <w:hyperlink r:id="rId35">
        <w:r>
          <w:rPr>
            <w:rStyle w:val="Hyperlink"/>
            <w:rtl w:val="true"/>
          </w:rPr>
          <w:t>בסימן</w:t>
        </w:r>
        <w:r>
          <w:rPr>
            <w:rStyle w:val="Hyperlink"/>
            <w:rtl w:val="true"/>
          </w:rPr>
          <w:t xml:space="preserve"> </w:t>
        </w:r>
        <w:r>
          <w:rPr>
            <w:rStyle w:val="Hyperlink"/>
            <w:rtl w:val="true"/>
          </w:rPr>
          <w:t>ז</w:t>
        </w:r>
        <w:r>
          <w:rPr>
            <w:rStyle w:val="Hyperlink"/>
            <w:rtl w:val="true"/>
          </w:rPr>
          <w:t>'</w:t>
        </w:r>
      </w:hyperlink>
      <w:r>
        <w:rPr>
          <w:rtl w:val="true"/>
        </w:rPr>
        <w:t xml:space="preserve"> </w:t>
      </w:r>
      <w:r>
        <w:rPr>
          <w:rtl w:val="true"/>
        </w:rPr>
        <w:t xml:space="preserve">שכותרתו </w:t>
      </w:r>
      <w:r>
        <w:rPr>
          <w:rtl w:val="true"/>
        </w:rPr>
        <w:t>"</w:t>
      </w:r>
      <w:r>
        <w:rPr>
          <w:rtl w:val="true"/>
        </w:rPr>
        <w:t>פגיעה בחירות</w:t>
      </w:r>
      <w:r>
        <w:rPr>
          <w:rtl w:val="true"/>
        </w:rPr>
        <w:t xml:space="preserve">": </w:t>
      </w:r>
      <w:r>
        <w:rPr>
          <w:rtl w:val="true"/>
        </w:rPr>
        <w:t>חטיפה</w:t>
      </w:r>
      <w:r>
        <w:rPr>
          <w:rtl w:val="true"/>
        </w:rPr>
        <w:t xml:space="preserve">, </w:t>
      </w:r>
      <w:r>
        <w:rPr>
          <w:rtl w:val="true"/>
        </w:rPr>
        <w:t xml:space="preserve">כהגדרתה </w:t>
      </w:r>
      <w:hyperlink r:id="rId36">
        <w:r>
          <w:rPr>
            <w:rStyle w:val="Hyperlink"/>
            <w:rtl w:val="true"/>
          </w:rPr>
          <w:t>בסעיף</w:t>
        </w:r>
        <w:r>
          <w:rPr>
            <w:rStyle w:val="Hyperlink"/>
            <w:rtl w:val="true"/>
          </w:rPr>
          <w:t xml:space="preserve"> </w:t>
        </w:r>
        <w:r>
          <w:rPr>
            <w:rStyle w:val="Hyperlink"/>
          </w:rPr>
          <w:t>369</w:t>
        </w:r>
      </w:hyperlink>
      <w:r>
        <w:rPr>
          <w:rtl w:val="true"/>
        </w:rPr>
        <w:t xml:space="preserve"> </w:t>
      </w:r>
      <w:r>
        <w:rPr>
          <w:rtl w:val="true"/>
        </w:rPr>
        <w:t>לחוק</w:t>
      </w:r>
      <w:r>
        <w:rPr>
          <w:rtl w:val="true"/>
        </w:rPr>
        <w:t xml:space="preserve">, </w:t>
      </w:r>
      <w:r>
        <w:rPr>
          <w:rtl w:val="true"/>
        </w:rPr>
        <w:t xml:space="preserve">שבוצעה בנסיבות המנויות </w:t>
      </w:r>
      <w:hyperlink r:id="rId37">
        <w:r>
          <w:rPr>
            <w:rStyle w:val="Hyperlink"/>
            <w:rtl w:val="true"/>
          </w:rPr>
          <w:t>בסעיף</w:t>
        </w:r>
        <w:r>
          <w:rPr>
            <w:rStyle w:val="Hyperlink"/>
            <w:rtl w:val="true"/>
          </w:rPr>
          <w:t xml:space="preserve"> </w:t>
        </w:r>
        <w:r>
          <w:rPr>
            <w:rStyle w:val="Hyperlink"/>
          </w:rPr>
          <w:t>374</w:t>
        </w:r>
        <w:r>
          <w:rPr>
            <w:rStyle w:val="Hyperlink"/>
            <w:rtl w:val="true"/>
          </w:rPr>
          <w:t>א</w:t>
        </w:r>
      </w:hyperlink>
      <w:r>
        <w:rPr>
          <w:rtl w:val="true"/>
        </w:rPr>
        <w:t xml:space="preserve"> לחוק</w:t>
      </w:r>
      <w:r>
        <w:rPr>
          <w:rtl w:val="true"/>
        </w:rPr>
        <w:t xml:space="preserve">, </w:t>
      </w:r>
      <w:r>
        <w:rPr>
          <w:rtl w:val="true"/>
        </w:rPr>
        <w:t>דהיינו</w:t>
      </w:r>
      <w:r>
        <w:rPr>
          <w:rtl w:val="true"/>
        </w:rPr>
        <w:t>, "</w:t>
      </w:r>
      <w:r>
        <w:rPr>
          <w:rFonts w:ascii="Century" w:hAnsi="Century" w:cs="Miriam"/>
          <w:b/>
          <w:b/>
          <w:spacing w:val="0"/>
          <w:sz w:val="22"/>
          <w:sz w:val="22"/>
          <w:szCs w:val="24"/>
          <w:rtl w:val="true"/>
        </w:rPr>
        <w:t>לשם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מהמטרות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377</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להעמידו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מהסכנות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tl w:val="true"/>
        </w:rPr>
        <w:t xml:space="preserve">", </w:t>
      </w:r>
      <w:r>
        <w:rPr>
          <w:rtl w:val="true"/>
        </w:rPr>
        <w:t xml:space="preserve">כאשר במקרה דנן המדובר בחטיפה לשם  </w:t>
      </w:r>
      <w:r>
        <w:rPr>
          <w:rtl w:val="true"/>
        </w:rPr>
        <w:t>"</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tl w:val="true"/>
        </w:rPr>
        <w:t>" (</w:t>
      </w:r>
      <w:hyperlink r:id="rId38">
        <w:r>
          <w:rPr>
            <w:rStyle w:val="Hyperlink"/>
            <w:rtl w:val="true"/>
          </w:rPr>
          <w:t>סעיף</w:t>
        </w:r>
        <w:r>
          <w:rPr>
            <w:rStyle w:val="Hyperlink"/>
            <w:rtl w:val="true"/>
          </w:rPr>
          <w:t xml:space="preserve"> </w:t>
        </w:r>
        <w:r>
          <w:rPr>
            <w:rStyle w:val="Hyperlink"/>
          </w:rPr>
          <w:t>377</w:t>
        </w:r>
        <w:r>
          <w:rPr>
            <w:rStyle w:val="Hyperlink"/>
            <w:rtl w:val="true"/>
          </w:rPr>
          <w:t>א</w:t>
        </w:r>
        <w:r>
          <w:rPr>
            <w:rStyle w:val="Hyperlink"/>
            <w:rtl w:val="true"/>
          </w:rPr>
          <w:t>(</w:t>
        </w:r>
        <w:r>
          <w:rPr>
            <w:rStyle w:val="Hyperlink"/>
            <w:rtl w:val="true"/>
          </w:rPr>
          <w:t>א</w:t>
        </w:r>
        <w:r>
          <w:rPr>
            <w:rStyle w:val="Hyperlink"/>
            <w:rtl w:val="true"/>
          </w:rPr>
          <w:t>)(</w:t>
        </w:r>
        <w:r>
          <w:rPr>
            <w:rStyle w:val="Hyperlink"/>
          </w:rPr>
          <w:t>7</w:t>
        </w:r>
        <w:r>
          <w:rPr>
            <w:rStyle w:val="Hyperlink"/>
            <w:rtl w:val="true"/>
          </w:rPr>
          <w:t>)</w:t>
        </w:r>
      </w:hyperlink>
      <w:r>
        <w:rPr>
          <w:rtl w:val="true"/>
        </w:rPr>
        <w:t xml:space="preserve"> </w:t>
      </w:r>
      <w:r>
        <w:rPr>
          <w:rtl w:val="true"/>
        </w:rPr>
        <w:t>לחוק</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על מנת להרשיע בעבירה זו</w:t>
      </w:r>
      <w:r>
        <w:rPr>
          <w:rtl w:val="true"/>
        </w:rPr>
        <w:t xml:space="preserve">, </w:t>
      </w:r>
      <w:r>
        <w:rPr>
          <w:rtl w:val="true"/>
        </w:rPr>
        <w:t xml:space="preserve">נדרש ראשית להוכיח כי התקיימו יסודותיה של עבירת החטיפה </w:t>
      </w:r>
      <w:r>
        <w:rPr>
          <w:rtl w:val="true"/>
        </w:rPr>
        <w:t>"</w:t>
      </w:r>
      <w:r>
        <w:rPr>
          <w:rtl w:val="true"/>
        </w:rPr>
        <w:t>סתם</w:t>
      </w:r>
      <w:r>
        <w:rPr>
          <w:rtl w:val="true"/>
        </w:rPr>
        <w:t xml:space="preserve">", </w:t>
      </w:r>
      <w:r>
        <w:rPr>
          <w:rtl w:val="true"/>
        </w:rPr>
        <w:t>אשר זהו לשונה</w:t>
      </w:r>
      <w:r>
        <w:rPr>
          <w:rtl w:val="true"/>
        </w:rPr>
        <w:t xml:space="preserve">: </w:t>
      </w:r>
    </w:p>
    <w:p>
      <w:pPr>
        <w:pStyle w:val="Ruller42"/>
        <w:numPr>
          <w:ilvl w:val="0"/>
          <w:numId w:val="0"/>
        </w:numPr>
        <w:ind w:hanging="0" w:start="0" w:end="0"/>
        <w:jc w:val="both"/>
        <w:rPr>
          <w:rStyle w:val="big-number"/>
          <w:rFonts w:ascii="Century" w:hAnsi="Century" w:cs="FrankRuehl"/>
          <w:sz w:val="22"/>
        </w:rPr>
      </w:pPr>
      <w:r>
        <w:rPr>
          <w:rFonts w:cs="Century"/>
          <w:rtl w:val="true"/>
        </w:rPr>
      </w:r>
    </w:p>
    <w:p>
      <w:pPr>
        <w:pStyle w:val="Ruller51"/>
        <w:ind w:end="1282"/>
        <w:jc w:val="both"/>
        <w:rPr>
          <w:rFonts w:ascii="Century" w:hAnsi="Century" w:cs="Century"/>
        </w:rPr>
      </w:pPr>
      <w:r>
        <w:rPr>
          <w:rStyle w:val="default"/>
          <w:rFonts w:cs="FrankRuehl" w:ascii="Century" w:hAnsi="Century"/>
        </w:rPr>
        <w:t>369</w:t>
      </w:r>
      <w:r>
        <w:rPr>
          <w:rStyle w:val="default"/>
          <w:rFonts w:cs="FrankRuehl" w:ascii="Century" w:hAnsi="Century"/>
          <w:rtl w:val="true"/>
        </w:rPr>
        <w:t xml:space="preserve">. </w:t>
      </w:r>
      <w:r>
        <w:rPr>
          <w:rStyle w:val="default"/>
          <w:rFonts w:ascii="Century" w:hAnsi="Century"/>
          <w:rtl w:val="true"/>
        </w:rPr>
        <w:t>הכופה</w:t>
      </w:r>
      <w:r>
        <w:rPr>
          <w:rStyle w:val="default"/>
          <w:rFonts w:ascii="Century" w:hAnsi="Century" w:eastAsia="Century" w:cs="Century"/>
          <w:rtl w:val="true"/>
        </w:rPr>
        <w:t xml:space="preserve"> </w:t>
      </w:r>
      <w:r>
        <w:rPr>
          <w:rStyle w:val="default"/>
          <w:rFonts w:ascii="Century" w:hAnsi="Century"/>
          <w:rtl w:val="true"/>
        </w:rPr>
        <w:t>אדם</w:t>
      </w:r>
      <w:r>
        <w:rPr>
          <w:rStyle w:val="default"/>
          <w:rFonts w:ascii="Century" w:hAnsi="Century" w:eastAsia="Century" w:cs="Century"/>
          <w:rtl w:val="true"/>
        </w:rPr>
        <w:t xml:space="preserve"> </w:t>
      </w:r>
      <w:r>
        <w:rPr>
          <w:rStyle w:val="default"/>
          <w:rFonts w:ascii="Century" w:hAnsi="Century"/>
          <w:rtl w:val="true"/>
        </w:rPr>
        <w:t>בכוח</w:t>
      </w:r>
      <w:r>
        <w:rPr>
          <w:rStyle w:val="default"/>
          <w:rFonts w:ascii="Century" w:hAnsi="Century" w:eastAsia="Century" w:cs="Century"/>
          <w:rtl w:val="true"/>
        </w:rPr>
        <w:t xml:space="preserve"> </w:t>
      </w:r>
      <w:r>
        <w:rPr>
          <w:rStyle w:val="default"/>
          <w:rFonts w:ascii="Century" w:hAnsi="Century"/>
          <w:rtl w:val="true"/>
        </w:rPr>
        <w:t>או</w:t>
      </w:r>
      <w:r>
        <w:rPr>
          <w:rStyle w:val="default"/>
          <w:rFonts w:ascii="Century" w:hAnsi="Century" w:eastAsia="Century" w:cs="Century"/>
          <w:rtl w:val="true"/>
        </w:rPr>
        <w:t xml:space="preserve"> </w:t>
      </w:r>
      <w:r>
        <w:rPr>
          <w:rStyle w:val="default"/>
          <w:rFonts w:ascii="Century" w:hAnsi="Century"/>
          <w:rtl w:val="true"/>
        </w:rPr>
        <w:t>באיומים</w:t>
      </w:r>
      <w:r>
        <w:rPr>
          <w:rStyle w:val="default"/>
          <w:rFonts w:ascii="Century" w:hAnsi="Century" w:eastAsia="Century" w:cs="Century"/>
          <w:rtl w:val="true"/>
        </w:rPr>
        <w:t xml:space="preserve"> </w:t>
      </w:r>
      <w:r>
        <w:rPr>
          <w:rStyle w:val="default"/>
          <w:rFonts w:ascii="Century" w:hAnsi="Century"/>
          <w:rtl w:val="true"/>
        </w:rPr>
        <w:t>או</w:t>
      </w:r>
      <w:r>
        <w:rPr>
          <w:rStyle w:val="default"/>
          <w:rFonts w:ascii="Century" w:hAnsi="Century" w:eastAsia="Century" w:cs="Century"/>
          <w:rtl w:val="true"/>
        </w:rPr>
        <w:t xml:space="preserve"> </w:t>
      </w:r>
      <w:r>
        <w:rPr>
          <w:rStyle w:val="default"/>
          <w:rFonts w:ascii="Century" w:hAnsi="Century"/>
          <w:rtl w:val="true"/>
        </w:rPr>
        <w:t>מפתהו</w:t>
      </w:r>
      <w:r>
        <w:rPr>
          <w:rStyle w:val="default"/>
          <w:rFonts w:ascii="Century" w:hAnsi="Century" w:eastAsia="Century" w:cs="Century"/>
          <w:rtl w:val="true"/>
        </w:rPr>
        <w:t xml:space="preserve"> </w:t>
      </w:r>
      <w:r>
        <w:rPr>
          <w:rStyle w:val="default"/>
          <w:rFonts w:ascii="Century" w:hAnsi="Century"/>
          <w:rtl w:val="true"/>
        </w:rPr>
        <w:t>באמצעי</w:t>
      </w:r>
      <w:r>
        <w:rPr>
          <w:rStyle w:val="default"/>
          <w:rFonts w:ascii="Century" w:hAnsi="Century" w:eastAsia="Century" w:cs="Century"/>
          <w:rtl w:val="true"/>
        </w:rPr>
        <w:t xml:space="preserve"> </w:t>
      </w:r>
      <w:r>
        <w:rPr>
          <w:rStyle w:val="default"/>
          <w:rFonts w:ascii="Century" w:hAnsi="Century"/>
          <w:rtl w:val="true"/>
        </w:rPr>
        <w:t>תרמית</w:t>
      </w:r>
      <w:r>
        <w:rPr>
          <w:rStyle w:val="default"/>
          <w:rFonts w:ascii="Century" w:hAnsi="Century" w:eastAsia="Century" w:cs="Century"/>
          <w:rtl w:val="true"/>
        </w:rPr>
        <w:t xml:space="preserve"> </w:t>
      </w:r>
      <w:r>
        <w:rPr>
          <w:rStyle w:val="default"/>
          <w:rFonts w:ascii="Century" w:hAnsi="Century"/>
          <w:rtl w:val="true"/>
        </w:rPr>
        <w:t>ללכת</w:t>
      </w:r>
      <w:r>
        <w:rPr>
          <w:rStyle w:val="default"/>
          <w:rFonts w:ascii="Century" w:hAnsi="Century" w:eastAsia="Century" w:cs="Century"/>
          <w:rtl w:val="true"/>
        </w:rPr>
        <w:t xml:space="preserve"> </w:t>
      </w:r>
      <w:r>
        <w:rPr>
          <w:rStyle w:val="default"/>
          <w:rFonts w:ascii="Century" w:hAnsi="Century"/>
          <w:rtl w:val="true"/>
        </w:rPr>
        <w:t>מן</w:t>
      </w:r>
      <w:r>
        <w:rPr>
          <w:rStyle w:val="default"/>
          <w:rFonts w:ascii="Century" w:hAnsi="Century" w:eastAsia="Century" w:cs="Century"/>
          <w:rtl w:val="true"/>
        </w:rPr>
        <w:t xml:space="preserve"> </w:t>
      </w:r>
      <w:r>
        <w:rPr>
          <w:rStyle w:val="default"/>
          <w:rFonts w:ascii="Century" w:hAnsi="Century"/>
          <w:rtl w:val="true"/>
        </w:rPr>
        <w:t>המקום</w:t>
      </w:r>
      <w:r>
        <w:rPr>
          <w:rStyle w:val="default"/>
          <w:rFonts w:ascii="Century" w:hAnsi="Century" w:eastAsia="Century" w:cs="Century"/>
          <w:rtl w:val="true"/>
        </w:rPr>
        <w:t xml:space="preserve"> </w:t>
      </w:r>
      <w:r>
        <w:rPr>
          <w:rStyle w:val="default"/>
          <w:rFonts w:ascii="Century" w:hAnsi="Century"/>
          <w:rtl w:val="true"/>
        </w:rPr>
        <w:t>שהוא</w:t>
      </w:r>
      <w:r>
        <w:rPr>
          <w:rStyle w:val="default"/>
          <w:rFonts w:ascii="Century" w:hAnsi="Century" w:eastAsia="Century" w:cs="Century"/>
          <w:rtl w:val="true"/>
        </w:rPr>
        <w:t xml:space="preserve"> </w:t>
      </w:r>
      <w:r>
        <w:rPr>
          <w:rStyle w:val="default"/>
          <w:rFonts w:ascii="Century" w:hAnsi="Century"/>
          <w:rtl w:val="true"/>
        </w:rPr>
        <w:t>נמצא</w:t>
      </w:r>
      <w:r>
        <w:rPr>
          <w:rStyle w:val="default"/>
          <w:rFonts w:ascii="Century" w:hAnsi="Century" w:eastAsia="Century" w:cs="Century"/>
          <w:rtl w:val="true"/>
        </w:rPr>
        <w:t xml:space="preserve"> </w:t>
      </w:r>
      <w:r>
        <w:rPr>
          <w:rStyle w:val="default"/>
          <w:rFonts w:ascii="Century" w:hAnsi="Century"/>
          <w:rtl w:val="true"/>
        </w:rPr>
        <w:t>בו</w:t>
      </w:r>
      <w:r>
        <w:rPr>
          <w:rStyle w:val="default"/>
          <w:rFonts w:cs="FrankRuehl" w:ascii="Century" w:hAnsi="Century"/>
          <w:rtl w:val="true"/>
        </w:rPr>
        <w:t xml:space="preserve">, </w:t>
      </w:r>
      <w:r>
        <w:rPr>
          <w:rStyle w:val="default"/>
          <w:rFonts w:ascii="Century" w:hAnsi="Century"/>
          <w:rtl w:val="true"/>
        </w:rPr>
        <w:t>הרי</w:t>
      </w:r>
      <w:r>
        <w:rPr>
          <w:rStyle w:val="default"/>
          <w:rFonts w:ascii="Century" w:hAnsi="Century" w:eastAsia="Century" w:cs="Century"/>
          <w:rtl w:val="true"/>
        </w:rPr>
        <w:t xml:space="preserve"> </w:t>
      </w:r>
      <w:r>
        <w:rPr>
          <w:rStyle w:val="default"/>
          <w:rFonts w:ascii="Century" w:hAnsi="Century"/>
          <w:rtl w:val="true"/>
        </w:rPr>
        <w:t>זו</w:t>
      </w:r>
      <w:r>
        <w:rPr>
          <w:rStyle w:val="default"/>
          <w:rFonts w:ascii="Century" w:hAnsi="Century" w:eastAsia="Century" w:cs="Century"/>
          <w:rtl w:val="true"/>
        </w:rPr>
        <w:t xml:space="preserve"> </w:t>
      </w:r>
      <w:r>
        <w:rPr>
          <w:rStyle w:val="default"/>
          <w:rFonts w:ascii="Century" w:hAnsi="Century"/>
          <w:rtl w:val="true"/>
        </w:rPr>
        <w:t>חטיפה</w:t>
      </w:r>
      <w:r>
        <w:rPr>
          <w:rStyle w:val="default"/>
          <w:rFonts w:cs="FrankRuehl" w:ascii="Century" w:hAnsi="Century"/>
          <w:rtl w:val="true"/>
        </w:rPr>
        <w:t xml:space="preserve">, </w:t>
      </w:r>
      <w:r>
        <w:rPr>
          <w:rStyle w:val="default"/>
          <w:rFonts w:ascii="Century" w:hAnsi="Century"/>
          <w:rtl w:val="true"/>
        </w:rPr>
        <w:t>ודינו</w:t>
      </w:r>
      <w:r>
        <w:rPr>
          <w:rStyle w:val="default"/>
          <w:rFonts w:ascii="Century" w:hAnsi="Century" w:eastAsia="Century" w:cs="Century"/>
          <w:rtl w:val="true"/>
        </w:rPr>
        <w:t xml:space="preserve"> </w:t>
      </w:r>
      <w:r>
        <w:rPr>
          <w:rStyle w:val="default"/>
          <w:rFonts w:cs="FrankRuehl" w:ascii="Century" w:hAnsi="Century"/>
          <w:rtl w:val="true"/>
        </w:rPr>
        <w:t xml:space="preserve">- </w:t>
      </w:r>
      <w:r>
        <w:rPr>
          <w:rStyle w:val="default"/>
          <w:rFonts w:ascii="Century" w:hAnsi="Century"/>
          <w:rtl w:val="true"/>
        </w:rPr>
        <w:t>מאסר</w:t>
      </w:r>
      <w:r>
        <w:rPr>
          <w:rStyle w:val="default"/>
          <w:rFonts w:ascii="Century" w:hAnsi="Century" w:eastAsia="Century" w:cs="Century"/>
          <w:rtl w:val="true"/>
        </w:rPr>
        <w:t xml:space="preserve"> </w:t>
      </w:r>
      <w:r>
        <w:rPr>
          <w:rStyle w:val="default"/>
          <w:rFonts w:ascii="Century" w:hAnsi="Century"/>
          <w:rtl w:val="true"/>
        </w:rPr>
        <w:t>עשר</w:t>
      </w:r>
      <w:r>
        <w:rPr>
          <w:rStyle w:val="default"/>
          <w:rFonts w:ascii="Century" w:hAnsi="Century" w:eastAsia="Century" w:cs="Century"/>
          <w:rtl w:val="true"/>
        </w:rPr>
        <w:t xml:space="preserve"> </w:t>
      </w:r>
      <w:r>
        <w:rPr>
          <w:rStyle w:val="default"/>
          <w:rFonts w:ascii="Century" w:hAnsi="Century"/>
          <w:rtl w:val="true"/>
        </w:rPr>
        <w:t>שנים</w:t>
      </w:r>
      <w:r>
        <w:rPr>
          <w:rStyle w:val="default"/>
          <w:rFonts w:cs="FrankRuehl"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FrankRuehl" w:hAnsi="FrankRuehl" w:cs="FrankRuehl"/>
          <w:highlight w:val="green"/>
        </w:rPr>
      </w:pPr>
      <w:r>
        <w:rPr>
          <w:rFonts w:cs="FrankRuehl" w:ascii="FrankRuehl" w:hAnsi="FrankRuehl"/>
          <w:rtl w:val="true"/>
        </w:rPr>
        <w:tab/>
      </w:r>
      <w:r>
        <w:rPr>
          <w:rFonts w:ascii="FrankRuehl" w:hAnsi="FrankRuehl" w:cs="FrankRuehl"/>
          <w:rtl w:val="true"/>
        </w:rPr>
        <w:t>הנה כי כן</w:t>
      </w:r>
      <w:r>
        <w:rPr>
          <w:rFonts w:cs="FrankRuehl" w:ascii="FrankRuehl" w:hAnsi="FrankRuehl"/>
          <w:rtl w:val="true"/>
        </w:rPr>
        <w:t xml:space="preserve">, </w:t>
      </w:r>
      <w:r>
        <w:rPr>
          <w:rFonts w:ascii="FrankRuehl" w:hAnsi="FrankRuehl" w:cs="FrankRuehl"/>
          <w:rtl w:val="true"/>
        </w:rPr>
        <w:t xml:space="preserve">עבירת החטיפה </w:t>
      </w:r>
      <w:r>
        <w:rPr>
          <w:rFonts w:cs="FrankRuehl" w:ascii="FrankRuehl" w:hAnsi="FrankRuehl"/>
          <w:rtl w:val="true"/>
        </w:rPr>
        <w:t>"</w:t>
      </w:r>
      <w:r>
        <w:rPr>
          <w:rFonts w:ascii="FrankRuehl" w:hAnsi="FrankRuehl" w:cs="FrankRuehl"/>
          <w:rtl w:val="true"/>
        </w:rPr>
        <w:t>סתם</w:t>
      </w:r>
      <w:r>
        <w:rPr>
          <w:rFonts w:cs="FrankRuehl" w:ascii="FrankRuehl" w:hAnsi="FrankRuehl"/>
          <w:rtl w:val="true"/>
        </w:rPr>
        <w:t xml:space="preserve">" </w:t>
      </w:r>
      <w:r>
        <w:rPr>
          <w:rFonts w:ascii="FrankRuehl" w:hAnsi="FrankRuehl" w:cs="FrankRuehl"/>
          <w:rtl w:val="true"/>
        </w:rPr>
        <w:t>כוללת רכיב התנהגותי מובהק של מעשה של כפייה בכוח או באיומים או מעשה של פיתוי באמצעי תרמית</w:t>
      </w:r>
      <w:r>
        <w:rPr>
          <w:rFonts w:cs="FrankRuehl" w:ascii="FrankRuehl" w:hAnsi="FrankRuehl"/>
          <w:rtl w:val="true"/>
        </w:rPr>
        <w:t xml:space="preserve">, </w:t>
      </w:r>
      <w:r>
        <w:rPr>
          <w:rFonts w:ascii="FrankRuehl" w:hAnsi="FrankRuehl" w:cs="FrankRuehl"/>
          <w:rtl w:val="true"/>
        </w:rPr>
        <w:t>המופנה כלפי אדם</w:t>
      </w:r>
      <w:r>
        <w:rPr>
          <w:rFonts w:cs="FrankRuehl" w:ascii="FrankRuehl" w:hAnsi="FrankRuehl"/>
          <w:rtl w:val="true"/>
        </w:rPr>
        <w:t>, "</w:t>
      </w:r>
      <w:r>
        <w:rPr>
          <w:rFonts w:ascii="Century" w:hAnsi="Century" w:cs="Miriam"/>
          <w:b/>
          <w:b/>
          <w:spacing w:val="0"/>
          <w:sz w:val="22"/>
          <w:sz w:val="22"/>
          <w:szCs w:val="24"/>
          <w:rtl w:val="true"/>
        </w:rPr>
        <w:t>ללכת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cs="FrankRuehl" w:ascii="FrankRuehl" w:hAnsi="FrankRuehl"/>
          <w:rtl w:val="true"/>
        </w:rPr>
        <w:t xml:space="preserve">". </w:t>
      </w:r>
      <w:r>
        <w:rPr>
          <w:rFonts w:ascii="FrankRuehl" w:hAnsi="FrankRuehl" w:cs="FrankRuehl"/>
          <w:rtl w:val="true"/>
        </w:rPr>
        <w:t>עם זאת</w:t>
      </w:r>
      <w:r>
        <w:rPr>
          <w:rFonts w:cs="FrankRuehl" w:ascii="FrankRuehl" w:hAnsi="FrankRuehl"/>
          <w:rtl w:val="true"/>
        </w:rPr>
        <w:t xml:space="preserve">, </w:t>
      </w:r>
      <w:r>
        <w:rPr>
          <w:rFonts w:ascii="FrankRuehl" w:hAnsi="FrankRuehl" w:cs="FrankRuehl"/>
          <w:rtl w:val="true"/>
        </w:rPr>
        <w:t xml:space="preserve">לאור הנוסח הרחב והכולל </w:t>
      </w:r>
      <w:r>
        <w:rPr>
          <w:rFonts w:ascii="FrankRuehl" w:hAnsi="FrankRuehl" w:cs="FrankRuehl"/>
          <w:rtl w:val="true"/>
        </w:rPr>
        <w:t>שלה</w:t>
      </w:r>
      <w:r>
        <w:rPr>
          <w:rFonts w:cs="FrankRuehl" w:ascii="FrankRuehl" w:hAnsi="FrankRuehl"/>
          <w:rtl w:val="true"/>
        </w:rPr>
        <w:t>,</w:t>
      </w:r>
      <w:r>
        <w:rPr>
          <w:rFonts w:cs="FrankRuehl" w:ascii="FrankRuehl" w:hAnsi="FrankRuehl"/>
          <w:rtl w:val="true"/>
        </w:rPr>
        <w:t xml:space="preserve"> </w:t>
      </w:r>
      <w:r>
        <w:rPr>
          <w:rFonts w:ascii="FrankRuehl" w:hAnsi="FrankRuehl" w:cs="FrankRuehl"/>
          <w:rtl w:val="true"/>
        </w:rPr>
        <w:t xml:space="preserve">עמדה פסיקת בית משפט זה על כך </w:t>
      </w:r>
      <w:r>
        <w:rPr>
          <w:rFonts w:ascii="FrankRuehl" w:hAnsi="FrankRuehl" w:cs="FrankRuehl"/>
          <w:rtl w:val="true"/>
        </w:rPr>
        <w:t>ש</w:t>
      </w:r>
      <w:r>
        <w:rPr>
          <w:rFonts w:ascii="FrankRuehl" w:hAnsi="FrankRuehl" w:cs="FrankRuehl"/>
          <w:rtl w:val="true"/>
        </w:rPr>
        <w:t>נחוצה לה תחימת גבולות</w:t>
      </w:r>
      <w:r>
        <w:rPr>
          <w:rFonts w:cs="FrankRuehl" w:ascii="FrankRuehl" w:hAnsi="FrankRuehl"/>
          <w:rtl w:val="true"/>
        </w:rPr>
        <w:t>.</w:t>
      </w:r>
      <w:r>
        <w:rPr>
          <w:rtl w:val="true"/>
        </w:rPr>
        <w:t xml:space="preserve"> </w:t>
      </w:r>
      <w:r>
        <w:rPr>
          <w:rtl w:val="true"/>
        </w:rPr>
        <w:t>בהתאם</w:t>
      </w:r>
      <w:r>
        <w:rPr>
          <w:rtl w:val="true"/>
        </w:rPr>
        <w:t xml:space="preserve">, </w:t>
      </w:r>
      <w:r>
        <w:rPr>
          <w:rFonts w:ascii="FrankRuehl" w:hAnsi="FrankRuehl" w:cs="FrankRuehl"/>
          <w:rtl w:val="true"/>
        </w:rPr>
        <w:t xml:space="preserve">קנתה לה אחיזה בפסיקה הפרשנות אשר שמה את הדגש על שלילת חירותו של </w:t>
      </w:r>
      <w:r>
        <w:rPr>
          <w:rFonts w:ascii="FrankRuehl" w:hAnsi="FrankRuehl" w:cs="FrankRuehl"/>
          <w:rtl w:val="true"/>
        </w:rPr>
        <w:t xml:space="preserve">החטוף </w:t>
      </w:r>
      <w:r>
        <w:rPr>
          <w:rFonts w:cs="FrankRuehl" w:ascii="FrankRuehl" w:hAnsi="FrankRuehl"/>
          <w:rtl w:val="true"/>
        </w:rPr>
        <w:t>(</w:t>
      </w:r>
      <w:hyperlink r:id="rId39">
        <w:r>
          <w:rPr>
            <w:rStyle w:val="Hyperlink"/>
            <w:rFonts w:ascii="FrankRuehl" w:hAnsi="FrankRuehl" w:cs="FrankRuehl"/>
            <w:color w:val="0000FF"/>
            <w:u w:val="single"/>
            <w:rtl w:val="true"/>
          </w:rPr>
          <w:t>ע</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 xml:space="preserve">פ </w:t>
        </w:r>
        <w:r>
          <w:rPr>
            <w:rStyle w:val="Hyperlink"/>
            <w:rFonts w:cs="FrankRuehl" w:ascii="FrankRuehl" w:hAnsi="FrankRuehl"/>
            <w:color w:val="0000FF"/>
            <w:u w:val="single"/>
          </w:rPr>
          <w:t>7365/00</w:t>
        </w:r>
      </w:hyperlink>
      <w:r>
        <w:rPr>
          <w:rFonts w:cs="FrankRuehl" w:ascii="FrankRuehl" w:hAnsi="FrankRuehl"/>
          <w:rtl w:val="true"/>
        </w:rPr>
        <w:t xml:space="preserve"> </w:t>
      </w:r>
      <w:r>
        <w:rPr>
          <w:rFonts w:ascii="Century" w:hAnsi="Century" w:cs="Miriam"/>
          <w:b/>
          <w:b/>
          <w:spacing w:val="0"/>
          <w:sz w:val="22"/>
          <w:sz w:val="22"/>
          <w:szCs w:val="24"/>
          <w:rtl w:val="true"/>
        </w:rPr>
        <w:t>פרחאת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rtl w:val="true"/>
        </w:rPr>
        <w:t xml:space="preserve">, </w:t>
      </w:r>
      <w:r>
        <w:rPr>
          <w:rFonts w:ascii="FrankRuehl" w:hAnsi="FrankRuehl" w:cs="FrankRuehl"/>
          <w:rtl w:val="true"/>
        </w:rPr>
        <w:t>נז</w:t>
      </w:r>
      <w:r>
        <w:rPr>
          <w:rFonts w:cs="FrankRuehl" w:ascii="FrankRuehl" w:hAnsi="FrankRuehl"/>
          <w:rtl w:val="true"/>
        </w:rPr>
        <w:t>(</w:t>
      </w:r>
      <w:r>
        <w:rPr>
          <w:rFonts w:cs="FrankRuehl" w:ascii="FrankRuehl" w:hAnsi="FrankRuehl"/>
        </w:rPr>
        <w:t>6</w:t>
      </w:r>
      <w:r>
        <w:rPr>
          <w:rFonts w:cs="FrankRuehl" w:ascii="FrankRuehl" w:hAnsi="FrankRuehl"/>
          <w:rtl w:val="true"/>
        </w:rPr>
        <w:t xml:space="preserve">) </w:t>
      </w:r>
      <w:r>
        <w:rPr>
          <w:rFonts w:cs="FrankRuehl" w:ascii="FrankRuehl" w:hAnsi="FrankRuehl"/>
        </w:rPr>
        <w:t>151</w:t>
      </w:r>
      <w:r>
        <w:rPr>
          <w:rFonts w:cs="FrankRuehl" w:ascii="FrankRuehl" w:hAnsi="FrankRuehl"/>
          <w:rtl w:val="true"/>
        </w:rPr>
        <w:t xml:space="preserve">, </w:t>
      </w:r>
      <w:r>
        <w:rPr>
          <w:rFonts w:cs="FrankRuehl" w:ascii="FrankRuehl" w:hAnsi="FrankRuehl"/>
        </w:rPr>
        <w:t>171-164</w:t>
      </w:r>
      <w:r>
        <w:rPr>
          <w:rFonts w:cs="FrankRuehl" w:ascii="FrankRuehl" w:hAnsi="FrankRuehl"/>
          <w:rtl w:val="true"/>
        </w:rPr>
        <w:t xml:space="preserve"> (</w:t>
      </w:r>
      <w:r>
        <w:rPr>
          <w:rFonts w:cs="FrankRuehl" w:ascii="FrankRuehl" w:hAnsi="FrankRuehl"/>
        </w:rPr>
        <w:t>2003</w:t>
      </w:r>
      <w:r>
        <w:rPr>
          <w:rFonts w:cs="FrankRuehl" w:ascii="FrankRuehl" w:hAnsi="FrankRuehl"/>
          <w:rtl w:val="true"/>
        </w:rPr>
        <w:t>) (</w:t>
      </w:r>
      <w:r>
        <w:rPr>
          <w:rFonts w:ascii="FrankRuehl" w:hAnsi="FrankRuehl" w:cs="FrankRuehl"/>
          <w:rtl w:val="true"/>
        </w:rPr>
        <w:t>להלן</w:t>
      </w:r>
      <w:r>
        <w:rPr>
          <w:rFonts w:cs="FrankRuehl" w:ascii="FrankRuehl" w:hAnsi="FrankRuehl"/>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פרחאת</w:t>
      </w:r>
      <w:r>
        <w:rPr>
          <w:rFonts w:cs="FrankRuehl" w:ascii="FrankRuehl" w:hAnsi="FrankRuehl"/>
          <w:rtl w:val="true"/>
        </w:rPr>
        <w:t xml:space="preserve">); </w:t>
      </w:r>
      <w:hyperlink r:id="rId40">
        <w:r>
          <w:rPr>
            <w:rStyle w:val="Hyperlink"/>
            <w:rFonts w:ascii="FrankRuehl" w:hAnsi="FrankRuehl" w:cs="FrankRuehl"/>
            <w:color w:val="0000FF"/>
            <w:u w:val="single"/>
            <w:rtl w:val="true"/>
          </w:rPr>
          <w:t>ע</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 xml:space="preserve">פ </w:t>
        </w:r>
        <w:r>
          <w:rPr>
            <w:rStyle w:val="Hyperlink"/>
            <w:rFonts w:cs="FrankRuehl" w:ascii="FrankRuehl" w:hAnsi="FrankRuehl"/>
            <w:color w:val="0000FF"/>
            <w:u w:val="single"/>
          </w:rPr>
          <w:t>9469/12</w:t>
        </w:r>
      </w:hyperlink>
      <w:r>
        <w:rPr>
          <w:rFonts w:cs="FrankRuehl" w:ascii="FrankRuehl" w:hAnsi="FrankRuehl"/>
          <w:rtl w:val="true"/>
        </w:rPr>
        <w:t xml:space="preserve"> </w:t>
      </w:r>
      <w:r>
        <w:rPr>
          <w:rFonts w:ascii="Century" w:hAnsi="Century" w:cs="Miriam"/>
          <w:b/>
          <w:b/>
          <w:spacing w:val="0"/>
          <w:sz w:val="22"/>
          <w:sz w:val="22"/>
          <w:szCs w:val="24"/>
          <w:rtl w:val="true"/>
        </w:rPr>
        <w:t>מחאג</w:t>
      </w:r>
      <w:r>
        <w:rPr>
          <w:rFonts w:cs="Miriam" w:ascii="Century" w:hAnsi="Century"/>
          <w:b/>
          <w:spacing w:val="0"/>
          <w:sz w:val="22"/>
          <w:szCs w:val="24"/>
          <w:rtl w:val="true"/>
        </w:rPr>
        <w:t>'</w:t>
      </w:r>
      <w:r>
        <w:rPr>
          <w:rFonts w:ascii="Century" w:hAnsi="Century" w:cs="Miriam"/>
          <w:b/>
          <w:b/>
          <w:spacing w:val="0"/>
          <w:sz w:val="22"/>
          <w:sz w:val="22"/>
          <w:szCs w:val="24"/>
          <w:rtl w:val="true"/>
        </w:rPr>
        <w:t>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rtl w:val="true"/>
        </w:rPr>
        <w:t xml:space="preserve">פסקאות </w:t>
      </w:r>
      <w:r>
        <w:rPr>
          <w:rFonts w:cs="FrankRuehl" w:ascii="FrankRuehl" w:hAnsi="FrankRuehl"/>
        </w:rPr>
        <w:t>17-19</w:t>
      </w:r>
      <w:r>
        <w:rPr>
          <w:rFonts w:cs="FrankRuehl" w:ascii="FrankRuehl" w:hAnsi="FrankRuehl"/>
          <w:rtl w:val="true"/>
        </w:rPr>
        <w:t xml:space="preserve"> (</w:t>
      </w:r>
      <w:r>
        <w:rPr>
          <w:rFonts w:cs="FrankRuehl" w:ascii="FrankRuehl" w:hAnsi="FrankRuehl"/>
        </w:rPr>
        <w:t>5.2.2015</w:t>
      </w:r>
      <w:r>
        <w:rPr>
          <w:rFonts w:cs="FrankRuehl" w:ascii="FrankRuehl" w:hAnsi="FrankRuehl"/>
          <w:rtl w:val="true"/>
        </w:rPr>
        <w:t>) (</w:t>
      </w:r>
      <w:r>
        <w:rPr>
          <w:rFonts w:ascii="FrankRuehl" w:hAnsi="FrankRuehl" w:cs="FrankRuehl"/>
          <w:rtl w:val="true"/>
        </w:rPr>
        <w:t>להלן</w:t>
      </w:r>
      <w:r>
        <w:rPr>
          <w:rFonts w:cs="FrankRuehl" w:ascii="FrankRuehl" w:hAnsi="FrankRuehl"/>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מחאג</w:t>
      </w:r>
      <w:r>
        <w:rPr>
          <w:rFonts w:cs="Miriam" w:ascii="Century" w:hAnsi="Century"/>
          <w:b/>
          <w:spacing w:val="0"/>
          <w:sz w:val="22"/>
          <w:szCs w:val="24"/>
          <w:rtl w:val="true"/>
        </w:rPr>
        <w:t>'</w:t>
      </w:r>
      <w:r>
        <w:rPr>
          <w:rFonts w:ascii="Century" w:hAnsi="Century" w:cs="Miriam"/>
          <w:b/>
          <w:b/>
          <w:spacing w:val="0"/>
          <w:sz w:val="22"/>
          <w:sz w:val="22"/>
          <w:szCs w:val="24"/>
          <w:rtl w:val="true"/>
        </w:rPr>
        <w:t>נה</w:t>
      </w:r>
      <w:r>
        <w:rPr>
          <w:rFonts w:cs="FrankRuehl" w:ascii="FrankRuehl" w:hAnsi="FrankRuehl"/>
          <w:rtl w:val="true"/>
        </w:rPr>
        <w:t>)).</w:t>
      </w:r>
      <w:r>
        <w:rPr>
          <w:rtl w:val="true"/>
        </w:rPr>
        <w:t xml:space="preserve"> </w:t>
      </w:r>
      <w:r>
        <w:rPr>
          <w:rtl w:val="true"/>
        </w:rPr>
        <w:t>יובהר</w:t>
      </w:r>
      <w:r>
        <w:rPr>
          <w:rtl w:val="true"/>
        </w:rPr>
        <w:t xml:space="preserve">, </w:t>
      </w:r>
      <w:r>
        <w:rPr>
          <w:rtl w:val="true"/>
        </w:rPr>
        <w:t>כי אין מניעה שיסוד שלילת החירות יושג באמצעים פסיכולוגיים או בשל קיומה של תרמית</w:t>
      </w:r>
      <w:r>
        <w:rPr>
          <w:rtl w:val="true"/>
        </w:rPr>
        <w:t xml:space="preserve">, </w:t>
      </w:r>
      <w:r>
        <w:rPr>
          <w:rtl w:val="true"/>
        </w:rPr>
        <w:t>אולם ביחס לחטיפה באמצעות תרמית</w:t>
      </w:r>
      <w:r>
        <w:rPr>
          <w:rtl w:val="true"/>
        </w:rPr>
        <w:t xml:space="preserve">, </w:t>
      </w:r>
      <w:r>
        <w:rPr>
          <w:rtl w:val="true"/>
        </w:rPr>
        <w:t>נדרש להוכיח כי הפיתוי התגבש לכלל צורך או חוסר ברירה</w:t>
      </w:r>
      <w:r>
        <w:rPr>
          <w:rtl w:val="true"/>
        </w:rPr>
        <w:t xml:space="preserve">, </w:t>
      </w:r>
      <w:r>
        <w:rPr>
          <w:rtl w:val="true"/>
        </w:rPr>
        <w:t>מבחינת הקורבן</w:t>
      </w:r>
      <w:r>
        <w:rPr>
          <w:rtl w:val="true"/>
        </w:rPr>
        <w:t xml:space="preserve">, </w:t>
      </w:r>
      <w:r>
        <w:rPr>
          <w:rtl w:val="true"/>
        </w:rPr>
        <w:t>להימצא במקום שאליו פותה להגיע</w:t>
      </w:r>
      <w:r>
        <w:rPr>
          <w:rtl w:val="true"/>
        </w:rPr>
        <w:t xml:space="preserve">, </w:t>
      </w:r>
      <w:r>
        <w:rPr>
          <w:rtl w:val="true"/>
        </w:rPr>
        <w:t xml:space="preserve">וכן כי הייתה פגיעה ביכולתו לעזוב את המקום אליו הובא </w:t>
      </w:r>
      <w:r>
        <w:rPr>
          <w:rtl w:val="true"/>
        </w:rPr>
        <w:t>(</w:t>
      </w:r>
      <w:r>
        <w:rPr>
          <w:rtl w:val="true"/>
        </w:rPr>
        <w:t>ראו למשל</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מחאג</w:t>
      </w:r>
      <w:r>
        <w:rPr>
          <w:rFonts w:cs="Miriam" w:ascii="Century" w:hAnsi="Century"/>
          <w:b/>
          <w:spacing w:val="0"/>
          <w:sz w:val="22"/>
          <w:szCs w:val="24"/>
          <w:rtl w:val="true"/>
        </w:rPr>
        <w:t>'</w:t>
      </w:r>
      <w:r>
        <w:rPr>
          <w:rFonts w:ascii="Century" w:hAnsi="Century" w:cs="Miriam"/>
          <w:b/>
          <w:b/>
          <w:spacing w:val="0"/>
          <w:sz w:val="22"/>
          <w:sz w:val="22"/>
          <w:szCs w:val="24"/>
          <w:rtl w:val="true"/>
        </w:rPr>
        <w:t>נה</w:t>
      </w:r>
      <w:r>
        <w:rPr>
          <w:rtl w:val="true"/>
        </w:rPr>
        <w:t xml:space="preserve">, </w:t>
      </w:r>
      <w:r>
        <w:rPr>
          <w:rtl w:val="true"/>
        </w:rPr>
        <w:t>שם</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פרחאת</w:t>
      </w:r>
      <w:r>
        <w:rPr>
          <w:rtl w:val="true"/>
        </w:rPr>
        <w:t xml:space="preserve">, </w:t>
      </w:r>
      <w:r>
        <w:rPr>
          <w:rtl w:val="true"/>
        </w:rPr>
        <w:t>שם</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3682/12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30</w:t>
      </w:r>
      <w:r>
        <w:rPr>
          <w:rtl w:val="true"/>
        </w:rPr>
        <w:t xml:space="preserve"> (</w:t>
      </w:r>
      <w:r>
        <w:rPr/>
        <w:t>28.1.2014</w:t>
      </w:r>
      <w:r>
        <w:rPr>
          <w:rtl w:val="true"/>
        </w:rPr>
        <w:t xml:space="preserve">)). </w:t>
      </w:r>
    </w:p>
    <w:p>
      <w:pPr>
        <w:pStyle w:val="Ruller41"/>
        <w:ind w:end="0"/>
        <w:jc w:val="both"/>
        <w:rPr>
          <w:rFonts w:ascii="FrankRuehl" w:hAnsi="FrankRuehl" w:cs="FrankRuehl"/>
          <w:highlight w:val="green"/>
        </w:rPr>
      </w:pPr>
      <w:r>
        <w:rPr>
          <w:rFonts w:cs="FrankRuehl" w:ascii="FrankRuehl" w:hAnsi="FrankRuehl"/>
          <w:highlight w:val="green"/>
          <w:rtl w:val="true"/>
        </w:rPr>
      </w:r>
    </w:p>
    <w:p>
      <w:pPr>
        <w:pStyle w:val="Ruller42"/>
        <w:numPr>
          <w:ilvl w:val="0"/>
          <w:numId w:val="1"/>
        </w:numPr>
        <w:ind w:hanging="0" w:start="0" w:end="0"/>
        <w:jc w:val="both"/>
        <w:rPr/>
      </w:pPr>
      <w:r>
        <w:rPr>
          <w:rtl w:val="true"/>
        </w:rPr>
        <w:t>בענייננו</w:t>
      </w:r>
      <w:r>
        <w:rPr>
          <w:rtl w:val="true"/>
        </w:rPr>
        <w:t xml:space="preserve">, </w:t>
      </w:r>
      <w:r>
        <w:rPr>
          <w:rtl w:val="true"/>
        </w:rPr>
        <w:t xml:space="preserve">עמדתו של בית המשפט המחוזי הייתה שלא התקיים היסוד הנדרש בגדרי העבירה של חטיפה </w:t>
      </w:r>
      <w:r>
        <w:rPr>
          <w:rtl w:val="true"/>
        </w:rPr>
        <w:t>"</w:t>
      </w:r>
      <w:r>
        <w:rPr>
          <w:rtl w:val="true"/>
        </w:rPr>
        <w:t>סתם</w:t>
      </w:r>
      <w:r>
        <w:rPr>
          <w:rtl w:val="true"/>
        </w:rPr>
        <w:t xml:space="preserve">", </w:t>
      </w:r>
      <w:r>
        <w:rPr>
          <w:rtl w:val="true"/>
        </w:rPr>
        <w:t>כי תישלל חירות המתלוננת לעזוב את המקום אליו הובאה במרמה</w:t>
      </w:r>
      <w:r>
        <w:rPr>
          <w:rtl w:val="true"/>
        </w:rPr>
        <w:t xml:space="preserve">. </w:t>
      </w:r>
      <w:r>
        <w:rPr>
          <w:rtl w:val="true"/>
        </w:rPr>
        <w:t>ביסוד קביעה זו מספר טעמים</w:t>
      </w:r>
      <w:r>
        <w:rPr>
          <w:rtl w:val="true"/>
        </w:rPr>
        <w:t xml:space="preserve">: </w:t>
      </w:r>
      <w:r>
        <w:rPr>
          <w:rtl w:val="true"/>
        </w:rPr>
        <w:t>לאור הספק שקיים לטובת האפשרות כי המפתח לדלת הצימר נותר בצילינדר</w:t>
      </w:r>
      <w:r>
        <w:rPr>
          <w:rtl w:val="true"/>
        </w:rPr>
        <w:t xml:space="preserve">; </w:t>
      </w:r>
      <w:r>
        <w:rPr>
          <w:rtl w:val="true"/>
        </w:rPr>
        <w:t>עדות המתלוננת על פיה לא ניסתה לברוח מהצימר או להזעיק עזרה</w:t>
      </w:r>
      <w:r>
        <w:rPr>
          <w:rtl w:val="true"/>
        </w:rPr>
        <w:t xml:space="preserve">, </w:t>
      </w:r>
      <w:r>
        <w:rPr>
          <w:rtl w:val="true"/>
        </w:rPr>
        <w:t>הגם שהיו לה מספר הזדמנויות לעשות כן</w:t>
      </w:r>
      <w:r>
        <w:rPr>
          <w:rtl w:val="true"/>
        </w:rPr>
        <w:t xml:space="preserve">, </w:t>
      </w:r>
      <w:r>
        <w:rPr>
          <w:rtl w:val="true"/>
        </w:rPr>
        <w:t>לרבות במהלך כניסותיו של המשיב לשירותים</w:t>
      </w:r>
      <w:r>
        <w:rPr>
          <w:rtl w:val="true"/>
        </w:rPr>
        <w:t xml:space="preserve">; </w:t>
      </w:r>
      <w:r>
        <w:rPr>
          <w:rtl w:val="true"/>
        </w:rPr>
        <w:t>וכן הלך רוחו של המשיב בסרטון</w:t>
      </w:r>
      <w:r>
        <w:rPr>
          <w:rtl w:val="true"/>
        </w:rPr>
        <w:t xml:space="preserve">, </w:t>
      </w:r>
      <w:r>
        <w:rPr>
          <w:rtl w:val="true"/>
        </w:rPr>
        <w:t>ממנו עולה כי המשיב נענה בסופו של דבר לבקשת המתלוננת לעזוב את הצימר</w:t>
      </w:r>
      <w:r>
        <w:rPr>
          <w:rtl w:val="true"/>
        </w:rPr>
        <w:t xml:space="preserve">. </w:t>
      </w:r>
      <w:r>
        <w:rPr>
          <w:rtl w:val="true"/>
        </w:rPr>
        <w:t>לאור כל אלה קבע בית המשפט קמא כי אף אם פירשה המתלוננת את מצב הדברים ככזה היוצר</w:t>
      </w:r>
      <w:r>
        <w:rPr>
          <w:rtl w:val="true"/>
        </w:rPr>
        <w:t xml:space="preserve">, </w:t>
      </w:r>
      <w:r>
        <w:rPr>
          <w:rtl w:val="true"/>
        </w:rPr>
        <w:t>מבחינתה</w:t>
      </w:r>
      <w:r>
        <w:rPr>
          <w:rtl w:val="true"/>
        </w:rPr>
        <w:t xml:space="preserve">, </w:t>
      </w:r>
      <w:r>
        <w:rPr>
          <w:rtl w:val="true"/>
        </w:rPr>
        <w:t>מניעה לעזוב את הצימר</w:t>
      </w:r>
      <w:r>
        <w:rPr>
          <w:rtl w:val="true"/>
        </w:rPr>
        <w:t xml:space="preserve">, </w:t>
      </w:r>
      <w:r>
        <w:rPr>
          <w:rtl w:val="true"/>
        </w:rPr>
        <w:t>הרי שמבחינה אובייקטיבית</w:t>
      </w:r>
      <w:r>
        <w:rPr>
          <w:rtl w:val="true"/>
        </w:rPr>
        <w:t xml:space="preserve">, </w:t>
      </w:r>
      <w:r>
        <w:rPr>
          <w:rtl w:val="true"/>
        </w:rPr>
        <w:t>לא נשללה חירותה לעשות כן</w:t>
      </w:r>
      <w:r>
        <w:rPr>
          <w:rtl w:val="true"/>
        </w:rPr>
        <w:t xml:space="preserve">. </w:t>
      </w:r>
      <w:r>
        <w:rPr>
          <w:rtl w:val="true"/>
        </w:rPr>
        <w:t>קביעה זו מעוגנת היטב בחומר הראיות</w:t>
      </w:r>
      <w:r>
        <w:rPr>
          <w:rtl w:val="true"/>
        </w:rPr>
        <w:t xml:space="preserve">, </w:t>
      </w:r>
      <w:r>
        <w:rPr>
          <w:rtl w:val="true"/>
        </w:rPr>
        <w:t>ולא ראיתי מקום להתערב בה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המדינה סבורה כי לצורך התקיימות יסוד שלילת החירות די במודעות המשיב לקיומה של הגבלה חמורה מבחינת המתלוננת על חופש התנועה שלה</w:t>
      </w:r>
      <w:r>
        <w:rPr>
          <w:rtl w:val="true"/>
        </w:rPr>
        <w:t xml:space="preserve">, </w:t>
      </w:r>
      <w:r>
        <w:rPr>
          <w:rtl w:val="true"/>
        </w:rPr>
        <w:t>ואין צורך להוכיח כוונה להביא לשלילתה המוחלטת</w:t>
      </w:r>
      <w:r>
        <w:rPr>
          <w:rtl w:val="true"/>
        </w:rPr>
        <w:t xml:space="preserve">. </w:t>
      </w:r>
      <w:r>
        <w:rPr>
          <w:rtl w:val="true"/>
        </w:rPr>
        <w:t>כעניין עקרוני</w:t>
      </w:r>
      <w:r>
        <w:rPr>
          <w:rtl w:val="true"/>
        </w:rPr>
        <w:t xml:space="preserve">, </w:t>
      </w:r>
      <w:r>
        <w:rPr>
          <w:rtl w:val="true"/>
        </w:rPr>
        <w:t>טענה זו נראית לי נכונה</w:t>
      </w:r>
      <w:r>
        <w:rPr>
          <w:rtl w:val="true"/>
        </w:rPr>
        <w:t xml:space="preserve">. </w:t>
      </w:r>
      <w:r>
        <w:rPr>
          <w:rtl w:val="true"/>
        </w:rPr>
        <w:t>אכן</w:t>
      </w:r>
      <w:r>
        <w:rPr>
          <w:rtl w:val="true"/>
        </w:rPr>
        <w:t xml:space="preserve">, </w:t>
      </w:r>
      <w:r>
        <w:rPr>
          <w:rtl w:val="true"/>
        </w:rPr>
        <w:t xml:space="preserve">שלילת החירות אין משמעה העדר של כל דרך לעזוב את המקום </w:t>
      </w:r>
      <w:r>
        <w:rPr>
          <w:rtl w:val="true"/>
        </w:rPr>
        <w:t>(</w:t>
      </w:r>
      <w:r>
        <w:rPr>
          <w:rtl w:val="true"/>
        </w:rPr>
        <w:t>כך</w:t>
      </w:r>
      <w:r>
        <w:rPr>
          <w:rtl w:val="true"/>
        </w:rPr>
        <w:t xml:space="preserve">, </w:t>
      </w:r>
      <w:r>
        <w:rPr>
          <w:rtl w:val="true"/>
        </w:rPr>
        <w:t>למשל</w:t>
      </w:r>
      <w:r>
        <w:rPr>
          <w:rtl w:val="true"/>
        </w:rPr>
        <w:t xml:space="preserve">, </w:t>
      </w:r>
      <w:r>
        <w:rPr>
          <w:rtl w:val="true"/>
        </w:rPr>
        <w:t>אם אדם נדרש לנסר את רגלו על מנת להשתחרר</w:t>
      </w:r>
      <w:r>
        <w:rPr>
          <w:rtl w:val="true"/>
        </w:rPr>
        <w:t xml:space="preserve">, </w:t>
      </w:r>
      <w:r>
        <w:rPr>
          <w:rtl w:val="true"/>
        </w:rPr>
        <w:t>אין לומר כי חירותו לא נשללה ממנו</w:t>
      </w:r>
      <w:r>
        <w:rPr>
          <w:rtl w:val="true"/>
        </w:rPr>
        <w:t xml:space="preserve">). </w:t>
      </w:r>
      <w:r>
        <w:rPr>
          <w:rtl w:val="true"/>
        </w:rPr>
        <w:t>עם זאת</w:t>
      </w:r>
      <w:r>
        <w:rPr>
          <w:rtl w:val="true"/>
        </w:rPr>
        <w:t xml:space="preserve">, </w:t>
      </w:r>
      <w:r>
        <w:rPr>
          <w:rtl w:val="true"/>
        </w:rPr>
        <w:t xml:space="preserve">ברור גם כי לא כל מגבלה המקשה על החופש של אדם לעזוב את המקום בו הוא נמצא עולה לכדי שלילת חירות </w:t>
      </w:r>
      <w:r>
        <w:rPr>
          <w:rtl w:val="true"/>
        </w:rPr>
        <w:t>(</w:t>
      </w:r>
      <w:r>
        <w:rPr>
          <w:rtl w:val="true"/>
        </w:rPr>
        <w:t>לדוגמא</w:t>
      </w:r>
      <w:r>
        <w:rPr>
          <w:rtl w:val="true"/>
        </w:rPr>
        <w:t xml:space="preserve">, </w:t>
      </w:r>
      <w:r>
        <w:rPr>
          <w:rtl w:val="true"/>
        </w:rPr>
        <w:t>נטילת מפתחות רכבו של אדם או בגדיו בוודאי מקשה על חופש התנועה שלו</w:t>
      </w:r>
      <w:r>
        <w:rPr>
          <w:rtl w:val="true"/>
        </w:rPr>
        <w:t xml:space="preserve">, </w:t>
      </w:r>
      <w:r>
        <w:rPr>
          <w:rtl w:val="true"/>
        </w:rPr>
        <w:t>אולם אין בפעולות אלה</w:t>
      </w:r>
      <w:r>
        <w:rPr>
          <w:rtl w:val="true"/>
        </w:rPr>
        <w:t xml:space="preserve">, </w:t>
      </w:r>
      <w:r>
        <w:rPr>
          <w:rtl w:val="true"/>
        </w:rPr>
        <w:t>לבדן</w:t>
      </w:r>
      <w:r>
        <w:rPr>
          <w:rtl w:val="true"/>
        </w:rPr>
        <w:t xml:space="preserve">, </w:t>
      </w:r>
      <w:r>
        <w:rPr>
          <w:rtl w:val="true"/>
        </w:rPr>
        <w:t>כדי לבסס שלילה של חירותו</w:t>
      </w:r>
      <w:r>
        <w:rPr>
          <w:rtl w:val="true"/>
        </w:rPr>
        <w:t xml:space="preserve">). </w:t>
      </w:r>
      <w:r>
        <w:rPr>
          <w:rtl w:val="true"/>
        </w:rPr>
        <w:t>בענייננו סבר בית המשפט קמא</w:t>
      </w:r>
      <w:r>
        <w:rPr>
          <w:rtl w:val="true"/>
        </w:rPr>
        <w:t xml:space="preserve">, </w:t>
      </w:r>
      <w:r>
        <w:rPr>
          <w:rtl w:val="true"/>
        </w:rPr>
        <w:t>לאור מכלול הנסיבות והראיות</w:t>
      </w:r>
      <w:r>
        <w:rPr>
          <w:rtl w:val="true"/>
        </w:rPr>
        <w:t xml:space="preserve">, </w:t>
      </w:r>
      <w:r>
        <w:rPr>
          <w:rtl w:val="true"/>
        </w:rPr>
        <w:t>כי קיים ספק אם</w:t>
      </w:r>
      <w:r>
        <w:rPr>
          <w:rtl w:val="true"/>
        </w:rPr>
        <w:t xml:space="preserve">, </w:t>
      </w:r>
      <w:r>
        <w:rPr>
          <w:rtl w:val="true"/>
        </w:rPr>
        <w:t>כעניין אובייקטיבי</w:t>
      </w:r>
      <w:r>
        <w:rPr>
          <w:rtl w:val="true"/>
        </w:rPr>
        <w:t xml:space="preserve">, </w:t>
      </w:r>
      <w:r>
        <w:rPr>
          <w:rtl w:val="true"/>
        </w:rPr>
        <w:t>ובטרם בחינת מצב התודעה של המשיב</w:t>
      </w:r>
      <w:r>
        <w:rPr>
          <w:rtl w:val="true"/>
        </w:rPr>
        <w:t xml:space="preserve">, </w:t>
      </w:r>
      <w:r>
        <w:rPr>
          <w:rtl w:val="true"/>
        </w:rPr>
        <w:t>המגבלות שהוטלו על המתלוננת בעת שהותה בצימר עלו לכדי הגבלת חירות המבססת שלילת חירות</w:t>
      </w:r>
      <w:r>
        <w:rPr>
          <w:rtl w:val="true"/>
        </w:rPr>
        <w:t xml:space="preserve">. </w:t>
      </w:r>
      <w:r>
        <w:rPr>
          <w:rtl w:val="true"/>
        </w:rPr>
        <w:t>המדובר בממצא עובדתי</w:t>
      </w:r>
      <w:r>
        <w:rPr>
          <w:rtl w:val="true"/>
        </w:rPr>
        <w:t xml:space="preserve">, </w:t>
      </w:r>
      <w:r>
        <w:rPr>
          <w:rtl w:val="true"/>
        </w:rPr>
        <w:t>אשר</w:t>
      </w:r>
      <w:r>
        <w:rPr>
          <w:rtl w:val="true"/>
        </w:rPr>
        <w:t xml:space="preserve">, </w:t>
      </w:r>
      <w:r>
        <w:rPr>
          <w:rtl w:val="true"/>
        </w:rPr>
        <w:t>כמובהר לעיל</w:t>
      </w:r>
      <w:r>
        <w:rPr>
          <w:rtl w:val="true"/>
        </w:rPr>
        <w:t xml:space="preserve">, </w:t>
      </w:r>
      <w:r>
        <w:rPr>
          <w:rtl w:val="true"/>
        </w:rPr>
        <w:t>לא ראיתי מקום להתערב בו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המערערת מלינה גם על החלטת בית המשפט קמא לבחון את יסודותיה של עבירת החטיפה לפי הנסיבות ששררו בתוך הצימר בלבד</w:t>
      </w:r>
      <w:r>
        <w:rPr>
          <w:rtl w:val="true"/>
        </w:rPr>
        <w:t xml:space="preserve">. </w:t>
      </w:r>
      <w:r>
        <w:rPr>
          <w:rtl w:val="true"/>
        </w:rPr>
        <w:t>לדידה</w:t>
      </w:r>
      <w:r>
        <w:rPr>
          <w:rtl w:val="true"/>
        </w:rPr>
        <w:t xml:space="preserve">, </w:t>
      </w:r>
      <w:r>
        <w:rPr>
          <w:rtl w:val="true"/>
        </w:rPr>
        <w:t>עבירת החטיפה השתכללה</w:t>
      </w:r>
      <w:r>
        <w:rPr>
          <w:rtl w:val="true"/>
        </w:rPr>
        <w:t xml:space="preserve">, </w:t>
      </w:r>
      <w:r>
        <w:rPr>
          <w:rtl w:val="true"/>
        </w:rPr>
        <w:t>וכפועל יוצא גם יסוד שלילת החירות</w:t>
      </w:r>
      <w:r>
        <w:rPr>
          <w:rtl w:val="true"/>
        </w:rPr>
        <w:t xml:space="preserve">, </w:t>
      </w:r>
      <w:r>
        <w:rPr>
          <w:rtl w:val="true"/>
        </w:rPr>
        <w:t>עוד בטרם שהו בצימר</w:t>
      </w:r>
      <w:r>
        <w:rPr>
          <w:rtl w:val="true"/>
        </w:rPr>
        <w:t xml:space="preserve">, </w:t>
      </w:r>
      <w:r>
        <w:rPr>
          <w:rtl w:val="true"/>
        </w:rPr>
        <w:t>בעת שהסיע המשיב את המתלוננת ברכבו</w:t>
      </w:r>
      <w:r>
        <w:rPr>
          <w:rtl w:val="true"/>
        </w:rPr>
        <w:t xml:space="preserve">. </w:t>
      </w:r>
    </w:p>
    <w:p>
      <w:pPr>
        <w:pStyle w:val="Ruller41"/>
        <w:ind w:end="0"/>
        <w:jc w:val="both"/>
        <w:rPr>
          <w:highlight w:val="green"/>
        </w:rPr>
      </w:pPr>
      <w:r>
        <w:rPr>
          <w:highlight w:val="green"/>
          <w:rtl w:val="true"/>
        </w:rPr>
      </w:r>
    </w:p>
    <w:p>
      <w:pPr>
        <w:pStyle w:val="Ruller42"/>
        <w:numPr>
          <w:ilvl w:val="0"/>
          <w:numId w:val="1"/>
        </w:numPr>
        <w:ind w:hanging="0" w:start="0" w:end="0"/>
        <w:jc w:val="both"/>
        <w:rPr/>
      </w:pPr>
      <w:r>
        <w:rPr>
          <w:rtl w:val="true"/>
        </w:rPr>
        <w:t>אציין</w:t>
      </w:r>
      <w:r>
        <w:rPr>
          <w:rtl w:val="true"/>
        </w:rPr>
        <w:t xml:space="preserve">, </w:t>
      </w:r>
      <w:r>
        <w:rPr>
          <w:rtl w:val="true"/>
        </w:rPr>
        <w:t>בקצרה</w:t>
      </w:r>
      <w:r>
        <w:rPr>
          <w:rtl w:val="true"/>
        </w:rPr>
        <w:t xml:space="preserve">, </w:t>
      </w:r>
      <w:r>
        <w:rPr>
          <w:rtl w:val="true"/>
        </w:rPr>
        <w:t>כי לשיטתי</w:t>
      </w:r>
      <w:r>
        <w:rPr>
          <w:rtl w:val="true"/>
        </w:rPr>
        <w:t xml:space="preserve">, </w:t>
      </w:r>
      <w:r>
        <w:rPr>
          <w:rtl w:val="true"/>
        </w:rPr>
        <w:t xml:space="preserve">הצימר הוא </w:t>
      </w:r>
      <w:r>
        <w:rPr>
          <w:rtl w:val="true"/>
        </w:rPr>
        <w:t>"</w:t>
      </w:r>
      <w:r>
        <w:rPr>
          <w:rtl w:val="true"/>
        </w:rPr>
        <w:t>הזירה</w:t>
      </w:r>
      <w:r>
        <w:rPr>
          <w:rtl w:val="true"/>
        </w:rPr>
        <w:t xml:space="preserve">" </w:t>
      </w:r>
      <w:r>
        <w:rPr>
          <w:rtl w:val="true"/>
        </w:rPr>
        <w:t>הרלוונטית לצורך בחינת יסוד שלילת החירות</w:t>
      </w:r>
      <w:r>
        <w:rPr>
          <w:rtl w:val="true"/>
        </w:rPr>
        <w:t xml:space="preserve">, </w:t>
      </w:r>
      <w:r>
        <w:rPr>
          <w:rtl w:val="true"/>
        </w:rPr>
        <w:t>כפי שסבר בית המשפט קמא</w:t>
      </w:r>
      <w:r>
        <w:rPr>
          <w:rtl w:val="true"/>
        </w:rPr>
        <w:t xml:space="preserve">. </w:t>
      </w:r>
      <w:r>
        <w:rPr>
          <w:rtl w:val="true"/>
        </w:rPr>
        <w:t>זאת</w:t>
      </w:r>
      <w:r>
        <w:rPr>
          <w:rtl w:val="true"/>
        </w:rPr>
        <w:t xml:space="preserve">, </w:t>
      </w:r>
      <w:r>
        <w:rPr>
          <w:rtl w:val="true"/>
        </w:rPr>
        <w:t>באשר זה המקום אליו פותתה המתלוננת באמתלת שווא להגיע</w:t>
      </w:r>
      <w:r>
        <w:rPr>
          <w:rtl w:val="true"/>
        </w:rPr>
        <w:t xml:space="preserve">, </w:t>
      </w:r>
      <w:r>
        <w:rPr>
          <w:rtl w:val="true"/>
        </w:rPr>
        <w:t>ומשכך</w:t>
      </w:r>
      <w:r>
        <w:rPr>
          <w:rtl w:val="true"/>
        </w:rPr>
        <w:t xml:space="preserve">, </w:t>
      </w:r>
      <w:r>
        <w:rPr>
          <w:rtl w:val="true"/>
        </w:rPr>
        <w:t xml:space="preserve">לגביו יש לבחון האם התקיימה פגיעה ביכולתה לעזוב את </w:t>
      </w:r>
      <w:r>
        <w:rPr>
          <w:rtl w:val="true"/>
        </w:rPr>
        <w:t>"</w:t>
      </w:r>
      <w:r>
        <w:rPr>
          <w:rtl w:val="true"/>
        </w:rPr>
        <w:t>המקום אליו הובא</w:t>
      </w:r>
      <w:r>
        <w:rPr>
          <w:rtl w:val="true"/>
        </w:rPr>
        <w:t>[</w:t>
      </w:r>
      <w:r>
        <w:rPr>
          <w:rtl w:val="true"/>
        </w:rPr>
        <w:t>ה</w:t>
      </w:r>
      <w:r>
        <w:rPr>
          <w:rtl w:val="true"/>
        </w:rPr>
        <w:t xml:space="preserve">] </w:t>
      </w:r>
      <w:r>
        <w:rPr>
          <w:rtl w:val="true"/>
        </w:rPr>
        <w:t>במרמה</w:t>
      </w:r>
      <w:r>
        <w:rPr>
          <w:rtl w:val="true"/>
        </w:rPr>
        <w:t xml:space="preserve">". </w:t>
      </w:r>
      <w:r>
        <w:rPr>
          <w:rtl w:val="true"/>
        </w:rPr>
        <w:t xml:space="preserve">כך גם עולה מפסיקותיו של בית משפט זה במקרים דומים </w:t>
      </w:r>
      <w:r>
        <w:rPr>
          <w:rtl w:val="true"/>
        </w:rPr>
        <w:t>(</w:t>
      </w:r>
      <w:r>
        <w:rPr>
          <w:rtl w:val="true"/>
        </w:rPr>
        <w:t xml:space="preserve">ראו למשל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2281/09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38-29</w:t>
      </w:r>
      <w:r>
        <w:rPr>
          <w:rtl w:val="true"/>
        </w:rPr>
        <w:t xml:space="preserve"> (</w:t>
      </w:r>
      <w:r>
        <w:rPr/>
        <w:t>16.4.2012</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פרחאת</w:t>
      </w:r>
      <w:r>
        <w:rPr>
          <w:rtl w:val="true"/>
        </w:rPr>
        <w:t xml:space="preserve">, </w:t>
      </w:r>
      <w:r>
        <w:rPr>
          <w:rtl w:val="true"/>
        </w:rPr>
        <w:t>שם</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מחאג</w:t>
      </w:r>
      <w:r>
        <w:rPr>
          <w:rFonts w:cs="Miriam" w:ascii="Century" w:hAnsi="Century"/>
          <w:b/>
          <w:spacing w:val="0"/>
          <w:sz w:val="22"/>
          <w:szCs w:val="24"/>
          <w:rtl w:val="true"/>
        </w:rPr>
        <w:t>'</w:t>
      </w:r>
      <w:r>
        <w:rPr>
          <w:rFonts w:ascii="Century" w:hAnsi="Century" w:cs="Miriam"/>
          <w:b/>
          <w:b/>
          <w:spacing w:val="0"/>
          <w:sz w:val="22"/>
          <w:sz w:val="22"/>
          <w:szCs w:val="24"/>
          <w:rtl w:val="true"/>
        </w:rPr>
        <w:t>נה</w:t>
      </w:r>
      <w:r>
        <w:rPr>
          <w:rtl w:val="true"/>
        </w:rPr>
        <w:t xml:space="preserve">, </w:t>
      </w:r>
      <w:r>
        <w:rPr>
          <w:rtl w:val="true"/>
        </w:rPr>
        <w:t xml:space="preserve">פסקה </w:t>
      </w:r>
      <w:r>
        <w:rPr/>
        <w:t>29-27</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6272/12</w:t>
        </w:r>
      </w:hyperlink>
      <w:r>
        <w:rPr>
          <w:rtl w:val="true"/>
        </w:rPr>
        <w:t xml:space="preserve"> </w:t>
      </w:r>
      <w:r>
        <w:rPr>
          <w:rFonts w:ascii="Century" w:hAnsi="Century" w:cs="Miriam"/>
          <w:b/>
          <w:b/>
          <w:spacing w:val="0"/>
          <w:sz w:val="22"/>
          <w:sz w:val="22"/>
          <w:szCs w:val="24"/>
          <w:rtl w:val="true"/>
        </w:rPr>
        <w:t>ויסמן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31-28</w:t>
      </w:r>
      <w:r>
        <w:rPr>
          <w:rtl w:val="true"/>
        </w:rPr>
        <w:t xml:space="preserve"> (</w:t>
      </w:r>
      <w:r>
        <w:rPr/>
        <w:t>1.5.2013</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ויסמן</w:t>
      </w:r>
      <w:r>
        <w:rPr>
          <w:rtl w:val="true"/>
        </w:rPr>
        <w:t xml:space="preserve">)). </w:t>
      </w:r>
      <w:r>
        <w:rPr>
          <w:rtl w:val="true"/>
        </w:rPr>
        <w:t>ואולם</w:t>
      </w:r>
      <w:r>
        <w:rPr>
          <w:rtl w:val="true"/>
        </w:rPr>
        <w:t xml:space="preserve">, </w:t>
      </w:r>
      <w:r>
        <w:rPr>
          <w:rtl w:val="true"/>
        </w:rPr>
        <w:t>אף אם אניח</w:t>
      </w:r>
      <w:r>
        <w:rPr>
          <w:rtl w:val="true"/>
        </w:rPr>
        <w:t xml:space="preserve">, </w:t>
      </w:r>
      <w:r>
        <w:rPr>
          <w:rtl w:val="true"/>
        </w:rPr>
        <w:t>כעניין עקרוני</w:t>
      </w:r>
      <w:r>
        <w:rPr>
          <w:rtl w:val="true"/>
        </w:rPr>
        <w:t xml:space="preserve">, </w:t>
      </w:r>
      <w:r>
        <w:rPr>
          <w:rtl w:val="true"/>
        </w:rPr>
        <w:t xml:space="preserve">כי יסוד שלילת החירות עשוי להתייחס גם לשלב הנסיעה ברכב </w:t>
      </w:r>
      <w:r>
        <w:rPr>
          <w:rtl w:val="true"/>
        </w:rPr>
        <w:t>(</w:t>
      </w:r>
      <w:r>
        <w:rPr>
          <w:rtl w:val="true"/>
        </w:rPr>
        <w:t>וזאת בהינתן ששלילת החירות יכולה להיות גם במהלך החטיפה ולא רק בסופה</w:t>
      </w:r>
      <w:r>
        <w:rPr>
          <w:rtl w:val="true"/>
        </w:rPr>
        <w:t xml:space="preserve">. </w:t>
      </w:r>
      <w:r>
        <w:rPr>
          <w:rtl w:val="true"/>
        </w:rPr>
        <w:t xml:space="preserve">ראו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ויסמן</w:t>
      </w:r>
      <w:r>
        <w:rPr>
          <w:rtl w:val="true"/>
        </w:rPr>
        <w:t xml:space="preserve">, </w:t>
      </w:r>
      <w:r>
        <w:rPr>
          <w:rtl w:val="true"/>
        </w:rPr>
        <w:t>שם</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9275/06</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6.9.2010</w:t>
      </w:r>
      <w:r>
        <w:rPr>
          <w:rtl w:val="true"/>
        </w:rPr>
        <w:t xml:space="preserve">)), </w:t>
      </w:r>
      <w:r>
        <w:rPr>
          <w:rtl w:val="true"/>
        </w:rPr>
        <w:t>אין בכך די בעניינו</w:t>
      </w:r>
      <w:r>
        <w:rPr>
          <w:rtl w:val="true"/>
        </w:rPr>
        <w:t xml:space="preserve">. </w:t>
      </w:r>
      <w:r>
        <w:rPr>
          <w:rtl w:val="true"/>
        </w:rPr>
        <w:t>הטעם לכך הוא שבשלב הנסיעה לא היה כל עימות בין הצדדים</w:t>
      </w:r>
      <w:r>
        <w:rPr>
          <w:rtl w:val="true"/>
        </w:rPr>
        <w:t xml:space="preserve">, </w:t>
      </w:r>
      <w:r>
        <w:rPr>
          <w:rtl w:val="true"/>
        </w:rPr>
        <w:t>וממילא אין בפנינו ראיות המאפשרות לקבוע כי לו הייתה מבקשת בשלב מסוים של הנסיעה לעצור ולרדת</w:t>
      </w:r>
      <w:r>
        <w:rPr>
          <w:rtl w:val="true"/>
        </w:rPr>
        <w:t xml:space="preserve">, </w:t>
      </w:r>
      <w:r>
        <w:rPr>
          <w:rtl w:val="true"/>
        </w:rPr>
        <w:t>היה המשיב מונע זאת ממנה</w:t>
      </w:r>
      <w:r>
        <w:rPr>
          <w:rtl w:val="true"/>
        </w:rPr>
        <w:t xml:space="preserve">. </w:t>
      </w:r>
      <w:r>
        <w:rPr>
          <w:rtl w:val="true"/>
        </w:rPr>
        <w:t>לפיכך</w:t>
      </w:r>
      <w:r>
        <w:rPr>
          <w:rtl w:val="true"/>
        </w:rPr>
        <w:t xml:space="preserve">, </w:t>
      </w:r>
      <w:r>
        <w:rPr>
          <w:rtl w:val="true"/>
        </w:rPr>
        <w:t>אין בענייננו אפשרות לקבוע כי במהלך הנסיעה הוגבלה חירותה של המתלוננת</w:t>
      </w:r>
      <w:r>
        <w:rPr>
          <w:rtl w:val="true"/>
        </w:rPr>
        <w:t xml:space="preserve">, </w:t>
      </w:r>
      <w:r>
        <w:rPr>
          <w:rtl w:val="true"/>
        </w:rPr>
        <w:t>דהיינו שבנוסף לכך שרומתה</w:t>
      </w:r>
      <w:r>
        <w:rPr>
          <w:rtl w:val="true"/>
        </w:rPr>
        <w:t xml:space="preserve">, </w:t>
      </w:r>
      <w:r>
        <w:rPr>
          <w:rtl w:val="true"/>
        </w:rPr>
        <w:t>גם נשללה יכולתה לעזוב את הרכב</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זאת ועוד</w:t>
      </w:r>
      <w:r>
        <w:rPr>
          <w:rtl w:val="true"/>
        </w:rPr>
        <w:t xml:space="preserve">, </w:t>
      </w:r>
      <w:r>
        <w:rPr>
          <w:rtl w:val="true"/>
        </w:rPr>
        <w:t>ספק בעיני אם המדינה עמדה בנטל להוכיח</w:t>
      </w:r>
      <w:r>
        <w:rPr>
          <w:rtl w:val="true"/>
        </w:rPr>
        <w:t xml:space="preserve">, </w:t>
      </w:r>
      <w:r>
        <w:rPr>
          <w:rtl w:val="true"/>
        </w:rPr>
        <w:t>ברמה הדרושה לצורך הרשעה במשפט פלילי</w:t>
      </w:r>
      <w:r>
        <w:rPr>
          <w:rtl w:val="true"/>
        </w:rPr>
        <w:t xml:space="preserve">, </w:t>
      </w:r>
      <w:r>
        <w:rPr>
          <w:rtl w:val="true"/>
        </w:rPr>
        <w:t>כי יסוד הכוונה המיוחדת לבצע עבירת מין במתלוננת התגבש אצל המשיב כבר בשלב הנסיעה ברכב</w:t>
      </w:r>
      <w:r>
        <w:rPr>
          <w:rtl w:val="true"/>
        </w:rPr>
        <w:t xml:space="preserve">. </w:t>
      </w:r>
      <w:r>
        <w:rPr>
          <w:rtl w:val="true"/>
        </w:rPr>
        <w:t>ויובהר</w:t>
      </w:r>
      <w:r>
        <w:rPr>
          <w:rtl w:val="true"/>
        </w:rPr>
        <w:t xml:space="preserve">, </w:t>
      </w:r>
      <w:r>
        <w:rPr>
          <w:rtl w:val="true"/>
        </w:rPr>
        <w:t>בית המשפט קמא אומנם קבע</w:t>
      </w:r>
      <w:r>
        <w:rPr>
          <w:rtl w:val="true"/>
        </w:rPr>
        <w:t xml:space="preserve">, </w:t>
      </w:r>
      <w:r>
        <w:rPr>
          <w:rtl w:val="true"/>
        </w:rPr>
        <w:t xml:space="preserve">כי </w:t>
      </w:r>
      <w:r>
        <w:rPr>
          <w:rtl w:val="true"/>
        </w:rPr>
        <w:t>"</w:t>
      </w:r>
      <w:r>
        <w:rPr>
          <w:rFonts w:ascii="Century" w:hAnsi="Century" w:cs="Miriam"/>
          <w:b/>
          <w:b/>
          <w:spacing w:val="0"/>
          <w:sz w:val="22"/>
          <w:sz w:val="22"/>
          <w:szCs w:val="24"/>
          <w:rtl w:val="true"/>
        </w:rPr>
        <w:t>התנהלות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ההתחלתי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משתמע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פנים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המחשבה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התגבשה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מוקדמים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w:t>
      </w:r>
      <w:r>
        <w:rPr>
          <w:rtl w:val="true"/>
        </w:rPr>
        <w:t>" (</w:t>
      </w:r>
      <w:r>
        <w:rPr>
          <w:rtl w:val="true"/>
        </w:rPr>
        <w:t xml:space="preserve">פסקה </w:t>
      </w:r>
      <w:r>
        <w:rPr/>
        <w:t>242</w:t>
      </w:r>
      <w:r>
        <w:rPr>
          <w:rtl w:val="true"/>
        </w:rPr>
        <w:t xml:space="preserve">), </w:t>
      </w:r>
      <w:r>
        <w:rPr>
          <w:rtl w:val="true"/>
        </w:rPr>
        <w:t>ואולם כשלעצמי קשה להשתכנע בכך מעבר לספק סביר</w:t>
      </w:r>
      <w:r>
        <w:rPr>
          <w:rtl w:val="true"/>
        </w:rPr>
        <w:t xml:space="preserve">, </w:t>
      </w:r>
      <w:r>
        <w:rPr>
          <w:rtl w:val="true"/>
        </w:rPr>
        <w:t xml:space="preserve">ככל שמדובר לא בכוונת התרמית </w:t>
      </w:r>
      <w:r>
        <w:rPr>
          <w:rtl w:val="true"/>
        </w:rPr>
        <w:t>(</w:t>
      </w:r>
      <w:r>
        <w:rPr>
          <w:rtl w:val="true"/>
        </w:rPr>
        <w:t>שבוודאי הייתה קיימת בעת הנסיעה</w:t>
      </w:r>
      <w:r>
        <w:rPr>
          <w:rtl w:val="true"/>
        </w:rPr>
        <w:t xml:space="preserve">), </w:t>
      </w:r>
      <w:r>
        <w:rPr>
          <w:rtl w:val="true"/>
        </w:rPr>
        <w:t xml:space="preserve">אלא גם בכוונה לבצע במתלוננת עבירת מין </w:t>
      </w:r>
      <w:r>
        <w:rPr>
          <w:rtl w:val="true"/>
        </w:rPr>
        <w:t>(</w:t>
      </w:r>
      <w:r>
        <w:rPr>
          <w:rtl w:val="true"/>
        </w:rPr>
        <w:t>כוונה הנדרשת לצורך ההרשעה בעבירה בה הואשם המשיב</w:t>
      </w:r>
      <w:r>
        <w:rPr>
          <w:rtl w:val="true"/>
        </w:rPr>
        <w:t xml:space="preserve">). </w:t>
      </w:r>
      <w:r>
        <w:rPr>
          <w:rtl w:val="true"/>
        </w:rPr>
        <w:t>אבהיר בקצרה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על מנת להרשיע בעבירה המחמירה של חטיפה לשם ביצוע עבירת מין</w:t>
      </w:r>
      <w:r>
        <w:rPr>
          <w:rtl w:val="true"/>
        </w:rPr>
        <w:t xml:space="preserve">, </w:t>
      </w:r>
      <w:r>
        <w:rPr>
          <w:rtl w:val="true"/>
        </w:rPr>
        <w:t>נדרש להוכיח</w:t>
      </w:r>
      <w:r>
        <w:rPr>
          <w:rtl w:val="true"/>
        </w:rPr>
        <w:t xml:space="preserve">, </w:t>
      </w:r>
      <w:r>
        <w:rPr>
          <w:rtl w:val="true"/>
        </w:rPr>
        <w:t xml:space="preserve">נוסף על הוכחת יסודות עבירת החטיפה </w:t>
      </w:r>
      <w:r>
        <w:rPr>
          <w:rtl w:val="true"/>
        </w:rPr>
        <w:t>"</w:t>
      </w:r>
      <w:r>
        <w:rPr>
          <w:rtl w:val="true"/>
        </w:rPr>
        <w:t>סתם</w:t>
      </w:r>
      <w:r>
        <w:rPr>
          <w:rtl w:val="true"/>
        </w:rPr>
        <w:t xml:space="preserve">", </w:t>
      </w:r>
      <w:r>
        <w:rPr>
          <w:rtl w:val="true"/>
        </w:rPr>
        <w:t>יסוד של כוונה לבצע עבירת מין</w:t>
      </w:r>
      <w:r>
        <w:rPr>
          <w:rtl w:val="true"/>
        </w:rPr>
        <w:t xml:space="preserve">. </w:t>
      </w:r>
      <w:r>
        <w:rPr>
          <w:rtl w:val="true"/>
        </w:rPr>
        <w:t>ויודגש</w:t>
      </w:r>
      <w:r>
        <w:rPr>
          <w:rtl w:val="true"/>
        </w:rPr>
        <w:t xml:space="preserve">, </w:t>
      </w:r>
      <w:r>
        <w:rPr>
          <w:rtl w:val="true"/>
        </w:rPr>
        <w:t>לאור דרישת המזיגה או הבו</w:t>
      </w:r>
      <w:r>
        <w:rPr>
          <w:rtl w:val="true"/>
        </w:rPr>
        <w:t>-</w:t>
      </w:r>
      <w:r>
        <w:rPr>
          <w:rtl w:val="true"/>
        </w:rPr>
        <w:t xml:space="preserve">זמניות </w:t>
      </w:r>
      <w:r>
        <w:rPr>
          <w:rtl w:val="true"/>
        </w:rPr>
        <w:t>(</w:t>
      </w:r>
      <w:r>
        <w:rPr>
          <w:rtl w:val="true"/>
        </w:rPr>
        <w:t>סימולטניות</w:t>
      </w:r>
      <w:r>
        <w:rPr>
          <w:rtl w:val="true"/>
        </w:rPr>
        <w:t>) (</w:t>
      </w:r>
      <w:r>
        <w:rPr>
          <w:rtl w:val="true"/>
        </w:rPr>
        <w:t>להלן</w:t>
      </w:r>
      <w:r>
        <w:rPr>
          <w:rtl w:val="true"/>
        </w:rPr>
        <w:t xml:space="preserve">: </w:t>
      </w:r>
      <w:r>
        <w:rPr>
          <w:rFonts w:ascii="Century" w:hAnsi="Century" w:cs="Miriam"/>
          <w:b/>
          <w:b/>
          <w:spacing w:val="0"/>
          <w:sz w:val="22"/>
          <w:sz w:val="22"/>
          <w:szCs w:val="24"/>
          <w:rtl w:val="true"/>
        </w:rPr>
        <w:t>דרישת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הבו</w:t>
      </w:r>
      <w:r>
        <w:rPr>
          <w:rFonts w:cs="Miriam" w:ascii="Century" w:hAnsi="Century"/>
          <w:b/>
          <w:spacing w:val="0"/>
          <w:sz w:val="22"/>
          <w:szCs w:val="24"/>
          <w:rtl w:val="true"/>
        </w:rPr>
        <w:t>-</w:t>
      </w:r>
      <w:r>
        <w:rPr>
          <w:rFonts w:ascii="Century" w:hAnsi="Century" w:cs="Miriam"/>
          <w:b/>
          <w:b/>
          <w:spacing w:val="0"/>
          <w:sz w:val="22"/>
          <w:sz w:val="22"/>
          <w:szCs w:val="24"/>
          <w:rtl w:val="true"/>
        </w:rPr>
        <w:t>זמניות</w:t>
      </w:r>
      <w:r>
        <w:rPr>
          <w:rtl w:val="true"/>
        </w:rPr>
        <w:t xml:space="preserve">), </w:t>
      </w:r>
      <w:r>
        <w:rPr>
          <w:rtl w:val="true"/>
        </w:rPr>
        <w:t>כוונה זו צריכה להתקיים כבר בעת ביצוע אקט החטיפה</w:t>
      </w:r>
      <w:r>
        <w:rPr>
          <w:rtl w:val="true"/>
        </w:rPr>
        <w:t xml:space="preserve">, </w:t>
      </w:r>
      <w:r>
        <w:rPr>
          <w:rtl w:val="true"/>
        </w:rPr>
        <w:t>ובענייננו</w:t>
      </w:r>
      <w:r>
        <w:rPr>
          <w:rtl w:val="true"/>
        </w:rPr>
        <w:t xml:space="preserve">, </w:t>
      </w:r>
      <w:r>
        <w:rPr>
          <w:rtl w:val="true"/>
        </w:rPr>
        <w:t>במהלך הנסיעה</w:t>
      </w:r>
      <w:r>
        <w:rPr>
          <w:rtl w:val="true"/>
        </w:rPr>
        <w:t xml:space="preserve">, </w:t>
      </w:r>
      <w:r>
        <w:rPr>
          <w:rtl w:val="true"/>
        </w:rPr>
        <w:t xml:space="preserve">ואין די בכך שתתגבש במהלך השהייה בצימר </w:t>
      </w:r>
      <w:r>
        <w:rPr>
          <w:rtl w:val="true"/>
        </w:rPr>
        <w:t>(</w:t>
      </w:r>
      <w:r>
        <w:rPr>
          <w:rtl w:val="true"/>
        </w:rPr>
        <w:t>ראו</w:t>
      </w:r>
      <w:r>
        <w:rPr>
          <w:rtl w:val="true"/>
        </w:rPr>
        <w:t xml:space="preserve">, </w:t>
      </w:r>
      <w:r>
        <w:rPr>
          <w:rFonts w:ascii="Century" w:hAnsi="Century" w:cs="Century"/>
          <w:sz w:val="22"/>
          <w:sz w:val="22"/>
          <w:rtl w:val="true"/>
        </w:rPr>
        <w:t>מבין רבים</w:t>
      </w:r>
      <w:r>
        <w:rPr>
          <w:rFonts w:cs="Century" w:ascii="Century" w:hAnsi="Century"/>
          <w:sz w:val="22"/>
          <w:rtl w:val="true"/>
        </w:rPr>
        <w:t xml:space="preserve">, </w:t>
      </w:r>
      <w:hyperlink r:id="rId4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236/88</w:t>
        </w:r>
      </w:hyperlink>
      <w:r>
        <w:rPr>
          <w:rFonts w:cs="Century" w:ascii="Century" w:hAnsi="Century"/>
          <w:sz w:val="22"/>
          <w:rtl w:val="true"/>
        </w:rPr>
        <w:t xml:space="preserve"> </w:t>
      </w:r>
      <w:r>
        <w:rPr>
          <w:rFonts w:ascii="Century" w:hAnsi="Century" w:cs="Miriam"/>
          <w:b/>
          <w:b/>
          <w:spacing w:val="0"/>
          <w:sz w:val="22"/>
          <w:sz w:val="22"/>
          <w:szCs w:val="24"/>
          <w:rtl w:val="true"/>
        </w:rPr>
        <w:t>איזמן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מד</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485</w:t>
      </w:r>
      <w:r>
        <w:rPr>
          <w:rFonts w:cs="Century" w:ascii="Century" w:hAnsi="Century"/>
          <w:sz w:val="22"/>
          <w:rtl w:val="true"/>
        </w:rPr>
        <w:t xml:space="preserve">, </w:t>
      </w:r>
      <w:r>
        <w:rPr>
          <w:rFonts w:cs="Century" w:ascii="Century" w:hAnsi="Century"/>
          <w:sz w:val="22"/>
        </w:rPr>
        <w:t>510-508</w:t>
      </w:r>
      <w:r>
        <w:rPr>
          <w:rFonts w:cs="Century" w:ascii="Century" w:hAnsi="Century"/>
          <w:sz w:val="22"/>
          <w:rtl w:val="true"/>
        </w:rPr>
        <w:t xml:space="preserve"> (</w:t>
      </w:r>
      <w:r>
        <w:rPr>
          <w:rFonts w:cs="Century" w:ascii="Century" w:hAnsi="Century"/>
          <w:sz w:val="22"/>
        </w:rPr>
        <w:t>1990</w:t>
      </w:r>
      <w:r>
        <w:rPr>
          <w:rFonts w:cs="Century" w:ascii="Century" w:hAnsi="Century"/>
          <w:sz w:val="22"/>
          <w:rtl w:val="true"/>
        </w:rPr>
        <w:t xml:space="preserve">); </w:t>
      </w:r>
      <w:hyperlink r:id="rId4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867/85</w:t>
        </w:r>
      </w:hyperlink>
      <w:r>
        <w:rPr>
          <w:rFonts w:cs="Century" w:ascii="Century" w:hAnsi="Century"/>
          <w:sz w:val="22"/>
          <w:rtl w:val="true"/>
        </w:rPr>
        <w:t xml:space="preserve"> </w:t>
      </w:r>
      <w:r>
        <w:rPr>
          <w:rFonts w:ascii="Century" w:hAnsi="Century" w:cs="Miriam"/>
          <w:b/>
          <w:b/>
          <w:spacing w:val="0"/>
          <w:sz w:val="22"/>
          <w:sz w:val="22"/>
          <w:szCs w:val="24"/>
          <w:rtl w:val="true"/>
        </w:rPr>
        <w:t>מחרבי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מב</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802</w:t>
      </w:r>
      <w:r>
        <w:rPr>
          <w:rFonts w:cs="Century" w:ascii="Century" w:hAnsi="Century"/>
          <w:sz w:val="22"/>
          <w:rtl w:val="true"/>
        </w:rPr>
        <w:t xml:space="preserve">, </w:t>
      </w:r>
      <w:r>
        <w:rPr>
          <w:rFonts w:cs="Century" w:ascii="Century" w:hAnsi="Century"/>
          <w:sz w:val="22"/>
        </w:rPr>
        <w:t>810-808</w:t>
      </w:r>
      <w:r>
        <w:rPr>
          <w:rFonts w:cs="Century" w:ascii="Century" w:hAnsi="Century"/>
          <w:sz w:val="22"/>
          <w:rtl w:val="true"/>
        </w:rPr>
        <w:t xml:space="preserve"> (</w:t>
      </w:r>
      <w:r>
        <w:rPr>
          <w:rFonts w:cs="Century" w:ascii="Century" w:hAnsi="Century"/>
          <w:sz w:val="22"/>
        </w:rPr>
        <w:t>1988</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מחרבי</w:t>
      </w:r>
      <w:r>
        <w:rPr>
          <w:rFonts w:cs="Century" w:ascii="Century" w:hAnsi="Century"/>
          <w:sz w:val="22"/>
          <w:rtl w:val="true"/>
        </w:rPr>
        <w:t xml:space="preserve">); </w:t>
      </w:r>
      <w:hyperlink r:id="rId4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8005/04</w:t>
        </w:r>
      </w:hyperlink>
      <w:r>
        <w:rPr>
          <w:rFonts w:cs="Century" w:ascii="Century" w:hAnsi="Century"/>
          <w:sz w:val="22"/>
          <w:rtl w:val="true"/>
        </w:rPr>
        <w:t xml:space="preserve"> </w:t>
      </w:r>
      <w:r>
        <w:rPr>
          <w:rFonts w:ascii="Century" w:hAnsi="Century" w:cs="Miriam"/>
          <w:b/>
          <w:b/>
          <w:spacing w:val="0"/>
          <w:sz w:val="22"/>
          <w:sz w:val="22"/>
          <w:szCs w:val="24"/>
          <w:rtl w:val="true"/>
        </w:rPr>
        <w:t>אברוטין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45</w:t>
      </w:r>
      <w:r>
        <w:rPr>
          <w:rFonts w:cs="Century" w:ascii="Century" w:hAnsi="Century"/>
          <w:sz w:val="22"/>
          <w:rtl w:val="true"/>
        </w:rPr>
        <w:t xml:space="preserve"> (</w:t>
      </w:r>
      <w:r>
        <w:rPr>
          <w:rFonts w:cs="Century" w:ascii="Century" w:hAnsi="Century"/>
          <w:sz w:val="22"/>
        </w:rPr>
        <w:t>29.3.2007</w:t>
      </w:r>
      <w:r>
        <w:rPr>
          <w:rFonts w:cs="Century" w:ascii="Century" w:hAnsi="Century"/>
          <w:sz w:val="22"/>
          <w:rtl w:val="true"/>
        </w:rPr>
        <w:t xml:space="preserve">); </w:t>
      </w:r>
      <w:hyperlink r:id="rId4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7894/03</w:t>
        </w:r>
      </w:hyperlink>
      <w:r>
        <w:rPr>
          <w:rFonts w:cs="Century" w:ascii="Century" w:hAnsi="Century"/>
          <w:sz w:val="22"/>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האד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33-31</w:t>
      </w:r>
      <w:r>
        <w:rPr>
          <w:rFonts w:cs="Century" w:ascii="Century" w:hAnsi="Century"/>
          <w:sz w:val="22"/>
          <w:rtl w:val="true"/>
        </w:rPr>
        <w:t xml:space="preserve"> (</w:t>
      </w:r>
      <w:r>
        <w:rPr>
          <w:rFonts w:cs="Century" w:ascii="Century" w:hAnsi="Century"/>
          <w:sz w:val="22"/>
        </w:rPr>
        <w:t>18.2.2008</w:t>
      </w:r>
      <w:r>
        <w:rPr>
          <w:rFonts w:cs="Century" w:ascii="Century" w:hAnsi="Century"/>
          <w:sz w:val="22"/>
          <w:rtl w:val="true"/>
        </w:rPr>
        <w:t xml:space="preserve">); </w:t>
      </w:r>
      <w:r>
        <w:rPr>
          <w:rtl w:val="true"/>
        </w:rPr>
        <w:t xml:space="preserve">יורם רבין ויניב ואקי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עונשין</w:t>
      </w:r>
      <w:r>
        <w:rPr>
          <w:rtl w:val="true"/>
        </w:rPr>
        <w:t xml:space="preserve"> </w:t>
      </w:r>
      <w:r>
        <w:rPr/>
        <w:t>487-471</w:t>
      </w:r>
      <w:r>
        <w:rPr>
          <w:rtl w:val="true"/>
        </w:rPr>
        <w:t xml:space="preserve"> (</w:t>
      </w:r>
      <w:r>
        <w:rPr>
          <w:rtl w:val="true"/>
        </w:rPr>
        <w:t>מהדורה שנייה</w:t>
      </w:r>
      <w:r>
        <w:rPr>
          <w:rtl w:val="true"/>
        </w:rPr>
        <w:t xml:space="preserve">, </w:t>
      </w:r>
      <w:r>
        <w:rPr/>
        <w:t>2010</w:t>
      </w:r>
      <w:r>
        <w:rPr>
          <w:rtl w:val="true"/>
        </w:rPr>
        <w:t>) (</w:t>
      </w:r>
      <w:r>
        <w:rPr>
          <w:rtl w:val="true"/>
        </w:rPr>
        <w:t>להלן</w:t>
      </w:r>
      <w:r>
        <w:rPr>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קמא סבר כי ניתן לייחס למשיב כוונה שכזו</w:t>
      </w:r>
      <w:r>
        <w:rPr>
          <w:rtl w:val="true"/>
        </w:rPr>
        <w:t xml:space="preserve">, </w:t>
      </w:r>
      <w:r>
        <w:rPr>
          <w:rtl w:val="true"/>
        </w:rPr>
        <w:t>ודחה את טענת המשיב כי כוונתו בעת שהסיע את המתלוננת מקריית שמונה לצימר בשאר יישוב הייתה לקיים עם המתלוננת יחסי מין בהסכמה בלבד</w:t>
      </w:r>
      <w:r>
        <w:rPr>
          <w:rtl w:val="true"/>
        </w:rPr>
        <w:t xml:space="preserve">. </w:t>
      </w:r>
      <w:r>
        <w:rPr>
          <w:rtl w:val="true"/>
        </w:rPr>
        <w:t>למסקנה זו הגיע על בסיס השכל הישר</w:t>
      </w:r>
      <w:r>
        <w:rPr>
          <w:rtl w:val="true"/>
        </w:rPr>
        <w:t>, "</w:t>
      </w:r>
      <w:r>
        <w:rPr>
          <w:rFonts w:ascii="Century" w:hAnsi="Century" w:cs="Miriam"/>
          <w:b/>
          <w:b/>
          <w:spacing w:val="0"/>
          <w:sz w:val="22"/>
          <w:sz w:val="22"/>
          <w:szCs w:val="24"/>
          <w:rtl w:val="true"/>
        </w:rPr>
        <w:t>ולאור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פעולותיו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המוקדמות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שפורטו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השהות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בצימר</w:t>
      </w:r>
      <w:r>
        <w:rPr>
          <w:rtl w:val="true"/>
        </w:rPr>
        <w:t>" (</w:t>
      </w:r>
      <w:r>
        <w:rPr>
          <w:rtl w:val="true"/>
        </w:rPr>
        <w:t xml:space="preserve">פסקה </w:t>
      </w:r>
      <w:r>
        <w:rPr/>
        <w:t>243</w:t>
      </w:r>
      <w:r>
        <w:rPr>
          <w:rtl w:val="true"/>
        </w:rPr>
        <w:t xml:space="preserve">). </w:t>
      </w:r>
      <w:r>
        <w:rPr>
          <w:rtl w:val="true"/>
        </w:rPr>
        <w:t>ואולם</w:t>
      </w:r>
      <w:r>
        <w:rPr>
          <w:rtl w:val="true"/>
        </w:rPr>
        <w:t xml:space="preserve">, </w:t>
      </w:r>
      <w:r>
        <w:rPr>
          <w:rtl w:val="true"/>
        </w:rPr>
        <w:t>ספק בעיני אם קביעה זו מבוססת דיה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אומר בזהירות</w:t>
      </w:r>
      <w:r>
        <w:rPr>
          <w:rtl w:val="true"/>
        </w:rPr>
        <w:t xml:space="preserve">, </w:t>
      </w:r>
      <w:r>
        <w:rPr>
          <w:rtl w:val="true"/>
        </w:rPr>
        <w:t>ומבלי להפחית ולו במעט ממידת החומרה שבמעשיו של המשיב</w:t>
      </w:r>
      <w:r>
        <w:rPr>
          <w:rtl w:val="true"/>
        </w:rPr>
        <w:t xml:space="preserve">: </w:t>
      </w:r>
      <w:r>
        <w:rPr>
          <w:rtl w:val="true"/>
        </w:rPr>
        <w:t>בנסיבות המקרה</w:t>
      </w:r>
      <w:r>
        <w:rPr>
          <w:rtl w:val="true"/>
        </w:rPr>
        <w:t xml:space="preserve">, </w:t>
      </w:r>
      <w:r>
        <w:rPr>
          <w:rtl w:val="true"/>
        </w:rPr>
        <w:t>אינני סבור כי הוכח מעבר לכל ספק סביר</w:t>
      </w:r>
      <w:r>
        <w:rPr>
          <w:rtl w:val="true"/>
        </w:rPr>
        <w:t xml:space="preserve">, </w:t>
      </w:r>
      <w:r>
        <w:rPr>
          <w:rtl w:val="true"/>
        </w:rPr>
        <w:t>שבמועד בו אסף המשיב את המתלוננת ברכבו אל הצימר</w:t>
      </w:r>
      <w:r>
        <w:rPr>
          <w:rtl w:val="true"/>
        </w:rPr>
        <w:t xml:space="preserve">, </w:t>
      </w:r>
      <w:r>
        <w:rPr>
          <w:rtl w:val="true"/>
        </w:rPr>
        <w:t>ובמהלך הנסיעה</w:t>
      </w:r>
      <w:r>
        <w:rPr>
          <w:rtl w:val="true"/>
        </w:rPr>
        <w:t xml:space="preserve">, </w:t>
      </w:r>
      <w:r>
        <w:rPr>
          <w:rtl w:val="true"/>
        </w:rPr>
        <w:t>התגבשה בלבו כוונה לבצע עבירת מין במתלוננת</w:t>
      </w:r>
      <w:r>
        <w:rPr>
          <w:rtl w:val="true"/>
        </w:rPr>
        <w:t xml:space="preserve">. </w:t>
      </w:r>
      <w:r>
        <w:rPr>
          <w:rtl w:val="true"/>
        </w:rPr>
        <w:t>לדידי</w:t>
      </w:r>
      <w:r>
        <w:rPr>
          <w:rtl w:val="true"/>
        </w:rPr>
        <w:t xml:space="preserve">, </w:t>
      </w:r>
      <w:r>
        <w:rPr>
          <w:rtl w:val="true"/>
        </w:rPr>
        <w:t>קשה לשלול</w:t>
      </w:r>
      <w:r>
        <w:rPr>
          <w:rtl w:val="true"/>
        </w:rPr>
        <w:t xml:space="preserve">, </w:t>
      </w:r>
      <w:r>
        <w:rPr>
          <w:rtl w:val="true"/>
        </w:rPr>
        <w:t>כחלופה אפשרית</w:t>
      </w:r>
      <w:r>
        <w:rPr>
          <w:rtl w:val="true"/>
        </w:rPr>
        <w:t xml:space="preserve">, </w:t>
      </w:r>
      <w:r>
        <w:rPr>
          <w:rtl w:val="true"/>
        </w:rPr>
        <w:t>את האפשרות שכוונה זו התגבשה אצלו אך בשלב מאוחר יותר</w:t>
      </w:r>
      <w:r>
        <w:rPr>
          <w:rtl w:val="true"/>
        </w:rPr>
        <w:t xml:space="preserve">, </w:t>
      </w:r>
      <w:r>
        <w:rPr>
          <w:rtl w:val="true"/>
        </w:rPr>
        <w:t>באופן ספונטני עובר לביצוע המעשים המגונים במתלוננת</w:t>
      </w:r>
      <w:r>
        <w:rPr>
          <w:rtl w:val="true"/>
        </w:rPr>
        <w:t xml:space="preserve">, </w:t>
      </w:r>
      <w:r>
        <w:rPr>
          <w:rtl w:val="true"/>
        </w:rPr>
        <w:t>בעוד שבשלב בו אסף המשיב את המתלוננת ברכבו</w:t>
      </w:r>
      <w:r>
        <w:rPr>
          <w:rtl w:val="true"/>
        </w:rPr>
        <w:t xml:space="preserve">, </w:t>
      </w:r>
      <w:r>
        <w:rPr>
          <w:rtl w:val="true"/>
        </w:rPr>
        <w:t>והסיעה לצימר</w:t>
      </w:r>
      <w:r>
        <w:rPr>
          <w:rtl w:val="true"/>
        </w:rPr>
        <w:t xml:space="preserve">, </w:t>
      </w:r>
      <w:r>
        <w:rPr>
          <w:rtl w:val="true"/>
        </w:rPr>
        <w:t xml:space="preserve">אחז בתקווה </w:t>
      </w:r>
      <w:r>
        <w:rPr>
          <w:rtl w:val="true"/>
        </w:rPr>
        <w:t>(</w:t>
      </w:r>
      <w:r>
        <w:rPr>
          <w:rtl w:val="true"/>
        </w:rPr>
        <w:t>שהתבררה בדיעבד כנעדרת בסיס</w:t>
      </w:r>
      <w:r>
        <w:rPr>
          <w:rtl w:val="true"/>
        </w:rPr>
        <w:t xml:space="preserve">) </w:t>
      </w:r>
      <w:r>
        <w:rPr>
          <w:rtl w:val="true"/>
        </w:rPr>
        <w:t>כי יקיימו יחסי מין בהסכמה</w:t>
      </w:r>
      <w:r>
        <w:rPr>
          <w:rtl w:val="true"/>
        </w:rPr>
        <w:t xml:space="preserve">. </w:t>
      </w:r>
      <w:r>
        <w:rPr>
          <w:rtl w:val="true"/>
        </w:rPr>
        <w:t>לעניין זה אינני סבור כי אחריתם של הדברים מעידה בהכרח על ראשיתם</w:t>
      </w:r>
      <w:r>
        <w:rPr>
          <w:rtl w:val="true"/>
        </w:rPr>
        <w:t xml:space="preserve">, </w:t>
      </w:r>
      <w:r>
        <w:rPr>
          <w:rtl w:val="true"/>
        </w:rPr>
        <w:t>או כי ממעשה התרמית נלמד מניה וביה על הכוונה לבצע עבירת מין</w:t>
      </w:r>
      <w:r>
        <w:rPr>
          <w:rtl w:val="true"/>
        </w:rPr>
        <w:t xml:space="preserve">, </w:t>
      </w:r>
      <w:r>
        <w:rPr>
          <w:rtl w:val="true"/>
        </w:rPr>
        <w:t>ואף מבחן השכל הישר אינו מוביל בהכרח להתרשמותי למסקנה האמורה</w:t>
      </w:r>
      <w:r>
        <w:rPr>
          <w:rtl w:val="true"/>
        </w:rPr>
        <w:t xml:space="preserve">. </w:t>
      </w:r>
      <w:r>
        <w:rPr>
          <w:rFonts w:ascii="Century" w:hAnsi="Century" w:cs="Century"/>
          <w:sz w:val="22"/>
          <w:sz w:val="22"/>
          <w:rtl w:val="true"/>
        </w:rPr>
        <w:t>ויודגש בשנית</w:t>
      </w:r>
      <w:r>
        <w:rPr>
          <w:rFonts w:cs="Century" w:ascii="Century" w:hAnsi="Century"/>
          <w:sz w:val="22"/>
          <w:rtl w:val="true"/>
        </w:rPr>
        <w:t xml:space="preserve">: </w:t>
      </w:r>
      <w:r>
        <w:rPr>
          <w:rFonts w:ascii="Century" w:hAnsi="Century" w:cs="Century"/>
          <w:sz w:val="22"/>
          <w:sz w:val="22"/>
          <w:rtl w:val="true"/>
        </w:rPr>
        <w:t>הדברים אמורים במישור העקרוני</w:t>
      </w:r>
      <w:r>
        <w:rPr>
          <w:rFonts w:cs="Century" w:ascii="Century" w:hAnsi="Century"/>
          <w:sz w:val="22"/>
          <w:rtl w:val="true"/>
        </w:rPr>
        <w:t xml:space="preserve">, </w:t>
      </w:r>
      <w:r>
        <w:rPr>
          <w:rFonts w:ascii="Century" w:hAnsi="Century" w:cs="Century"/>
          <w:sz w:val="22"/>
          <w:sz w:val="22"/>
          <w:rtl w:val="true"/>
        </w:rPr>
        <w:t>ומבלי להתייחס</w:t>
      </w:r>
      <w:r>
        <w:rPr>
          <w:rFonts w:cs="Century" w:ascii="Century" w:hAnsi="Century"/>
          <w:sz w:val="22"/>
          <w:rtl w:val="true"/>
        </w:rPr>
        <w:t xml:space="preserve">, </w:t>
      </w:r>
      <w:r>
        <w:rPr>
          <w:rFonts w:ascii="Century" w:hAnsi="Century" w:cs="Century"/>
          <w:sz w:val="22"/>
          <w:sz w:val="22"/>
          <w:rtl w:val="true"/>
        </w:rPr>
        <w:t>בשלב זה</w:t>
      </w:r>
      <w:r>
        <w:rPr>
          <w:rFonts w:cs="Century" w:ascii="Century" w:hAnsi="Century"/>
          <w:sz w:val="22"/>
          <w:rtl w:val="true"/>
        </w:rPr>
        <w:t xml:space="preserve">, </w:t>
      </w:r>
      <w:r>
        <w:rPr>
          <w:rFonts w:ascii="Century" w:hAnsi="Century" w:cs="Century"/>
          <w:sz w:val="22"/>
          <w:sz w:val="22"/>
          <w:rtl w:val="true"/>
        </w:rPr>
        <w:t>למעשיו החמורים של המשיב</w:t>
      </w:r>
      <w:r>
        <w:rPr>
          <w:rFonts w:cs="Century" w:ascii="Century" w:hAnsi="Century"/>
          <w:sz w:val="22"/>
          <w:rtl w:val="true"/>
        </w:rPr>
        <w:t xml:space="preserve">, </w:t>
      </w:r>
      <w:r>
        <w:rPr>
          <w:rFonts w:ascii="Century" w:hAnsi="Century" w:cs="Century"/>
          <w:sz w:val="22"/>
          <w:sz w:val="22"/>
          <w:rtl w:val="true"/>
        </w:rPr>
        <w:t>אשר ראויים לכל גינוי והוקעה</w:t>
      </w:r>
      <w:r>
        <w:rPr>
          <w:rFonts w:cs="Century" w:ascii="Century" w:hAnsi="Century"/>
          <w:sz w:val="22"/>
          <w:rtl w:val="true"/>
        </w:rPr>
        <w:t>.</w:t>
      </w:r>
    </w:p>
    <w:p>
      <w:pPr>
        <w:pStyle w:val="Ruller41"/>
        <w:ind w:end="0"/>
        <w:jc w:val="both"/>
        <w:rPr/>
      </w:pPr>
      <w:r>
        <w:rPr>
          <w:rtl w:val="true"/>
        </w:rPr>
      </w:r>
    </w:p>
    <w:p>
      <w:pPr>
        <w:pStyle w:val="Ruller42"/>
        <w:numPr>
          <w:ilvl w:val="0"/>
          <w:numId w:val="1"/>
        </w:numPr>
        <w:ind w:hanging="0" w:start="0" w:end="0"/>
        <w:jc w:val="both"/>
        <w:rPr>
          <w:rFonts w:ascii="Century" w:hAnsi="Century" w:cs="Century"/>
          <w:sz w:val="22"/>
        </w:rPr>
      </w:pPr>
      <w:r>
        <w:rPr>
          <w:rtl w:val="true"/>
        </w:rPr>
        <w:t>המדינה טענה כי ניתן בכל זאת להתגבר על דרישת הבו</w:t>
      </w:r>
      <w:r>
        <w:rPr>
          <w:rtl w:val="true"/>
        </w:rPr>
        <w:t>-</w:t>
      </w:r>
      <w:r>
        <w:rPr>
          <w:rtl w:val="true"/>
        </w:rPr>
        <w:t>זמניות באמצעות החלת אחד החריגים לו</w:t>
      </w:r>
      <w:r>
        <w:rPr>
          <w:rtl w:val="true"/>
        </w:rPr>
        <w:t xml:space="preserve">. </w:t>
      </w:r>
      <w:r>
        <w:rPr>
          <w:rtl w:val="true"/>
        </w:rPr>
        <w:t xml:space="preserve">ייתכנו מצבים בהם התנהגות הנאשם נמשכה על פני רצף של זמן </w:t>
      </w:r>
      <w:r>
        <w:rPr>
          <w:rtl w:val="true"/>
        </w:rPr>
        <w:t>(</w:t>
      </w:r>
      <w:r>
        <w:rPr>
          <w:rtl w:val="true"/>
        </w:rPr>
        <w:t>ולא כמעשה רגעי</w:t>
      </w:r>
      <w:r>
        <w:rPr>
          <w:rtl w:val="true"/>
        </w:rPr>
        <w:t xml:space="preserve">), </w:t>
      </w:r>
      <w:r>
        <w:rPr>
          <w:rtl w:val="true"/>
        </w:rPr>
        <w:t>בעוד שהמחשבה הפלילית התגבשה במהלך ביצוע המעשים</w:t>
      </w:r>
      <w:r>
        <w:rPr>
          <w:rtl w:val="true"/>
        </w:rPr>
        <w:t xml:space="preserve">, </w:t>
      </w:r>
      <w:r>
        <w:rPr>
          <w:rtl w:val="true"/>
        </w:rPr>
        <w:t>ולאו דווקא בתחילתם</w:t>
      </w:r>
      <w:r>
        <w:rPr>
          <w:rtl w:val="true"/>
        </w:rPr>
        <w:t xml:space="preserve">. </w:t>
      </w:r>
      <w:r>
        <w:rPr>
          <w:rFonts w:ascii="FrankRuehl" w:hAnsi="FrankRuehl" w:cs="FrankRuehl"/>
          <w:rtl w:val="true"/>
        </w:rPr>
        <w:t>במקרים מסוג זה</w:t>
      </w:r>
      <w:r>
        <w:rPr>
          <w:rFonts w:cs="FrankRuehl" w:ascii="FrankRuehl" w:hAnsi="FrankRuehl"/>
          <w:rtl w:val="true"/>
        </w:rPr>
        <w:t xml:space="preserve">, </w:t>
      </w:r>
      <w:r>
        <w:rPr>
          <w:rFonts w:ascii="FrankRuehl" w:hAnsi="FrankRuehl" w:cs="FrankRuehl"/>
          <w:rtl w:val="true"/>
        </w:rPr>
        <w:t>נקבע</w:t>
      </w:r>
      <w:r>
        <w:rPr>
          <w:rFonts w:cs="FrankRuehl" w:ascii="FrankRuehl" w:hAnsi="FrankRuehl"/>
          <w:rtl w:val="true"/>
        </w:rPr>
        <w:t xml:space="preserve">, </w:t>
      </w:r>
      <w:r>
        <w:rPr>
          <w:rFonts w:ascii="FrankRuehl" w:hAnsi="FrankRuehl" w:cs="FrankRuehl"/>
          <w:rtl w:val="true"/>
        </w:rPr>
        <w:t xml:space="preserve">כי </w:t>
      </w:r>
      <w:r>
        <w:rPr>
          <w:rFonts w:ascii="FrankRuehl" w:hAnsi="FrankRuehl" w:cs="FrankRuehl"/>
          <w:rtl w:val="true"/>
        </w:rPr>
        <w:t>דרישת הבו</w:t>
      </w:r>
      <w:r>
        <w:rPr>
          <w:rFonts w:cs="FrankRuehl" w:ascii="FrankRuehl" w:hAnsi="FrankRuehl"/>
          <w:rtl w:val="true"/>
        </w:rPr>
        <w:t>-</w:t>
      </w:r>
      <w:r>
        <w:rPr>
          <w:rFonts w:ascii="FrankRuehl" w:hAnsi="FrankRuehl" w:cs="FrankRuehl"/>
          <w:rtl w:val="true"/>
        </w:rPr>
        <w:t xml:space="preserve">זמניות </w:t>
      </w:r>
      <w:r>
        <w:rPr>
          <w:rFonts w:ascii="FrankRuehl" w:hAnsi="FrankRuehl" w:cs="FrankRuehl"/>
          <w:rtl w:val="true"/>
        </w:rPr>
        <w:t>תק</w:t>
      </w:r>
      <w:r>
        <w:rPr>
          <w:rFonts w:ascii="FrankRuehl" w:hAnsi="FrankRuehl" w:cs="FrankRuehl"/>
          <w:rtl w:val="true"/>
        </w:rPr>
        <w:t>ו</w:t>
      </w:r>
      <w:r>
        <w:rPr>
          <w:rFonts w:ascii="FrankRuehl" w:hAnsi="FrankRuehl" w:cs="FrankRuehl"/>
          <w:rtl w:val="true"/>
        </w:rPr>
        <w:t>ים</w:t>
      </w:r>
      <w:r>
        <w:rPr>
          <w:rFonts w:cs="FrankRuehl" w:ascii="FrankRuehl" w:hAnsi="FrankRuehl"/>
          <w:rtl w:val="true"/>
        </w:rPr>
        <w:t xml:space="preserve">, </w:t>
      </w:r>
      <w:r>
        <w:rPr>
          <w:rFonts w:ascii="FrankRuehl" w:hAnsi="FrankRuehl" w:cs="FrankRuehl"/>
          <w:rtl w:val="true"/>
        </w:rPr>
        <w:t>גם אם היסוד הנפשי התגבש בשלב מאוחר</w:t>
      </w:r>
      <w:r>
        <w:rPr>
          <w:rFonts w:cs="FrankRuehl" w:ascii="FrankRuehl" w:hAnsi="FrankRuehl"/>
          <w:rtl w:val="true"/>
        </w:rPr>
        <w:t xml:space="preserve">, </w:t>
      </w:r>
      <w:r>
        <w:rPr>
          <w:rFonts w:ascii="FrankRuehl" w:hAnsi="FrankRuehl" w:cs="FrankRuehl"/>
          <w:rtl w:val="true"/>
        </w:rPr>
        <w:t>ובתנאי שההתנהגות הפלילית עדיין נמשכת</w:t>
      </w:r>
      <w:r>
        <w:rPr>
          <w:rFonts w:ascii="FrankRuehl" w:hAnsi="FrankRuehl" w:cs="FrankRuehl"/>
          <w:rtl w:val="true"/>
        </w:rPr>
        <w:t xml:space="preserve"> </w:t>
      </w:r>
      <w:r>
        <w:rPr>
          <w:rFonts w:cs="FrankRuehl" w:ascii="FrankRuehl" w:hAnsi="FrankRuehl"/>
          <w:rtl w:val="true"/>
        </w:rPr>
        <w:t>(</w:t>
      </w:r>
      <w:r>
        <w:rPr>
          <w:rFonts w:ascii="FrankRuehl" w:hAnsi="FrankRuehl" w:cs="FrankRuehl"/>
          <w:rtl w:val="true"/>
        </w:rPr>
        <w:t>להלן</w:t>
      </w:r>
      <w:r>
        <w:rPr>
          <w:rFonts w:cs="FrankRuehl" w:ascii="FrankRuehl" w:hAnsi="FrankRuehl"/>
          <w:rtl w:val="true"/>
        </w:rPr>
        <w:t xml:space="preserve">: </w:t>
      </w:r>
      <w:r>
        <w:rPr>
          <w:rFonts w:ascii="Century" w:hAnsi="Century" w:cs="Miriam"/>
          <w:b/>
          <w:b/>
          <w:spacing w:val="0"/>
          <w:sz w:val="22"/>
          <w:sz w:val="22"/>
          <w:szCs w:val="24"/>
          <w:rtl w:val="true"/>
        </w:rPr>
        <w:t>חריג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הנמשכת</w:t>
      </w:r>
      <w:r>
        <w:rPr>
          <w:rFonts w:cs="FrankRuehl" w:ascii="FrankRuehl" w:hAnsi="FrankRuehl"/>
          <w:rtl w:val="true"/>
        </w:rPr>
        <w:t xml:space="preserve">. </w:t>
      </w:r>
      <w:r>
        <w:rPr>
          <w:rFonts w:ascii="FrankRuehl" w:hAnsi="FrankRuehl" w:cs="FrankRuehl"/>
          <w:rtl w:val="true"/>
        </w:rPr>
        <w:t xml:space="preserve">לחריג זה </w:t>
      </w:r>
      <w:r>
        <w:rPr>
          <w:rFonts w:ascii="FrankRuehl" w:hAnsi="FrankRuehl" w:cs="FrankRuehl"/>
          <w:rtl w:val="true"/>
        </w:rPr>
        <w:t>ראו</w:t>
      </w:r>
      <w:r>
        <w:rPr>
          <w:rFonts w:cs="FrankRuehl" w:ascii="FrankRuehl" w:hAnsi="FrankRuehl"/>
          <w:rtl w:val="true"/>
        </w:rPr>
        <w:t xml:space="preserve">, </w:t>
      </w:r>
      <w:r>
        <w:rPr>
          <w:rFonts w:ascii="FrankRuehl" w:hAnsi="FrankRuehl" w:cs="FrankRuehl"/>
          <w:rtl w:val="true"/>
        </w:rPr>
        <w:t>בין היתר</w:t>
      </w:r>
      <w:r>
        <w:rPr>
          <w:rFonts w:cs="FrankRuehl" w:ascii="FrankRuehl" w:hAnsi="FrankRuehl"/>
          <w:rtl w:val="true"/>
        </w:rPr>
        <w:t>,</w:t>
      </w:r>
      <w:r>
        <w:rPr>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מחרבי</w:t>
      </w:r>
      <w:r>
        <w:rPr>
          <w:rtl w:val="true"/>
        </w:rPr>
        <w:t xml:space="preserve">, </w:t>
      </w:r>
      <w:r>
        <w:rPr/>
        <w:t>809-808</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8107/10</w:t>
        </w:r>
      </w:hyperlink>
      <w:r>
        <w:rPr>
          <w:rtl w:val="true"/>
        </w:rPr>
        <w:t xml:space="preserve"> </w:t>
      </w:r>
      <w:r>
        <w:rPr>
          <w:rFonts w:ascii="Century" w:hAnsi="Century" w:cs="Miriam"/>
          <w:b/>
          <w:b/>
          <w:spacing w:val="0"/>
          <w:sz w:val="22"/>
          <w:sz w:val="22"/>
          <w:szCs w:val="24"/>
          <w:rtl w:val="true"/>
        </w:rPr>
        <w:t>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38-33</w:t>
      </w:r>
      <w:r>
        <w:rPr>
          <w:rtl w:val="true"/>
        </w:rPr>
        <w:t xml:space="preserve"> (</w:t>
      </w:r>
      <w:r>
        <w:rPr/>
        <w:t>9.9.2013</w:t>
      </w:r>
      <w:r>
        <w:rPr>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tl w:val="true"/>
        </w:rPr>
        <w:t xml:space="preserve">, </w:t>
      </w:r>
      <w:r>
        <w:rPr>
          <w:rtl w:val="true"/>
        </w:rPr>
        <w:t>עמ</w:t>
      </w:r>
      <w:r>
        <w:rPr>
          <w:rtl w:val="true"/>
        </w:rPr>
        <w:t xml:space="preserve">' </w:t>
      </w:r>
      <w:r>
        <w:rPr/>
        <w:t>482-479</w:t>
      </w:r>
      <w:r>
        <w:rPr>
          <w:rtl w:val="true"/>
        </w:rPr>
        <w:t xml:space="preserve">; </w:t>
      </w:r>
      <w:r>
        <w:rPr>
          <w:rtl w:val="true"/>
        </w:rPr>
        <w:t>ש</w:t>
      </w:r>
      <w:r>
        <w:rPr>
          <w:rtl w:val="true"/>
        </w:rPr>
        <w:t>"</w:t>
      </w:r>
      <w:r>
        <w:rPr>
          <w:rtl w:val="true"/>
        </w:rPr>
        <w:t xml:space="preserve">ז </w:t>
      </w:r>
      <w:hyperlink r:id="rId50">
        <w:r>
          <w:rPr>
            <w:rStyle w:val="Hyperlink"/>
            <w:color w:val="0000FF"/>
            <w:u w:val="single"/>
            <w:rtl w:val="true"/>
          </w:rPr>
          <w:t>פלר</w:t>
        </w:r>
        <w:r>
          <w:rPr>
            <w:rStyle w:val="Hyperlink"/>
            <w:color w:val="0000FF"/>
            <w:u w:val="single"/>
            <w:rtl w:val="true"/>
          </w:rPr>
          <w:t xml:space="preserve"> </w:t>
        </w:r>
        <w:r>
          <w:rPr>
            <w:rStyle w:val="Hyperlink"/>
            <w:color w:val="0000FF"/>
            <w:u w:val="single"/>
            <w:rtl w:val="true"/>
          </w:rPr>
          <w:t>יסודות</w:t>
        </w:r>
        <w:r>
          <w:rPr>
            <w:rStyle w:val="Hyperlink"/>
            <w:color w:val="0000FF"/>
            <w:u w:val="single"/>
            <w:rtl w:val="true"/>
          </w:rPr>
          <w:t xml:space="preserve"> </w:t>
        </w:r>
        <w:r>
          <w:rPr>
            <w:rStyle w:val="Hyperlink"/>
            <w:color w:val="0000FF"/>
            <w:u w:val="single"/>
            <w:rtl w:val="true"/>
          </w:rPr>
          <w:t>בדיני</w:t>
        </w:r>
        <w:r>
          <w:rPr>
            <w:rStyle w:val="Hyperlink"/>
            <w:color w:val="0000FF"/>
            <w:u w:val="single"/>
            <w:rtl w:val="true"/>
          </w:rPr>
          <w:t xml:space="preserve"> </w:t>
        </w:r>
        <w:r>
          <w:rPr>
            <w:rStyle w:val="Hyperlink"/>
            <w:color w:val="0000FF"/>
            <w:u w:val="single"/>
            <w:rtl w:val="true"/>
          </w:rPr>
          <w:t>עונשין</w:t>
        </w:r>
      </w:hyperlink>
      <w:r>
        <w:rPr>
          <w:rtl w:val="true"/>
        </w:rPr>
        <w:t xml:space="preserve"> כרך </w:t>
      </w:r>
      <w:r>
        <w:rPr>
          <w:rtl w:val="true"/>
        </w:rPr>
        <w:t>א</w:t>
      </w:r>
      <w:r>
        <w:rPr>
          <w:rtl w:val="true"/>
        </w:rPr>
        <w:t xml:space="preserve">' </w:t>
      </w:r>
      <w:r>
        <w:rPr/>
        <w:t>135-13</w:t>
      </w:r>
      <w:r>
        <w:rPr/>
        <w:t>2</w:t>
      </w:r>
      <w:r>
        <w:rPr>
          <w:rtl w:val="true"/>
        </w:rPr>
        <w:t xml:space="preserve"> (</w:t>
      </w:r>
      <w:r>
        <w:rPr/>
        <w:t>1984</w:t>
      </w:r>
      <w:r>
        <w:rPr>
          <w:rtl w:val="true"/>
        </w:rPr>
        <w:t>) (</w:t>
      </w:r>
      <w:r>
        <w:rPr>
          <w:rtl w:val="true"/>
        </w:rPr>
        <w:t>להלן</w:t>
      </w:r>
      <w:r>
        <w:rPr>
          <w:rtl w:val="true"/>
        </w:rPr>
        <w:t xml:space="preserve">: </w:t>
      </w:r>
      <w:r>
        <w:rPr>
          <w:rFonts w:ascii="Century" w:hAnsi="Century" w:cs="Miriam"/>
          <w:b/>
          <w:b/>
          <w:spacing w:val="0"/>
          <w:sz w:val="22"/>
          <w:sz w:val="22"/>
          <w:szCs w:val="24"/>
          <w:rtl w:val="true"/>
        </w:rPr>
        <w:t>פלר</w:t>
      </w:r>
      <w:r>
        <w:rPr>
          <w:rtl w:val="true"/>
        </w:rPr>
        <w:t>)).</w:t>
      </w:r>
      <w:r>
        <w:rPr>
          <w:rFonts w:cs="Century" w:ascii="Century" w:hAnsi="Century"/>
          <w:sz w:val="22"/>
          <w:rtl w:val="true"/>
        </w:rPr>
        <w:t xml:space="preserve"> </w:t>
      </w:r>
      <w:r>
        <w:rPr>
          <w:rFonts w:ascii="Century" w:hAnsi="Century" w:cs="Century"/>
          <w:sz w:val="22"/>
          <w:sz w:val="22"/>
          <w:rtl w:val="true"/>
        </w:rPr>
        <w:t>אלא שבענייננו</w:t>
      </w:r>
      <w:r>
        <w:rPr>
          <w:rFonts w:cs="Century" w:ascii="Century" w:hAnsi="Century"/>
          <w:sz w:val="22"/>
          <w:rtl w:val="true"/>
        </w:rPr>
        <w:t xml:space="preserve">, </w:t>
      </w:r>
      <w:r>
        <w:rPr>
          <w:rFonts w:ascii="Century" w:hAnsi="Century" w:cs="Century"/>
          <w:sz w:val="22"/>
          <w:sz w:val="22"/>
          <w:rtl w:val="true"/>
        </w:rPr>
        <w:t>האפשרות שהמשיב התכוון לקיים יחסי מין בהסכמה עם המתלוננת משתרעת על כל מעשה הנסיעה ברכב</w:t>
      </w:r>
      <w:r>
        <w:rPr>
          <w:rFonts w:cs="Century" w:ascii="Century" w:hAnsi="Century"/>
          <w:sz w:val="22"/>
          <w:rtl w:val="true"/>
        </w:rPr>
        <w:t xml:space="preserve">, </w:t>
      </w:r>
      <w:r>
        <w:rPr>
          <w:rFonts w:ascii="Century" w:hAnsi="Century" w:cs="Century"/>
          <w:sz w:val="22"/>
          <w:sz w:val="22"/>
          <w:rtl w:val="true"/>
        </w:rPr>
        <w:t>ולא רק על ראשיתו</w:t>
      </w:r>
      <w:r>
        <w:rPr>
          <w:rFonts w:cs="Century" w:ascii="Century" w:hAnsi="Century"/>
          <w:sz w:val="22"/>
          <w:rtl w:val="true"/>
        </w:rPr>
        <w:t xml:space="preserve">. </w:t>
      </w:r>
      <w:r>
        <w:rPr>
          <w:rFonts w:ascii="Century" w:hAnsi="Century" w:cs="Century"/>
          <w:sz w:val="22"/>
          <w:sz w:val="22"/>
          <w:rtl w:val="true"/>
        </w:rPr>
        <w:t>בהתאם</w:t>
      </w:r>
      <w:r>
        <w:rPr>
          <w:rFonts w:cs="Century" w:ascii="Century" w:hAnsi="Century"/>
          <w:sz w:val="22"/>
          <w:rtl w:val="true"/>
        </w:rPr>
        <w:t xml:space="preserve">, </w:t>
      </w:r>
      <w:r>
        <w:rPr>
          <w:rFonts w:ascii="Century" w:hAnsi="Century" w:cs="Century"/>
          <w:sz w:val="22"/>
          <w:sz w:val="22"/>
          <w:rtl w:val="true"/>
        </w:rPr>
        <w:t xml:space="preserve">המועד בו ניתן לקבוע מעבר לכל ספק סביר כי התגבשה אצל המשיב כוונה </w:t>
      </w:r>
      <w:r>
        <w:rPr>
          <w:rtl w:val="true"/>
        </w:rPr>
        <w:t>לבצע עבירת מין במתלוננת</w:t>
      </w:r>
      <w:r>
        <w:rPr>
          <w:rtl w:val="true"/>
        </w:rPr>
        <w:t xml:space="preserve">, </w:t>
      </w:r>
      <w:r>
        <w:rPr>
          <w:rtl w:val="true"/>
        </w:rPr>
        <w:t xml:space="preserve">הוא מאוחר להשלמת </w:t>
      </w:r>
      <w:r>
        <w:rPr>
          <w:rFonts w:ascii="Century" w:hAnsi="Century" w:cs="Century"/>
          <w:sz w:val="22"/>
          <w:sz w:val="22"/>
          <w:rtl w:val="true"/>
        </w:rPr>
        <w:t xml:space="preserve">מעשה הנעת המתלוננת ממקום המצאה למקום אחר </w:t>
      </w:r>
      <w:r>
        <w:rPr>
          <w:rFonts w:ascii="Century" w:hAnsi="Century" w:cs="Century"/>
          <w:sz w:val="22"/>
          <w:sz w:val="22"/>
          <w:rtl w:val="true"/>
        </w:rPr>
        <w:t>–</w:t>
      </w:r>
      <w:r>
        <w:rPr>
          <w:rFonts w:ascii="Century" w:hAnsi="Century" w:cs="Century"/>
          <w:sz w:val="22"/>
          <w:sz w:val="22"/>
          <w:rtl w:val="true"/>
        </w:rPr>
        <w:t xml:space="preserve"> דהיינו לאחר השלמת המעשה המהווה לשיטת המדינה את החטיפה</w:t>
      </w:r>
      <w:r>
        <w:rPr>
          <w:rFonts w:cs="Century" w:ascii="Century" w:hAnsi="Century"/>
          <w:sz w:val="22"/>
          <w:rtl w:val="true"/>
        </w:rPr>
        <w:t xml:space="preserve">. </w:t>
      </w:r>
      <w:r>
        <w:rPr>
          <w:rFonts w:ascii="Century" w:hAnsi="Century" w:cs="Century"/>
          <w:sz w:val="22"/>
          <w:sz w:val="22"/>
          <w:rtl w:val="true"/>
        </w:rPr>
        <w:t>במצב דברים זה</w:t>
      </w:r>
      <w:r>
        <w:rPr>
          <w:rFonts w:cs="Century" w:ascii="Century" w:hAnsi="Century"/>
          <w:sz w:val="22"/>
          <w:rtl w:val="true"/>
        </w:rPr>
        <w:t xml:space="preserve">, </w:t>
      </w:r>
      <w:r>
        <w:rPr>
          <w:rFonts w:ascii="Century" w:hAnsi="Century" w:cs="Century"/>
          <w:sz w:val="22"/>
          <w:sz w:val="22"/>
          <w:rtl w:val="true"/>
        </w:rPr>
        <w:t>אין תחולה לחריג העבירה הנמשכת</w:t>
      </w:r>
      <w:r>
        <w:rPr>
          <w:rFonts w:cs="Century" w:ascii="Century" w:hAnsi="Century"/>
          <w:sz w:val="22"/>
          <w:rtl w:val="true"/>
        </w:rPr>
        <w:t xml:space="preserve">, </w:t>
      </w:r>
      <w:r>
        <w:rPr>
          <w:rFonts w:ascii="Century" w:hAnsi="Century" w:cs="Century"/>
          <w:sz w:val="22"/>
          <w:sz w:val="22"/>
          <w:rtl w:val="true"/>
        </w:rPr>
        <w:t>ועל כן לא ניתן לקבוע מכוחו</w:t>
      </w:r>
      <w:r>
        <w:rPr>
          <w:rFonts w:cs="Century" w:ascii="Century" w:hAnsi="Century"/>
          <w:sz w:val="22"/>
          <w:rtl w:val="true"/>
        </w:rPr>
        <w:t xml:space="preserve">, </w:t>
      </w:r>
      <w:r>
        <w:rPr>
          <w:rFonts w:ascii="Century" w:hAnsi="Century" w:cs="Century"/>
          <w:sz w:val="22"/>
          <w:sz w:val="22"/>
          <w:rtl w:val="true"/>
        </w:rPr>
        <w:t>כי המשיב ביצע את הרכיב ההתנהגותי של עבירת החטיפה במטרה לבצע עבירת מין במתלוננת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pPr>
      <w:r>
        <w:rPr>
          <w:rtl w:val="true"/>
        </w:rPr>
        <w:t>המדינה הפנתה בטיעונה גם לחריג נוסף לעקרון הבו</w:t>
      </w:r>
      <w:r>
        <w:rPr>
          <w:rtl w:val="true"/>
        </w:rPr>
        <w:t>-</w:t>
      </w:r>
      <w:r>
        <w:rPr>
          <w:rtl w:val="true"/>
        </w:rPr>
        <w:t>זמניות</w:t>
      </w:r>
      <w:r>
        <w:rPr>
          <w:rtl w:val="true"/>
        </w:rPr>
        <w:t xml:space="preserve">, </w:t>
      </w:r>
      <w:r>
        <w:rPr>
          <w:rtl w:val="true"/>
        </w:rPr>
        <w:t>המתייחס למצבים בהם אדם מבצע סדרה של פעולות בעלות מטרה אחת</w:t>
      </w:r>
      <w:r>
        <w:rPr>
          <w:rtl w:val="true"/>
        </w:rPr>
        <w:t xml:space="preserve">, </w:t>
      </w:r>
      <w:r>
        <w:rPr>
          <w:rtl w:val="true"/>
        </w:rPr>
        <w:t xml:space="preserve">כאשר היסוד הנפשי של העבירה התחיל והסתיים בטרם התגבש סופית היסוד העובדתי </w:t>
      </w:r>
      <w:r>
        <w:rPr>
          <w:rtl w:val="true"/>
        </w:rPr>
        <w:t>(</w:t>
      </w:r>
      <w:r>
        <w:rPr>
          <w:rtl w:val="true"/>
        </w:rPr>
        <w:t>להלן</w:t>
      </w:r>
      <w:r>
        <w:rPr>
          <w:rtl w:val="true"/>
        </w:rPr>
        <w:t xml:space="preserve">: </w:t>
      </w:r>
      <w:r>
        <w:rPr>
          <w:rFonts w:ascii="Century" w:hAnsi="Century" w:cs="Miriam"/>
          <w:b/>
          <w:b/>
          <w:spacing w:val="0"/>
          <w:sz w:val="22"/>
          <w:sz w:val="22"/>
          <w:szCs w:val="24"/>
          <w:rtl w:val="true"/>
        </w:rPr>
        <w:t>חריג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סדרת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הפעולות</w:t>
      </w:r>
      <w:r>
        <w:rPr>
          <w:rtl w:val="true"/>
        </w:rPr>
        <w:t xml:space="preserve">). </w:t>
      </w:r>
      <w:r>
        <w:rPr>
          <w:rtl w:val="true"/>
        </w:rPr>
        <w:t>כך</w:t>
      </w:r>
      <w:r>
        <w:rPr>
          <w:rtl w:val="true"/>
        </w:rPr>
        <w:t xml:space="preserve">, </w:t>
      </w:r>
      <w:r>
        <w:rPr>
          <w:rtl w:val="true"/>
        </w:rPr>
        <w:t>למשל ב</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334/74</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מאמעה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כט</w:t>
      </w:r>
      <w:r>
        <w:rPr>
          <w:rtl w:val="true"/>
        </w:rPr>
        <w:t>(</w:t>
      </w:r>
      <w:r>
        <w:rPr/>
        <w:t>2</w:t>
      </w:r>
      <w:r>
        <w:rPr>
          <w:rtl w:val="true"/>
        </w:rPr>
        <w:t xml:space="preserve">) </w:t>
      </w:r>
      <w:r>
        <w:rPr/>
        <w:t>29</w:t>
      </w:r>
      <w:r>
        <w:rPr>
          <w:rtl w:val="true"/>
        </w:rPr>
        <w:t xml:space="preserve"> (</w:t>
      </w:r>
      <w:r>
        <w:rPr/>
        <w:t>1975</w:t>
      </w:r>
      <w:r>
        <w:rPr>
          <w:rtl w:val="true"/>
        </w:rPr>
        <w:t xml:space="preserve">) </w:t>
      </w:r>
      <w:r>
        <w:rPr>
          <w:rtl w:val="true"/>
        </w:rPr>
        <w:t>דובר בנאשם שהיכה במקל וחנק את ארוסתו עד שסבר כי גרם למותה</w:t>
      </w:r>
      <w:r>
        <w:rPr>
          <w:rtl w:val="true"/>
        </w:rPr>
        <w:t xml:space="preserve">, </w:t>
      </w:r>
      <w:r>
        <w:rPr>
          <w:rtl w:val="true"/>
        </w:rPr>
        <w:t>ואחר כך זרק אותה לבאר מים</w:t>
      </w:r>
      <w:r>
        <w:rPr>
          <w:rtl w:val="true"/>
        </w:rPr>
        <w:t xml:space="preserve">. </w:t>
      </w:r>
      <w:r>
        <w:rPr>
          <w:rtl w:val="true"/>
        </w:rPr>
        <w:t>התברר שהקורבן מצאה את מותה בטביעה</w:t>
      </w:r>
      <w:r>
        <w:rPr>
          <w:rtl w:val="true"/>
        </w:rPr>
        <w:t xml:space="preserve">, </w:t>
      </w:r>
      <w:r>
        <w:rPr>
          <w:rtl w:val="true"/>
        </w:rPr>
        <w:t xml:space="preserve">ועל כן נטען להעדר סימולטניות בין האקטוס ראוס שגרם למוות </w:t>
      </w:r>
      <w:r>
        <w:rPr>
          <w:rtl w:val="true"/>
        </w:rPr>
        <w:t>(</w:t>
      </w:r>
      <w:r>
        <w:rPr>
          <w:rtl w:val="true"/>
        </w:rPr>
        <w:t>הזריקה לבאר</w:t>
      </w:r>
      <w:r>
        <w:rPr>
          <w:rtl w:val="true"/>
        </w:rPr>
        <w:t xml:space="preserve">) </w:t>
      </w:r>
      <w:r>
        <w:rPr>
          <w:rtl w:val="true"/>
        </w:rPr>
        <w:t xml:space="preserve">לבין המינס ריאה </w:t>
      </w:r>
      <w:r>
        <w:rPr>
          <w:rtl w:val="true"/>
        </w:rPr>
        <w:t>(</w:t>
      </w:r>
      <w:r>
        <w:rPr>
          <w:rtl w:val="true"/>
        </w:rPr>
        <w:t>הכוונה לגרום למוות</w:t>
      </w:r>
      <w:r>
        <w:rPr>
          <w:rtl w:val="true"/>
        </w:rPr>
        <w:t xml:space="preserve">). </w:t>
      </w:r>
      <w:r>
        <w:rPr>
          <w:rtl w:val="true"/>
        </w:rPr>
        <w:t>הטענה נדחתה</w:t>
      </w:r>
      <w:r>
        <w:rPr>
          <w:rtl w:val="true"/>
        </w:rPr>
        <w:t xml:space="preserve">, </w:t>
      </w:r>
      <w:r>
        <w:rPr>
          <w:rtl w:val="true"/>
        </w:rPr>
        <w:t xml:space="preserve">תוך שהשופט </w:t>
      </w:r>
      <w:r>
        <w:rPr>
          <w:rtl w:val="true"/>
        </w:rPr>
        <w:t>(</w:t>
      </w:r>
      <w:r>
        <w:rPr>
          <w:rtl w:val="true"/>
        </w:rPr>
        <w:t>כתוארו אז</w:t>
      </w:r>
      <w:r>
        <w:rPr>
          <w:rtl w:val="true"/>
        </w:rPr>
        <w:t xml:space="preserve">) </w:t>
      </w:r>
      <w:r>
        <w:rPr>
          <w:rtl w:val="true"/>
        </w:rPr>
        <w:t>משה לנדוי</w:t>
      </w:r>
      <w:r>
        <w:rPr>
          <w:rtl w:val="true"/>
        </w:rPr>
        <w:t xml:space="preserve">, </w:t>
      </w:r>
      <w:r>
        <w:rPr>
          <w:rtl w:val="true"/>
        </w:rPr>
        <w:t>מציין כי</w:t>
      </w:r>
      <w:r>
        <w:rPr>
          <w:rtl w:val="true"/>
        </w:rPr>
        <w:t>: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ובחניקה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בטביעה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וסידרת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הפעולות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רצופה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הכוונה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השיגה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מטרתה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נפקא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שבפועל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מבחינה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אובייקטיבית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השיג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האמין</w:t>
      </w:r>
      <w:r>
        <w:rPr>
          <w:rtl w:val="true"/>
        </w:rPr>
        <w:t>" (</w:t>
      </w:r>
      <w:r>
        <w:rPr>
          <w:rtl w:val="true"/>
        </w:rPr>
        <w:t>שם</w:t>
      </w:r>
      <w:r>
        <w:rPr>
          <w:rtl w:val="true"/>
        </w:rPr>
        <w:t xml:space="preserve">, </w:t>
      </w:r>
      <w:r>
        <w:rPr>
          <w:rtl w:val="true"/>
        </w:rPr>
        <w:t>בעמ</w:t>
      </w:r>
      <w:r>
        <w:rPr>
          <w:rtl w:val="true"/>
        </w:rPr>
        <w:t xml:space="preserve">' </w:t>
      </w:r>
      <w:r>
        <w:rPr/>
        <w:t>31</w:t>
      </w:r>
      <w:r>
        <w:rPr>
          <w:rtl w:val="true"/>
        </w:rPr>
        <w:t xml:space="preserve">; </w:t>
      </w:r>
      <w:r>
        <w:rPr>
          <w:rtl w:val="true"/>
        </w:rPr>
        <w:t>בית המשפט העליון פסע בעקבות ההלכות האנגליות בעניין זה</w:t>
      </w:r>
      <w:r>
        <w:rPr>
          <w:rtl w:val="true"/>
        </w:rPr>
        <w:t xml:space="preserve">. </w:t>
      </w:r>
      <w:r>
        <w:rPr>
          <w:rtl w:val="true"/>
        </w:rPr>
        <w:t xml:space="preserve">לדיון ראו יובל לוי ואליעזר לדרמן </w:t>
      </w:r>
      <w:r>
        <w:rPr>
          <w:rFonts w:ascii="Century" w:hAnsi="Century" w:cs="Miriam"/>
          <w:b/>
          <w:b/>
          <w:spacing w:val="0"/>
          <w:sz w:val="22"/>
          <w:sz w:val="22"/>
          <w:szCs w:val="24"/>
          <w:rtl w:val="true"/>
        </w:rPr>
        <w:t>עיקרים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tl w:val="true"/>
        </w:rPr>
        <w:t xml:space="preserve"> </w:t>
      </w:r>
      <w:r>
        <w:rPr/>
        <w:t>147-144</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tl w:val="true"/>
        </w:rPr>
        <w:t xml:space="preserve">, </w:t>
      </w:r>
      <w:r>
        <w:rPr>
          <w:rtl w:val="true"/>
        </w:rPr>
        <w:t>עמ</w:t>
      </w:r>
      <w:r>
        <w:rPr>
          <w:rtl w:val="true"/>
        </w:rPr>
        <w:t xml:space="preserve">' </w:t>
      </w:r>
      <w:r>
        <w:rPr/>
        <w:t>486-483</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עמ</w:t>
      </w:r>
      <w:r>
        <w:rPr>
          <w:rtl w:val="true"/>
        </w:rPr>
        <w:t xml:space="preserve">' </w:t>
      </w:r>
      <w:r>
        <w:rPr/>
        <w:t>137-135</w:t>
      </w:r>
      <w:r>
        <w:rPr>
          <w:rtl w:val="true"/>
        </w:rPr>
        <w:t xml:space="preserve">). </w:t>
      </w:r>
      <w:r>
        <w:rPr>
          <w:rtl w:val="true"/>
        </w:rPr>
        <w:t>ואולם</w:t>
      </w:r>
      <w:r>
        <w:rPr>
          <w:rtl w:val="true"/>
        </w:rPr>
        <w:t xml:space="preserve">, </w:t>
      </w:r>
      <w:r>
        <w:rPr>
          <w:rtl w:val="true"/>
        </w:rPr>
        <w:t>מצב הדברים בו עסקינן הפוך לזה בו עוסק חריג סדרת הפעולות</w:t>
      </w:r>
      <w:r>
        <w:rPr>
          <w:rtl w:val="true"/>
        </w:rPr>
        <w:t xml:space="preserve">. </w:t>
      </w:r>
      <w:r>
        <w:rPr>
          <w:rtl w:val="true"/>
        </w:rPr>
        <w:t xml:space="preserve">חריג זה מתייחס למצב בו אדם מבצע מעשה עבירה היכול לגרום לתוצאה מסוימת </w:t>
      </w:r>
      <w:r>
        <w:rPr>
          <w:rtl w:val="true"/>
        </w:rPr>
        <w:t>(</w:t>
      </w:r>
      <w:r>
        <w:rPr>
          <w:rtl w:val="true"/>
        </w:rPr>
        <w:t>להלן</w:t>
      </w:r>
      <w:r>
        <w:rPr>
          <w:rtl w:val="true"/>
        </w:rPr>
        <w:t xml:space="preserve">: </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המוקדם</w:t>
      </w:r>
      <w:r>
        <w:rPr>
          <w:rtl w:val="true"/>
        </w:rPr>
        <w:t xml:space="preserve">), </w:t>
      </w:r>
      <w:r>
        <w:rPr>
          <w:rtl w:val="true"/>
        </w:rPr>
        <w:t>בליווי כוונה לגרום לתוצאה זו</w:t>
      </w:r>
      <w:r>
        <w:rPr>
          <w:rtl w:val="true"/>
        </w:rPr>
        <w:t xml:space="preserve">, </w:t>
      </w:r>
      <w:r>
        <w:rPr>
          <w:rtl w:val="true"/>
        </w:rPr>
        <w:t xml:space="preserve">ואולם בדיעבד מתברר כי התוצאה הושגה ממעשה מאוחר של אותו אדם </w:t>
      </w:r>
      <w:r>
        <w:rPr>
          <w:rtl w:val="true"/>
        </w:rPr>
        <w:t>(</w:t>
      </w:r>
      <w:r>
        <w:rPr>
          <w:rtl w:val="true"/>
        </w:rPr>
        <w:t>להלן</w:t>
      </w:r>
      <w:r>
        <w:rPr>
          <w:rtl w:val="true"/>
        </w:rPr>
        <w:t xml:space="preserve">: </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המאוחר</w:t>
      </w:r>
      <w:r>
        <w:rPr>
          <w:rtl w:val="true"/>
        </w:rPr>
        <w:t xml:space="preserve">), </w:t>
      </w:r>
      <w:r>
        <w:rPr>
          <w:rtl w:val="true"/>
        </w:rPr>
        <w:t>שנעשה ללא הכוונה הפלילית הנדרשת</w:t>
      </w:r>
      <w:r>
        <w:rPr>
          <w:rtl w:val="true"/>
        </w:rPr>
        <w:t xml:space="preserve">. </w:t>
      </w:r>
      <w:r>
        <w:rPr>
          <w:rtl w:val="true"/>
        </w:rPr>
        <w:t>במצב דברים זה</w:t>
      </w:r>
      <w:r>
        <w:rPr>
          <w:rtl w:val="true"/>
        </w:rPr>
        <w:t xml:space="preserve">, </w:t>
      </w:r>
      <w:r>
        <w:rPr>
          <w:rtl w:val="true"/>
        </w:rPr>
        <w:t>וכאשר העדר הכוונה הפלילית שליוותה את המעשה המאוחר לא נבעה מחרטה</w:t>
      </w:r>
      <w:r>
        <w:rPr>
          <w:rtl w:val="true"/>
        </w:rPr>
        <w:t xml:space="preserve">, </w:t>
      </w:r>
      <w:r>
        <w:rPr>
          <w:rtl w:val="true"/>
        </w:rPr>
        <w:t>אלא מהמחשבה כי התוצאה הושגה במעשה המוקדם</w:t>
      </w:r>
      <w:r>
        <w:rPr>
          <w:rtl w:val="true"/>
        </w:rPr>
        <w:t xml:space="preserve">, </w:t>
      </w:r>
      <w:r>
        <w:rPr>
          <w:rtl w:val="true"/>
        </w:rPr>
        <w:t>סברו בתי המשפט כי ראוי לסייג את דרישת הסימולטניות</w:t>
      </w:r>
      <w:r>
        <w:rPr>
          <w:rtl w:val="true"/>
        </w:rPr>
        <w:t xml:space="preserve">, </w:t>
      </w:r>
      <w:r>
        <w:rPr>
          <w:rtl w:val="true"/>
        </w:rPr>
        <w:t>ולמתוח את הכוונה שהתלוותה למעשה המוקדם</w:t>
      </w:r>
      <w:r>
        <w:rPr>
          <w:rtl w:val="true"/>
        </w:rPr>
        <w:t xml:space="preserve">, </w:t>
      </w:r>
      <w:r>
        <w:rPr>
          <w:rtl w:val="true"/>
        </w:rPr>
        <w:t>כך שתכסה גם את המעשה המאוחר</w:t>
      </w:r>
      <w:r>
        <w:rPr>
          <w:rtl w:val="true"/>
        </w:rPr>
        <w:t xml:space="preserve">. </w:t>
      </w:r>
      <w:r>
        <w:rPr>
          <w:rtl w:val="true"/>
        </w:rPr>
        <w:t>שונים הדברים בענייננו</w:t>
      </w:r>
      <w:r>
        <w:rPr>
          <w:rtl w:val="true"/>
        </w:rPr>
        <w:t xml:space="preserve">, </w:t>
      </w:r>
      <w:r>
        <w:rPr>
          <w:rtl w:val="true"/>
        </w:rPr>
        <w:t xml:space="preserve">כאשר לא הוכח כי היסוד הנפשי </w:t>
      </w:r>
      <w:r>
        <w:rPr>
          <w:rtl w:val="true"/>
        </w:rPr>
        <w:t>(</w:t>
      </w:r>
      <w:r>
        <w:rPr>
          <w:rtl w:val="true"/>
        </w:rPr>
        <w:t>כוונה לבצע עבירת מין</w:t>
      </w:r>
      <w:r>
        <w:rPr>
          <w:rtl w:val="true"/>
        </w:rPr>
        <w:t xml:space="preserve">) </w:t>
      </w:r>
      <w:r>
        <w:rPr>
          <w:rtl w:val="true"/>
        </w:rPr>
        <w:t xml:space="preserve">מתקיים במעשה המוקדם </w:t>
      </w:r>
      <w:r>
        <w:rPr>
          <w:rtl w:val="true"/>
        </w:rPr>
        <w:t>(</w:t>
      </w:r>
      <w:r>
        <w:rPr>
          <w:rtl w:val="true"/>
        </w:rPr>
        <w:t>הנסיעה בתרמית</w:t>
      </w:r>
      <w:r>
        <w:rPr>
          <w:rtl w:val="true"/>
        </w:rPr>
        <w:t xml:space="preserve">), </w:t>
      </w:r>
      <w:r>
        <w:rPr>
          <w:rtl w:val="true"/>
        </w:rPr>
        <w:t xml:space="preserve">ולא ניתן למתוח אחורנית בזמן את הכוונה שנלוותה למעשה המאוחר </w:t>
      </w:r>
      <w:r>
        <w:rPr>
          <w:rtl w:val="true"/>
        </w:rPr>
        <w:t>(</w:t>
      </w:r>
      <w:r>
        <w:rPr>
          <w:rtl w:val="true"/>
        </w:rPr>
        <w:t>המעשים בצימר</w:t>
      </w:r>
      <w:r>
        <w:rPr>
          <w:rtl w:val="true"/>
        </w:rPr>
        <w:t xml:space="preserve">) </w:t>
      </w:r>
      <w:r>
        <w:rPr>
          <w:rtl w:val="true"/>
        </w:rPr>
        <w:t>כך שתכסה גם אותו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לסיכום פרק זה</w:t>
      </w:r>
      <w:r>
        <w:rPr>
          <w:rtl w:val="true"/>
        </w:rPr>
        <w:t xml:space="preserve">: </w:t>
      </w:r>
      <w:r>
        <w:rPr>
          <w:rtl w:val="true"/>
        </w:rPr>
        <w:t>אני סבור כי יש להותיר על כנו גם את זיכוי המשיב מעבירת חטיפה לשם ביצוע עבירות מין</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זיכוי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כליאת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השווא</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כאמור</w:t>
      </w:r>
      <w:r>
        <w:rPr>
          <w:rtl w:val="true"/>
        </w:rPr>
        <w:t xml:space="preserve">, </w:t>
      </w:r>
      <w:r>
        <w:rPr>
          <w:rtl w:val="true"/>
        </w:rPr>
        <w:t xml:space="preserve">בית המשפט קמא זיכה את המשיב מאישום כליאת השווא לפי הרישא של </w:t>
      </w:r>
      <w:hyperlink r:id="rId52">
        <w:r>
          <w:rPr>
            <w:rStyle w:val="Hyperlink"/>
            <w:rtl w:val="true"/>
          </w:rPr>
          <w:t>סעיף</w:t>
        </w:r>
        <w:r>
          <w:rPr>
            <w:rStyle w:val="Hyperlink"/>
            <w:rtl w:val="true"/>
          </w:rPr>
          <w:t xml:space="preserve"> </w:t>
        </w:r>
        <w:r>
          <w:rPr>
            <w:rStyle w:val="Hyperlink"/>
          </w:rPr>
          <w:t>377</w:t>
        </w:r>
      </w:hyperlink>
      <w:r>
        <w:rPr>
          <w:rtl w:val="true"/>
        </w:rPr>
        <w:t xml:space="preserve"> </w:t>
      </w:r>
      <w:r>
        <w:rPr>
          <w:rtl w:val="true"/>
        </w:rPr>
        <w:t>ל</w:t>
      </w:r>
      <w:hyperlink r:id="rId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Fonts w:ascii="Century" w:hAnsi="Century" w:cs="Miriam"/>
          <w:b/>
          <w:b/>
          <w:spacing w:val="0"/>
          <w:sz w:val="22"/>
          <w:sz w:val="22"/>
          <w:szCs w:val="24"/>
          <w:rtl w:val="true"/>
        </w:rPr>
        <w:t>הע</w:t>
      </w:r>
      <w:r>
        <w:rPr>
          <w:rFonts w:ascii="Century" w:hAnsi="Century" w:cs="Miriam"/>
          <w:b/>
          <w:b/>
          <w:spacing w:val="0"/>
          <w:sz w:val="22"/>
          <w:sz w:val="22"/>
          <w:szCs w:val="24"/>
          <w:rtl w:val="true"/>
        </w:rPr>
        <w:t>וצ</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דינו</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w:t>
      </w:r>
      <w:r>
        <w:rPr>
          <w:rFonts w:ascii="Century" w:hAnsi="Century" w:cs="Miriam"/>
          <w:b/>
          <w:b/>
          <w:spacing w:val="0"/>
          <w:sz w:val="22"/>
          <w:sz w:val="22"/>
          <w:szCs w:val="24"/>
          <w:rtl w:val="true"/>
        </w:rPr>
        <w:t>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שנים</w:t>
      </w:r>
      <w:r>
        <w:rPr>
          <w:rtl w:val="true"/>
        </w:rPr>
        <w:t xml:space="preserve">"), </w:t>
      </w:r>
      <w:r>
        <w:rPr>
          <w:rtl w:val="true"/>
        </w:rPr>
        <w:t>לאחר שקבע כי יסוד שלילת החירות שבעבירת החטיפה</w:t>
      </w:r>
      <w:r>
        <w:rPr>
          <w:rtl w:val="true"/>
        </w:rPr>
        <w:t xml:space="preserve">, </w:t>
      </w:r>
      <w:r>
        <w:rPr>
          <w:rtl w:val="true"/>
        </w:rPr>
        <w:t>ואשר טעון הוכחה גם ביחס לעבירת כליאת השווא</w:t>
      </w:r>
      <w:r>
        <w:rPr>
          <w:rtl w:val="true"/>
        </w:rPr>
        <w:t xml:space="preserve">, </w:t>
      </w:r>
      <w:r>
        <w:rPr>
          <w:rtl w:val="true"/>
        </w:rPr>
        <w:t>אינו מתקיים בענייננו</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1"/>
        </w:numPr>
        <w:ind w:hanging="0" w:start="0" w:end="0"/>
        <w:jc w:val="both"/>
        <w:rPr/>
      </w:pPr>
      <w:r>
        <w:rPr>
          <w:shd w:fill="FFFFFF" w:val="clear"/>
          <w:rtl w:val="true"/>
        </w:rPr>
        <w:t>אכן</w:t>
      </w:r>
      <w:r>
        <w:rPr>
          <w:shd w:fill="FFFFFF" w:val="clear"/>
          <w:rtl w:val="true"/>
        </w:rPr>
        <w:t xml:space="preserve">, </w:t>
      </w:r>
      <w:r>
        <w:rPr>
          <w:shd w:fill="FFFFFF" w:val="clear"/>
          <w:rtl w:val="true"/>
        </w:rPr>
        <w:t xml:space="preserve">כליאה </w:t>
      </w:r>
      <w:r>
        <w:rPr>
          <w:shd w:fill="FFFFFF" w:val="clear"/>
          <w:rtl w:val="true"/>
        </w:rPr>
        <w:t xml:space="preserve">במובנה של </w:t>
      </w:r>
      <w:hyperlink r:id="rId54">
        <w:r>
          <w:rPr>
            <w:rStyle w:val="Hyperlink"/>
            <w:shd w:fill="FFFFFF" w:val="clear"/>
            <w:rtl w:val="true"/>
          </w:rPr>
          <w:t>סעיף</w:t>
        </w:r>
        <w:r>
          <w:rPr>
            <w:rStyle w:val="Hyperlink"/>
            <w:shd w:fill="FFFFFF" w:val="clear"/>
            <w:rtl w:val="true"/>
          </w:rPr>
          <w:t xml:space="preserve"> </w:t>
        </w:r>
        <w:r>
          <w:rPr>
            <w:rStyle w:val="Hyperlink"/>
            <w:shd w:fill="FFFFFF" w:val="clear"/>
          </w:rPr>
          <w:t>377</w:t>
        </w:r>
      </w:hyperlink>
      <w:r>
        <w:rPr>
          <w:shd w:fill="FFFFFF" w:val="clear"/>
          <w:rtl w:val="true"/>
        </w:rPr>
        <w:t xml:space="preserve"> </w:t>
      </w:r>
      <w:r>
        <w:rPr>
          <w:shd w:fill="FFFFFF" w:val="clear"/>
          <w:rtl w:val="true"/>
        </w:rPr>
        <w:t xml:space="preserve">לחוק משמעה </w:t>
      </w:r>
      <w:r>
        <w:rPr>
          <w:shd w:fill="FFFFFF" w:val="clear"/>
          <w:rtl w:val="true"/>
        </w:rPr>
        <w:t>"</w:t>
      </w:r>
      <w:r>
        <w:rPr>
          <w:rFonts w:ascii="Century" w:hAnsi="Century" w:cs="Miriam"/>
          <w:b/>
          <w:b/>
          <w:spacing w:val="0"/>
          <w:sz w:val="22"/>
          <w:sz w:val="22"/>
          <w:szCs w:val="24"/>
          <w:shd w:fill="FFFFFF" w:val="clear"/>
          <w:rtl w:val="true"/>
        </w:rPr>
        <w:t>ריתוקו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אדם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למקום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מוגדר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בנסיבות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השוללות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ממנו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חופש</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התנועה</w:t>
      </w:r>
      <w:r>
        <w:rPr>
          <w:shd w:fill="FFFFFF" w:val="clear"/>
          <w:rtl w:val="true"/>
        </w:rPr>
        <w:t xml:space="preserve">" </w:t>
      </w:r>
      <w:r>
        <w:rPr>
          <w:rFonts w:cs="FrankRuehl" w:ascii="FrankRuehl" w:hAnsi="FrankRuehl"/>
          <w:color w:val="000000"/>
          <w:shd w:fill="FFFFFF" w:val="clear"/>
          <w:rtl w:val="true"/>
        </w:rPr>
        <w:t>(</w:t>
      </w:r>
      <w:hyperlink r:id="rId55">
        <w:r>
          <w:rPr>
            <w:rStyle w:val="Hyperlink"/>
            <w:rFonts w:cs="FrankRuehl" w:ascii="FrankRuehl" w:hAnsi="FrankRuehl"/>
            <w:shd w:fill="FFFFFF" w:val="clear"/>
          </w:rPr>
          <w:t>3363/98</w:t>
        </w:r>
      </w:hyperlink>
      <w:r>
        <w:rPr>
          <w:rFonts w:cs="FrankRuehl" w:ascii="FrankRuehl" w:hAnsi="FrankRuehl"/>
          <w:color w:val="000000"/>
          <w:shd w:fill="FFFFFF" w:val="clear"/>
          <w:rtl w:val="true"/>
        </w:rPr>
        <w:t xml:space="preserve"> </w:t>
      </w:r>
      <w:r>
        <w:rPr>
          <w:rFonts w:ascii="Century" w:hAnsi="Century" w:cs="Miriam"/>
          <w:b/>
          <w:b/>
          <w:spacing w:val="0"/>
          <w:sz w:val="22"/>
          <w:sz w:val="22"/>
          <w:szCs w:val="24"/>
          <w:shd w:fill="FFFFFF" w:val="clear"/>
          <w:rtl w:val="true"/>
        </w:rPr>
        <w:t>קניאז</w:t>
      </w:r>
      <w:r>
        <w:rPr>
          <w:rFonts w:cs="Miriam" w:ascii="Century" w:hAnsi="Century"/>
          <w:b/>
          <w:spacing w:val="0"/>
          <w:sz w:val="22"/>
          <w:szCs w:val="24"/>
          <w:shd w:fill="FFFFFF" w:val="clear"/>
          <w:rtl w:val="true"/>
        </w:rPr>
        <w:t>'</w:t>
      </w:r>
      <w:r>
        <w:rPr>
          <w:rFonts w:ascii="Century" w:hAnsi="Century" w:cs="Miriam"/>
          <w:b/>
          <w:b/>
          <w:spacing w:val="0"/>
          <w:sz w:val="22"/>
          <w:sz w:val="22"/>
          <w:szCs w:val="24"/>
          <w:shd w:fill="FFFFFF" w:val="clear"/>
          <w:rtl w:val="true"/>
        </w:rPr>
        <w:t>ינסקי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cs="FrankRuehl" w:ascii="FrankRuehl" w:hAnsi="FrankRuehl"/>
          <w:color w:val="000000"/>
          <w:shd w:fill="FFFFFF" w:val="clear"/>
          <w:rtl w:val="true"/>
        </w:rPr>
        <w:t xml:space="preserve">, </w:t>
      </w:r>
      <w:r>
        <w:rPr>
          <w:rtl w:val="true"/>
        </w:rPr>
        <w:t>נד</w:t>
      </w:r>
      <w:r>
        <w:rPr>
          <w:rtl w:val="true"/>
        </w:rPr>
        <w:t>(</w:t>
      </w:r>
      <w:r>
        <w:rPr/>
        <w:t>2</w:t>
      </w:r>
      <w:r>
        <w:rPr>
          <w:rtl w:val="true"/>
        </w:rPr>
        <w:t xml:space="preserve">) </w:t>
      </w:r>
      <w:r>
        <w:rPr/>
        <w:t>479</w:t>
      </w:r>
      <w:r>
        <w:rPr>
          <w:rtl w:val="true"/>
        </w:rPr>
        <w:t xml:space="preserve">, </w:t>
      </w:r>
      <w:r>
        <w:rPr/>
        <w:t>495-494</w:t>
      </w:r>
      <w:r>
        <w:rPr>
          <w:rtl w:val="true"/>
        </w:rPr>
        <w:t xml:space="preserve"> (</w:t>
      </w:r>
      <w:r>
        <w:rPr/>
        <w:t>1999</w:t>
      </w:r>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204/09</w:t>
        </w:r>
      </w:hyperlink>
      <w:r>
        <w:rPr>
          <w:rtl w:val="true"/>
        </w:rPr>
        <w:t xml:space="preserve"> </w:t>
      </w:r>
      <w:r>
        <w:rPr>
          <w:rFonts w:ascii="Century" w:hAnsi="Century" w:cs="Miriam"/>
          <w:b/>
          <w:b/>
          <w:spacing w:val="0"/>
          <w:sz w:val="22"/>
          <w:sz w:val="22"/>
          <w:szCs w:val="24"/>
          <w:rtl w:val="true"/>
        </w:rPr>
        <w:t>יוחייב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29</w:t>
      </w:r>
      <w:r>
        <w:rPr>
          <w:rtl w:val="true"/>
        </w:rPr>
        <w:t xml:space="preserve"> (</w:t>
      </w:r>
      <w:r>
        <w:rPr/>
        <w:t>2.12.2010</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6986/13</w:t>
        </w:r>
      </w:hyperlink>
      <w:r>
        <w:rPr>
          <w:rtl w:val="true"/>
        </w:rPr>
        <w:t xml:space="preserve"> </w:t>
      </w:r>
      <w:r>
        <w:rPr>
          <w:rFonts w:ascii="Century" w:hAnsi="Century" w:cs="Miriam"/>
          <w:b/>
          <w:b/>
          <w:spacing w:val="0"/>
          <w:sz w:val="22"/>
          <w:sz w:val="22"/>
          <w:szCs w:val="24"/>
          <w:rtl w:val="true"/>
        </w:rPr>
        <w:t>ואנונו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43-40</w:t>
      </w:r>
      <w:r>
        <w:rPr>
          <w:rtl w:val="true"/>
        </w:rPr>
        <w:t xml:space="preserve"> (</w:t>
      </w:r>
      <w:r>
        <w:rPr/>
        <w:t>25.6.2015</w:t>
      </w:r>
      <w:r>
        <w:rPr>
          <w:rtl w:val="true"/>
        </w:rPr>
        <w:t xml:space="preserve">)). </w:t>
      </w:r>
      <w:r>
        <w:rPr>
          <w:rtl w:val="true"/>
        </w:rPr>
        <w:t>משנמצא</w:t>
      </w:r>
      <w:r>
        <w:rPr>
          <w:rtl w:val="true"/>
        </w:rPr>
        <w:t xml:space="preserve">, </w:t>
      </w:r>
      <w:r>
        <w:rPr>
          <w:rtl w:val="true"/>
        </w:rPr>
        <w:t>במסגרת הדיון בזיכוי מאישום החטיפה</w:t>
      </w:r>
      <w:r>
        <w:rPr>
          <w:rtl w:val="true"/>
        </w:rPr>
        <w:t xml:space="preserve">, </w:t>
      </w:r>
      <w:r>
        <w:rPr>
          <w:rtl w:val="true"/>
        </w:rPr>
        <w:t>כי לא הוכח מעבר לכל ספק סביר</w:t>
      </w:r>
      <w:r>
        <w:rPr>
          <w:rtl w:val="true"/>
        </w:rPr>
        <w:t xml:space="preserve">, </w:t>
      </w:r>
      <w:r>
        <w:rPr>
          <w:rtl w:val="true"/>
        </w:rPr>
        <w:t>שחירותה של המתלוננת לעזוב את הצימר נשללה ממנה</w:t>
      </w:r>
      <w:r>
        <w:rPr>
          <w:rtl w:val="true"/>
        </w:rPr>
        <w:t xml:space="preserve">, </w:t>
      </w:r>
      <w:r>
        <w:rPr>
          <w:rtl w:val="true"/>
        </w:rPr>
        <w:t>ממילא היה מקום לזכות את המשיב גם מהאישום בעבירת כליאת השווא</w:t>
      </w:r>
      <w:r>
        <w:rPr>
          <w:rtl w:val="true"/>
        </w:rPr>
        <w:t xml:space="preserve">. </w:t>
      </w:r>
      <w:r>
        <w:rPr>
          <w:rtl w:val="true"/>
        </w:rPr>
        <w:t>לפיכך אציע להותיר גם עניין זה על כנו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בהינתן כל האמור לעיל</w:t>
      </w:r>
      <w:r>
        <w:rPr>
          <w:rtl w:val="true"/>
        </w:rPr>
        <w:t xml:space="preserve">, </w:t>
      </w:r>
      <w:r>
        <w:rPr>
          <w:rtl w:val="true"/>
        </w:rPr>
        <w:t>סברתי כי אין מקום להתערב בפסק דינו של בית משפט קמא</w:t>
      </w:r>
      <w:r>
        <w:rPr>
          <w:rtl w:val="true"/>
        </w:rPr>
        <w:t xml:space="preserve">. </w:t>
      </w:r>
      <w:r>
        <w:rPr>
          <w:rtl w:val="true"/>
        </w:rPr>
        <w:t>לפיכך</w:t>
      </w:r>
      <w:r>
        <w:rPr>
          <w:rtl w:val="true"/>
        </w:rPr>
        <w:t xml:space="preserve">, </w:t>
      </w:r>
      <w:r>
        <w:rPr>
          <w:rtl w:val="true"/>
        </w:rPr>
        <w:t>אם תשמע דעתי</w:t>
      </w:r>
      <w:r>
        <w:rPr>
          <w:rtl w:val="true"/>
        </w:rPr>
        <w:t xml:space="preserve">, </w:t>
      </w:r>
      <w:r>
        <w:rPr>
          <w:rtl w:val="true"/>
        </w:rPr>
        <w:t xml:space="preserve">נדחה הן את ערעור המשיב </w:t>
      </w:r>
      <w:r>
        <w:rPr>
          <w:rtl w:val="true"/>
        </w:rPr>
        <w:t>(</w:t>
      </w:r>
      <w:r>
        <w:rPr>
          <w:rtl w:val="true"/>
        </w:rPr>
        <w:t>לפי הסכמתו</w:t>
      </w:r>
      <w:r>
        <w:rPr>
          <w:rtl w:val="true"/>
        </w:rPr>
        <w:t xml:space="preserve">) </w:t>
      </w:r>
      <w:r>
        <w:rPr>
          <w:rtl w:val="true"/>
        </w:rPr>
        <w:t xml:space="preserve">והן את ערעור המדינה </w:t>
      </w:r>
      <w:r>
        <w:rPr>
          <w:rtl w:val="true"/>
        </w:rPr>
        <w:t>(</w:t>
      </w:r>
      <w:r>
        <w:rPr>
          <w:rtl w:val="true"/>
        </w:rPr>
        <w:t>מהנימוקים שפורטו לעיל</w:t>
      </w:r>
      <w:r>
        <w:rPr>
          <w:rtl w:val="true"/>
        </w:rPr>
        <w:t xml:space="preserve">). </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bodyverdict1"/>
        <w:shd w:fill="FFFFFF" w:val="clear"/>
        <w:bidi w:val="1"/>
        <w:spacing w:before="0" w:after="0"/>
        <w:ind w:end="0"/>
        <w:jc w:val="start"/>
        <w:rPr>
          <w:color w:val="000000"/>
          <w:spacing w:val="10"/>
          <w:sz w:val="22"/>
          <w:szCs w:val="22"/>
        </w:rPr>
      </w:pPr>
      <w:r>
        <w:rPr>
          <w:rFonts w:cs="Miriam"/>
          <w:color w:val="000000"/>
          <w:spacing w:val="10"/>
          <w:u w:val="single"/>
          <w:rtl w:val="true"/>
        </w:rPr>
        <w:t>השופט</w:t>
      </w:r>
      <w:r>
        <w:rPr>
          <w:color w:val="000000"/>
          <w:spacing w:val="10"/>
          <w:u w:val="single"/>
          <w:rtl w:val="true"/>
        </w:rPr>
        <w:t xml:space="preserve"> </w:t>
      </w:r>
      <w:r>
        <w:rPr>
          <w:rFonts w:cs="Miriam"/>
          <w:color w:val="000000"/>
          <w:spacing w:val="10"/>
          <w:u w:val="single"/>
          <w:rtl w:val="true"/>
        </w:rPr>
        <w:t>ע</w:t>
      </w:r>
      <w:r>
        <w:rPr>
          <w:rFonts w:cs="Miriam"/>
          <w:color w:val="000000"/>
          <w:spacing w:val="10"/>
          <w:u w:val="single"/>
          <w:rtl w:val="true"/>
        </w:rPr>
        <w:t xml:space="preserve">' </w:t>
      </w:r>
      <w:r>
        <w:rPr>
          <w:rFonts w:cs="Miriam"/>
          <w:color w:val="000000"/>
          <w:spacing w:val="10"/>
          <w:u w:val="single"/>
          <w:rtl w:val="true"/>
        </w:rPr>
        <w:t>פוגלמן</w:t>
      </w:r>
      <w:r>
        <w:rPr>
          <w:rFonts w:cs="Miriam"/>
          <w:color w:val="000000"/>
          <w:spacing w:val="10"/>
          <w:u w:val="single"/>
          <w:rtl w:val="true"/>
        </w:rPr>
        <w:t>:</w:t>
      </w:r>
    </w:p>
    <w:p>
      <w:pPr>
        <w:pStyle w:val="ruller411"/>
        <w:shd w:fill="FFFFFF" w:val="clear"/>
        <w:bidi w:val="1"/>
        <w:spacing w:lineRule="atLeast" w:line="330" w:before="0" w:after="0"/>
        <w:ind w:end="0"/>
        <w:jc w:val="both"/>
        <w:rPr>
          <w:rFonts w:ascii="Arial TUR" w:hAnsi="Arial TUR" w:cs="Arial TUR"/>
          <w:color w:val="000000"/>
          <w:spacing w:val="10"/>
          <w:sz w:val="22"/>
          <w:szCs w:val="22"/>
        </w:rPr>
      </w:pPr>
      <w:r>
        <w:rPr>
          <w:rFonts w:eastAsia="FrankRuehl" w:cs="FrankRuehl" w:ascii="FrankRuehl" w:hAnsi="FrankRuehl"/>
          <w:color w:val="000000"/>
          <w:spacing w:val="10"/>
          <w:sz w:val="28"/>
          <w:szCs w:val="28"/>
          <w:rtl w:val="true"/>
        </w:rPr>
        <w:t xml:space="preserve"> </w:t>
      </w:r>
    </w:p>
    <w:p>
      <w:pPr>
        <w:pStyle w:val="ruller411"/>
        <w:shd w:fill="FFFFFF" w:val="clear"/>
        <w:bidi w:val="1"/>
        <w:spacing w:lineRule="atLeast" w:line="330" w:before="0" w:after="0"/>
        <w:ind w:firstLine="720" w:end="0"/>
        <w:jc w:val="both"/>
        <w:rPr>
          <w:rFonts w:ascii="Arial TUR" w:hAnsi="Arial TUR" w:cs="Arial TUR"/>
          <w:color w:val="000000"/>
          <w:spacing w:val="10"/>
          <w:sz w:val="22"/>
          <w:szCs w:val="22"/>
        </w:rPr>
      </w:pPr>
      <w:r>
        <w:rPr>
          <w:rFonts w:ascii="FrankRuehl" w:hAnsi="FrankRuehl" w:cs="FrankRuehl"/>
          <w:color w:val="000000"/>
          <w:spacing w:val="10"/>
          <w:sz w:val="28"/>
          <w:sz w:val="28"/>
          <w:szCs w:val="28"/>
          <w:rtl w:val="true"/>
        </w:rPr>
        <w:t>אני מסכים</w:t>
      </w:r>
      <w:r>
        <w:rPr>
          <w:rFonts w:cs="FrankRuehl" w:ascii="FrankRuehl" w:hAnsi="FrankRuehl"/>
          <w:color w:val="000000"/>
          <w:spacing w:val="10"/>
          <w:sz w:val="28"/>
          <w:szCs w:val="28"/>
          <w:rtl w:val="true"/>
        </w:rPr>
        <w:t>.</w:t>
      </w:r>
    </w:p>
    <w:p>
      <w:pPr>
        <w:pStyle w:val="Ruller41"/>
        <w:ind w:end="0"/>
        <w:jc w:val="both"/>
        <w:rPr>
          <w:rFonts w:ascii="Arial TUR" w:hAnsi="Arial TUR" w:cs="Arial TUR"/>
          <w:color w:val="000000"/>
          <w:spacing w:val="10"/>
          <w:sz w:val="22"/>
          <w:szCs w:val="22"/>
        </w:rPr>
      </w:pPr>
      <w:r>
        <w:rPr>
          <w:rFonts w:cs="Arial TUR"/>
          <w:color w:val="000000"/>
          <w:spacing w:val="10"/>
          <w:sz w:val="22"/>
          <w:szCs w:val="22"/>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bodyverdict1"/>
        <w:shd w:fill="FFFFFF" w:val="clear"/>
        <w:bidi w:val="1"/>
        <w:spacing w:before="0" w:after="0"/>
        <w:ind w:end="0"/>
        <w:jc w:val="start"/>
        <w:rPr>
          <w:color w:val="000000"/>
          <w:spacing w:val="10"/>
          <w:sz w:val="22"/>
          <w:szCs w:val="22"/>
        </w:rPr>
      </w:pPr>
      <w:r>
        <w:rPr>
          <w:rFonts w:cs="Miriam"/>
          <w:color w:val="000000"/>
          <w:spacing w:val="10"/>
          <w:u w:val="single"/>
          <w:rtl w:val="true"/>
        </w:rPr>
        <w:t>השופטת</w:t>
      </w:r>
      <w:r>
        <w:rPr>
          <w:color w:val="000000"/>
          <w:spacing w:val="10"/>
          <w:u w:val="single"/>
          <w:rtl w:val="true"/>
        </w:rPr>
        <w:t xml:space="preserve"> </w:t>
      </w:r>
      <w:r>
        <w:rPr>
          <w:rFonts w:cs="Miriam"/>
          <w:color w:val="000000"/>
          <w:spacing w:val="10"/>
          <w:u w:val="single"/>
          <w:rtl w:val="true"/>
        </w:rPr>
        <w:t>י</w:t>
      </w:r>
      <w:r>
        <w:rPr>
          <w:rFonts w:cs="Miriam"/>
          <w:color w:val="000000"/>
          <w:spacing w:val="10"/>
          <w:u w:val="single"/>
          <w:rtl w:val="true"/>
        </w:rPr>
        <w:t xml:space="preserve">' </w:t>
      </w:r>
      <w:r>
        <w:rPr>
          <w:rFonts w:cs="Miriam"/>
          <w:color w:val="000000"/>
          <w:spacing w:val="10"/>
          <w:u w:val="single"/>
          <w:rtl w:val="true"/>
        </w:rPr>
        <w:t>וילנר</w:t>
      </w:r>
      <w:r>
        <w:rPr>
          <w:rFonts w:cs="Miriam"/>
          <w:color w:val="000000"/>
          <w:spacing w:val="10"/>
          <w:u w:val="single"/>
          <w:rtl w:val="true"/>
        </w:rPr>
        <w:t>:</w:t>
      </w:r>
    </w:p>
    <w:p>
      <w:pPr>
        <w:pStyle w:val="Ruller41"/>
        <w:ind w:end="0"/>
        <w:jc w:val="both"/>
        <w:rPr>
          <w:color w:val="000000"/>
          <w:spacing w:val="10"/>
          <w:sz w:val="22"/>
          <w:szCs w:val="22"/>
        </w:rPr>
      </w:pPr>
      <w:r>
        <w:rPr>
          <w:color w:val="000000"/>
          <w:spacing w:val="10"/>
          <w:sz w:val="22"/>
          <w:szCs w:val="22"/>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מסכימה</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Ruller41"/>
        <w:ind w:end="0"/>
        <w:jc w:val="both"/>
        <w:rPr/>
      </w:pPr>
      <w:r>
        <w:rPr>
          <w:rtl w:val="true"/>
        </w:rPr>
      </w:r>
    </w:p>
    <w:p>
      <w:pPr>
        <w:pStyle w:val="Ruller41"/>
        <w:ind w:end="0"/>
        <w:jc w:val="both"/>
        <w:rPr/>
      </w:pPr>
      <w:r>
        <w:rPr>
          <w:rFonts w:cs="FrankRuehl" w:ascii="FrankRuehl" w:hAnsi="FrankRuehl"/>
          <w:color w:val="000000"/>
          <w:sz w:val="28"/>
          <w:shd w:fill="FFFFFF" w:val="clear"/>
          <w:rtl w:val="true"/>
        </w:rPr>
        <w:tab/>
      </w:r>
      <w:r>
        <w:rPr>
          <w:rFonts w:ascii="FrankRuehl" w:hAnsi="FrankRuehl"/>
          <w:color w:val="000000"/>
          <w:sz w:val="28"/>
          <w:sz w:val="28"/>
          <w:shd w:fill="FFFFFF" w:val="clear"/>
          <w:rtl w:val="true"/>
        </w:rPr>
        <w:t>אשר על כן</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 xml:space="preserve">הוחלט </w:t>
      </w:r>
      <w:r>
        <w:rPr>
          <w:rFonts w:ascii="FrankRuehl" w:hAnsi="FrankRuehl"/>
          <w:color w:val="000000"/>
          <w:sz w:val="28"/>
          <w:sz w:val="28"/>
          <w:shd w:fill="FFFFFF" w:val="clear"/>
          <w:rtl w:val="true"/>
        </w:rPr>
        <w:t xml:space="preserve">על דחיית שני הערעורים </w:t>
      </w:r>
      <w:r>
        <w:rPr>
          <w:rFonts w:ascii="FrankRuehl" w:hAnsi="FrankRuehl"/>
          <w:color w:val="000000"/>
          <w:sz w:val="28"/>
          <w:sz w:val="28"/>
          <w:shd w:fill="FFFFFF" w:val="clear"/>
          <w:rtl w:val="true"/>
        </w:rPr>
        <w:t>כאמור בפסק דינו של השופ</w:t>
      </w:r>
      <w:r>
        <w:rPr>
          <w:rFonts w:ascii="FrankRuehl" w:hAnsi="FrankRuehl"/>
          <w:color w:val="000000"/>
          <w:sz w:val="28"/>
          <w:sz w:val="28"/>
          <w:shd w:fill="FFFFFF" w:val="clear"/>
          <w:rtl w:val="true"/>
        </w:rPr>
        <w:t xml:space="preserve">ט </w:t>
      </w:r>
      <w:r>
        <w:rPr>
          <w:rFonts w:ascii="Century" w:hAnsi="Century" w:cs="Miriam"/>
          <w:b/>
          <w:b/>
          <w:spacing w:val="0"/>
          <w:szCs w:val="24"/>
          <w:shd w:fill="FFFFFF" w:val="clear"/>
          <w:rtl w:val="true"/>
        </w:rPr>
        <w:t>ע</w:t>
      </w:r>
      <w:r>
        <w:rPr>
          <w:rFonts w:cs="Miriam" w:ascii="Century" w:hAnsi="Century"/>
          <w:b/>
          <w:spacing w:val="0"/>
          <w:szCs w:val="24"/>
          <w:shd w:fill="FFFFFF" w:val="clear"/>
          <w:rtl w:val="true"/>
        </w:rPr>
        <w:t xml:space="preserve">' </w:t>
      </w:r>
      <w:r>
        <w:rPr>
          <w:rFonts w:ascii="Century" w:hAnsi="Century" w:cs="Miriam"/>
          <w:b/>
          <w:b/>
          <w:spacing w:val="0"/>
          <w:szCs w:val="24"/>
          <w:shd w:fill="FFFFFF" w:val="clear"/>
          <w:rtl w:val="true"/>
        </w:rPr>
        <w:t>גרוסקופף</w:t>
      </w:r>
      <w:r>
        <w:rPr>
          <w:rFonts w:cs="FrankRuehl" w:ascii="FrankRuehl" w:hAnsi="FrankRuehl"/>
          <w:color w:val="000000"/>
          <w:sz w:val="28"/>
          <w:shd w:fill="FFFFFF" w:val="clear"/>
          <w:rtl w:val="true"/>
        </w:rPr>
        <w:t>.</w:t>
      </w:r>
    </w:p>
    <w:p>
      <w:pPr>
        <w:pStyle w:val="Ruller41"/>
        <w:ind w:end="0"/>
        <w:jc w:val="both"/>
        <w:rPr/>
      </w:pPr>
      <w:r>
        <w:rPr>
          <w:rtl w:val="true"/>
        </w:rPr>
      </w:r>
    </w:p>
    <w:p>
      <w:pPr>
        <w:pStyle w:val="Ruller41"/>
        <w:ind w:end="0"/>
        <w:jc w:val="both"/>
        <w:rPr/>
      </w:pPr>
      <w:bookmarkStart w:id="19"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ט</w:t>
      </w:r>
      <w:r>
        <w:rPr>
          <w:rtl w:val="true"/>
        </w:rPr>
        <w:t xml:space="preserve">' </w:t>
      </w:r>
      <w:r>
        <w:rPr>
          <w:rtl w:val="true"/>
        </w:rPr>
        <w:t>בסיון</w:t>
      </w:r>
      <w:r>
        <w:rPr>
          <w:rFonts w:eastAsia="Arial TUR" w:cs="Arial TUR"/>
          <w:rtl w:val="true"/>
        </w:rPr>
        <w:t xml:space="preserve"> </w:t>
      </w:r>
      <w:r>
        <w:rPr>
          <w:rtl w:val="true"/>
        </w:rPr>
        <w:t>התשפ</w:t>
      </w:r>
      <w:r>
        <w:rPr>
          <w:rtl w:val="true"/>
        </w:rPr>
        <w:t>"</w:t>
      </w:r>
      <w:r>
        <w:rPr>
          <w:rtl w:val="true"/>
        </w:rPr>
        <w:t>א</w:t>
      </w:r>
      <w:r>
        <w:rPr>
          <w:rFonts w:eastAsia="Arial TUR" w:cs="Arial TUR"/>
          <w:rtl w:val="true"/>
        </w:rPr>
        <w:t xml:space="preserve"> </w:t>
      </w:r>
      <w:r>
        <w:rPr>
          <w:rtl w:val="true"/>
        </w:rPr>
        <w:t>(‏</w:t>
      </w:r>
      <w:r>
        <w:rPr/>
        <w:t>20.5.2021</w:t>
      </w:r>
      <w:r>
        <w:rPr>
          <w:rtl w:val="true"/>
        </w:rPr>
        <w:t xml:space="preserve">). </w:t>
      </w:r>
      <w:bookmarkEnd w:id="19"/>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78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20018380</w:t>
      </w:r>
      <w:r>
        <w:rPr>
          <w:sz w:val="16"/>
          <w:rtl w:val="true"/>
        </w:rPr>
        <w:t>_</w:t>
      </w:r>
      <w:r>
        <w:rPr>
          <w:sz w:val="16"/>
        </w:rPr>
        <w:t>Y08.docx</w:t>
      </w:r>
      <w:r>
        <w:rPr>
          <w:sz w:val="16"/>
          <w:rtl w:val="true"/>
        </w:rPr>
        <w:t xml:space="preserve">   </w:t>
      </w:r>
      <w:r>
        <w:rPr>
          <w:sz w:val="16"/>
          <w:sz w:val="16"/>
          <w:rtl w:val="true"/>
        </w:rPr>
        <w:t>מח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8">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54678313-1838/20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0"/>
      <w:footerReference w:type="default" r:id="rId6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entury">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1838/20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bCs w:val="false"/>
        <w:w w:val="100"/>
        <w:vanish w:val="false"/>
        <w:rFonts w:ascii="Century" w:hAnsi="Century" w:cs="FrankRuehl"/>
        <w:color w:val="000000"/>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eastAsia="Times New Roman" w:cs="FrankRueh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entury" w:hAnsi="Century" w:cs="FrankRuehl"/>
      <w:b w:val="false"/>
      <w:bCs w:val="false"/>
      <w:i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US"/>
    </w:rPr>
  </w:style>
  <w:style w:type="character" w:styleId="WW8Num13z0">
    <w:name w:val="WW8Num13z0"/>
    <w:qFormat/>
    <w:rPr>
      <w:sz w:val="28"/>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z w:val="28"/>
    </w:rPr>
  </w:style>
  <w:style w:type="character" w:styleId="WW8Num17z0">
    <w:name w:val="WW8Num17z0"/>
    <w:qFormat/>
    <w:rPr>
      <w:rFonts w:ascii="FrankRuehl" w:hAnsi="FrankRuehl" w:eastAsia="Times New Roman" w:cs="FrankRueh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FrankRuehl" w:hAnsi="FrankRuehl" w:eastAsia="Times New Roman" w:cs="FrankRuehl"/>
      <w:sz w:val="28"/>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highlight">
    <w:name w:val="highlight"/>
    <w:basedOn w:val="DefaultParagraphFont"/>
    <w:qFormat/>
    <w:rPr/>
  </w:style>
  <w:style w:type="character" w:styleId="Emphasis">
    <w:name w:val="Emphasis"/>
    <w:qFormat/>
    <w:rPr>
      <w:i/>
      <w:iCs/>
    </w:rPr>
  </w:style>
  <w:style w:type="character" w:styleId="Ruller4">
    <w:name w:val="Ruller4 תו"/>
    <w:qFormat/>
    <w:rPr>
      <w:rFonts w:ascii="Arial TUR" w:hAnsi="Arial TUR" w:cs="FrankRuehl"/>
      <w:spacing w:val="10"/>
      <w:sz w:val="22"/>
      <w:szCs w:val="28"/>
    </w:rPr>
  </w:style>
  <w:style w:type="character" w:styleId="term11">
    <w:name w:val="term_11"/>
    <w:qFormat/>
    <w:rPr>
      <w:shd w:fill="FFFF66" w:val="clear"/>
    </w:rPr>
  </w:style>
  <w:style w:type="character" w:styleId="term1">
    <w:name w:val="term_1"/>
    <w:qFormat/>
    <w:rPr/>
  </w:style>
  <w:style w:type="character" w:styleId="Style14">
    <w:name w:val="סוג_הליך"/>
    <w:qFormat/>
    <w:rPr>
      <w:rFonts w:ascii="Times New Roman" w:hAnsi="Times New Roman" w:cs="David"/>
      <w:color w:val="FF0000"/>
      <w:sz w:val="20"/>
      <w:szCs w:val="20"/>
      <w:u w:val="single"/>
    </w:rPr>
  </w:style>
  <w:style w:type="character" w:styleId="Ruller5">
    <w:name w:val="Ruller5 תו"/>
    <w:qFormat/>
    <w:rPr>
      <w:rFonts w:ascii="Arial TUR" w:hAnsi="Arial TUR" w:cs="FrankRuehl"/>
      <w:spacing w:val="10"/>
      <w:sz w:val="22"/>
      <w:szCs w:val="28"/>
    </w:rPr>
  </w:style>
  <w:style w:type="character" w:styleId="default">
    <w:name w:val="default"/>
    <w:qFormat/>
    <w:rPr>
      <w:rFonts w:ascii="Times New Roman" w:hAnsi="Times New Roman" w:cs="Times New Roman"/>
    </w:rPr>
  </w:style>
  <w:style w:type="character" w:styleId="big-number">
    <w:name w:val="big-number"/>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evision">
    <w:name w:val="Revision"/>
    <w:qFormat/>
    <w:pPr>
      <w:widowControl/>
      <w:bidi w:val="0"/>
    </w:pPr>
    <w:rPr>
      <w:rFonts w:ascii="Times New Roman" w:hAnsi="Times New Roman" w:eastAsia="Times New Roman" w:cs="David"/>
      <w:color w:val="auto"/>
      <w:sz w:val="20"/>
      <w:szCs w:val="24"/>
      <w:lang w:val="en-US" w:bidi="he-IL" w:eastAsia="zh-CN"/>
    </w:rPr>
  </w:style>
  <w:style w:type="paragraph" w:styleId="ListParagraph">
    <w:name w:val="List Paragraph"/>
    <w:basedOn w:val="Normal"/>
    <w:qFormat/>
    <w:pPr>
      <w:ind w:hanging="0" w:start="720" w:end="0"/>
    </w:pPr>
    <w:rPr/>
  </w:style>
  <w:style w:type="paragraph" w:styleId="ruller50">
    <w:name w:val="ruller50"/>
    <w:basedOn w:val="Normal"/>
    <w:qFormat/>
    <w:pPr>
      <w:overflowPunct w:val="true"/>
      <w:autoSpaceDE w:val="true"/>
      <w:bidi w:val="0"/>
      <w:spacing w:before="280" w:after="280"/>
      <w:textAlignment w:val="auto"/>
    </w:pPr>
    <w:rPr>
      <w:rFonts w:cs="Times New Roman"/>
      <w:sz w:val="24"/>
    </w:rPr>
  </w:style>
  <w:style w:type="paragraph" w:styleId="a">
    <w:name w:val="a"/>
    <w:basedOn w:val="Normal"/>
    <w:qFormat/>
    <w:pPr>
      <w:overflowPunct w:val="true"/>
      <w:autoSpaceDE w:val="true"/>
      <w:bidi w:val="0"/>
      <w:spacing w:before="280" w:after="280"/>
      <w:textAlignment w:val="auto"/>
    </w:pPr>
    <w:rPr>
      <w:rFonts w:cs="Times New Roman"/>
      <w:sz w:val="24"/>
    </w:rPr>
  </w:style>
  <w:style w:type="paragraph" w:styleId="ruller4111">
    <w:name w:val="ruller411"/>
    <w:basedOn w:val="Normal"/>
    <w:qFormat/>
    <w:pPr>
      <w:overflowPunct w:val="true"/>
      <w:autoSpaceDE w:val="true"/>
      <w:bidi w:val="0"/>
      <w:spacing w:before="280" w:after="280"/>
      <w:textAlignment w:val="auto"/>
    </w:pPr>
    <w:rPr>
      <w:rFonts w:cs="Times New Roman"/>
      <w:sz w:val="24"/>
    </w:rPr>
  </w:style>
  <w:style w:type="paragraph" w:styleId="bodyverdict1">
    <w:name w:val="bodyverdict"/>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759048"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safrut/bookgroup/412"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345.a.1" TargetMode="External"/><Relationship Id="rId7" Type="http://schemas.openxmlformats.org/officeDocument/2006/relationships/hyperlink" Target="http://www.nevo.co.il/law/70301/348.c1" TargetMode="External"/><Relationship Id="rId8" Type="http://schemas.openxmlformats.org/officeDocument/2006/relationships/hyperlink" Target="http://www.nevo.co.il/law/70301/369" TargetMode="External"/><Relationship Id="rId9" Type="http://schemas.openxmlformats.org/officeDocument/2006/relationships/hyperlink" Target="http://www.nevo.co.il/law/70301/374a" TargetMode="External"/><Relationship Id="rId10" Type="http://schemas.openxmlformats.org/officeDocument/2006/relationships/hyperlink" Target="http://www.nevo.co.il/law/70301/377" TargetMode="External"/><Relationship Id="rId11" Type="http://schemas.openxmlformats.org/officeDocument/2006/relationships/hyperlink" Target="http://www.nevo.co.il/law/70301/377a.a.7" TargetMode="External"/><Relationship Id="rId12" Type="http://schemas.openxmlformats.org/officeDocument/2006/relationships/hyperlink" Target="http://www.nevo.co.il/law/70301/gS" TargetMode="External"/><Relationship Id="rId13" Type="http://schemas.openxmlformats.org/officeDocument/2006/relationships/hyperlink" Target="http://www.nevo.co.il/law/70301/jC" TargetMode="External"/><Relationship Id="rId14" Type="http://schemas.openxmlformats.org/officeDocument/2006/relationships/hyperlink" Target="http://www.nevo.co.il/case/23759048" TargetMode="External"/><Relationship Id="rId15" Type="http://schemas.openxmlformats.org/officeDocument/2006/relationships/hyperlink" Target="http://www.nevo.co.il/law/70301/369" TargetMode="External"/><Relationship Id="rId16" Type="http://schemas.openxmlformats.org/officeDocument/2006/relationships/hyperlink" Target="http://www.nevo.co.il/law/70301/374a" TargetMode="External"/><Relationship Id="rId17" Type="http://schemas.openxmlformats.org/officeDocument/2006/relationships/hyperlink" Target="http://www.nevo.co.il/law/70301/377a.a.7"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345.a.1" TargetMode="External"/><Relationship Id="rId20" Type="http://schemas.openxmlformats.org/officeDocument/2006/relationships/hyperlink" Target="http://www.nevo.co.il/law/70301/377" TargetMode="External"/><Relationship Id="rId21" Type="http://schemas.openxmlformats.org/officeDocument/2006/relationships/hyperlink" Target="http://www.nevo.co.il/law/70301/348.c1" TargetMode="External"/><Relationship Id="rId22" Type="http://schemas.openxmlformats.org/officeDocument/2006/relationships/hyperlink" Target="http://www.nevo.co.il/case/17926120" TargetMode="External"/><Relationship Id="rId23" Type="http://schemas.openxmlformats.org/officeDocument/2006/relationships/hyperlink" Target="http://www.nevo.co.il/case/18120109" TargetMode="External"/><Relationship Id="rId24" Type="http://schemas.openxmlformats.org/officeDocument/2006/relationships/hyperlink" Target="http://www.nevo.co.il/case/17928136" TargetMode="External"/><Relationship Id="rId25" Type="http://schemas.openxmlformats.org/officeDocument/2006/relationships/hyperlink" Target="http://www.nevo.co.il/case/6125282" TargetMode="External"/><Relationship Id="rId26" Type="http://schemas.openxmlformats.org/officeDocument/2006/relationships/hyperlink" Target="http://www.nevo.co.il/case/21473673" TargetMode="External"/><Relationship Id="rId27" Type="http://schemas.openxmlformats.org/officeDocument/2006/relationships/hyperlink" Target="http://www.nevo.co.il/case/7009926" TargetMode="External"/><Relationship Id="rId28" Type="http://schemas.openxmlformats.org/officeDocument/2006/relationships/hyperlink" Target="http://www.nevo.co.il/case/17926285" TargetMode="External"/><Relationship Id="rId29" Type="http://schemas.openxmlformats.org/officeDocument/2006/relationships/hyperlink" Target="http://www.nevo.co.il/case/8245382" TargetMode="External"/><Relationship Id="rId30" Type="http://schemas.openxmlformats.org/officeDocument/2006/relationships/hyperlink" Target="http://www.nevo.co.il/case/17942148" TargetMode="External"/><Relationship Id="rId31" Type="http://schemas.openxmlformats.org/officeDocument/2006/relationships/hyperlink" Target="http://www.nevo.co.il/case/17929053" TargetMode="External"/><Relationship Id="rId32" Type="http://schemas.openxmlformats.org/officeDocument/2006/relationships/hyperlink" Target="http://www.nevo.co.il/case/5675516" TargetMode="External"/><Relationship Id="rId33" Type="http://schemas.openxmlformats.org/officeDocument/2006/relationships/hyperlink" Target="http://www.nevo.co.il/case/13055041" TargetMode="External"/><Relationship Id="rId34" Type="http://schemas.openxmlformats.org/officeDocument/2006/relationships/hyperlink" Target="http://www.nevo.co.il/law/70301/jC" TargetMode="External"/><Relationship Id="rId35" Type="http://schemas.openxmlformats.org/officeDocument/2006/relationships/hyperlink" Target="http://www.nevo.co.il/law/70301/gS" TargetMode="External"/><Relationship Id="rId36" Type="http://schemas.openxmlformats.org/officeDocument/2006/relationships/hyperlink" Target="http://www.nevo.co.il/law/70301/369" TargetMode="External"/><Relationship Id="rId37" Type="http://schemas.openxmlformats.org/officeDocument/2006/relationships/hyperlink" Target="http://www.nevo.co.il/law/70301/374a" TargetMode="External"/><Relationship Id="rId38" Type="http://schemas.openxmlformats.org/officeDocument/2006/relationships/hyperlink" Target="http://www.nevo.co.il/law/70301/377a.a.7" TargetMode="External"/><Relationship Id="rId39" Type="http://schemas.openxmlformats.org/officeDocument/2006/relationships/hyperlink" Target="http://www.nevo.co.il/case/5784790" TargetMode="External"/><Relationship Id="rId40" Type="http://schemas.openxmlformats.org/officeDocument/2006/relationships/hyperlink" Target="http://www.nevo.co.il/case/5612898" TargetMode="External"/><Relationship Id="rId41" Type="http://schemas.openxmlformats.org/officeDocument/2006/relationships/hyperlink" Target="http://www.nevo.co.il/case/6245120" TargetMode="External"/><Relationship Id="rId42" Type="http://schemas.openxmlformats.org/officeDocument/2006/relationships/hyperlink" Target="http://www.nevo.co.il/case/6244153" TargetMode="External"/><Relationship Id="rId43" Type="http://schemas.openxmlformats.org/officeDocument/2006/relationships/hyperlink" Target="http://www.nevo.co.il/case/5593986" TargetMode="External"/><Relationship Id="rId44" Type="http://schemas.openxmlformats.org/officeDocument/2006/relationships/hyperlink" Target="http://www.nevo.co.il/case/6128914" TargetMode="External"/><Relationship Id="rId45" Type="http://schemas.openxmlformats.org/officeDocument/2006/relationships/hyperlink" Target="http://www.nevo.co.il/case/17940523" TargetMode="External"/><Relationship Id="rId46" Type="http://schemas.openxmlformats.org/officeDocument/2006/relationships/hyperlink" Target="http://www.nevo.co.il/case/17932314" TargetMode="External"/><Relationship Id="rId47" Type="http://schemas.openxmlformats.org/officeDocument/2006/relationships/hyperlink" Target="http://www.nevo.co.il/case/5995049" TargetMode="External"/><Relationship Id="rId48" Type="http://schemas.openxmlformats.org/officeDocument/2006/relationships/hyperlink" Target="http://www.nevo.co.il/case/5777709" TargetMode="External"/><Relationship Id="rId49" Type="http://schemas.openxmlformats.org/officeDocument/2006/relationships/hyperlink" Target="http://www.nevo.co.il/case/5704544" TargetMode="External"/><Relationship Id="rId50" Type="http://schemas.openxmlformats.org/officeDocument/2006/relationships/hyperlink" Target="http://www.nevo.co.il/safrut/bookgroup/412" TargetMode="External"/><Relationship Id="rId51" Type="http://schemas.openxmlformats.org/officeDocument/2006/relationships/hyperlink" Target="http://www.nevo.co.il/case/17919404" TargetMode="External"/><Relationship Id="rId52" Type="http://schemas.openxmlformats.org/officeDocument/2006/relationships/hyperlink" Target="http://www.nevo.co.il/law/70301/377"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377" TargetMode="External"/><Relationship Id="rId55" Type="http://schemas.openxmlformats.org/officeDocument/2006/relationships/hyperlink" Target="http://www.nevo.co.il/case/5878704" TargetMode="External"/><Relationship Id="rId56" Type="http://schemas.openxmlformats.org/officeDocument/2006/relationships/hyperlink" Target="http://www.nevo.co.il/case/5684287" TargetMode="External"/><Relationship Id="rId57" Type="http://schemas.openxmlformats.org/officeDocument/2006/relationships/hyperlink" Target="http://www.nevo.co.il/case/8291901" TargetMode="External"/><Relationship Id="rId58" Type="http://schemas.openxmlformats.org/officeDocument/2006/relationships/hyperlink" Target="https://supreme.court.gov.il/" TargetMode="External"/><Relationship Id="rId59" Type="http://schemas.openxmlformats.org/officeDocument/2006/relationships/hyperlink" Target="http://www.nevo.co.il/advertisements/nevo-100.doc"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2021-05-25T07:03:00Z</dcterms:created>
  <dc:creator>h4</dc:creator>
  <dc:description/>
  <cp:keywords/>
  <dc:language>en-IL</dc:language>
  <cp:lastModifiedBy>hofit</cp:lastModifiedBy>
  <cp:lastPrinted>2021-05-20T10:02:00Z</cp:lastPrinted>
  <dcterms:modified xsi:type="dcterms:W3CDTF">2021-05-25T07:03:00Z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SLISTTMP1">
    <vt:lpwstr>23759048:2;17926120;18120109;17928136;6125282;21473673;7009926;17926285;8245382;17942148;17929053;5675516;13055041;5784790;5612898;6245120;6244153;5593986;6128914;17940523;17932314;5995049;5777709;5704544;17919404;5878704;5684287;8291901</vt:lpwstr>
  </property>
  <property fmtid="{D5CDD505-2E9C-101B-9397-08002B2CF9AE}" pid="10" name="CITY">
    <vt:lpwstr/>
  </property>
  <property fmtid="{D5CDD505-2E9C-101B-9397-08002B2CF9AE}" pid="11" name="DATE">
    <vt:lpwstr>20210520</vt:lpwstr>
  </property>
  <property fmtid="{D5CDD505-2E9C-101B-9397-08002B2CF9AE}" pid="12" name="DELEMATA">
    <vt:lpwstr/>
  </property>
  <property fmtid="{D5CDD505-2E9C-101B-9397-08002B2CF9AE}" pid="13" name="ISABSTRACT">
    <vt:lpwstr>Y</vt:lpwstr>
  </property>
  <property fmtid="{D5CDD505-2E9C-101B-9397-08002B2CF9AE}" pid="14" name="JUDGE">
    <vt:lpwstr>ע' פוגלמן;י' וילנר;ע' גרוסקופף</vt:lpwstr>
  </property>
  <property fmtid="{D5CDD505-2E9C-101B-9397-08002B2CF9AE}" pid="15" name="LAWLISTTMP1">
    <vt:lpwstr>70301/369:2;374a:2;377a.a.7:2;345.a.1;377:3;348.c1;jC;gS</vt:lpwstr>
  </property>
  <property fmtid="{D5CDD505-2E9C-101B-9397-08002B2CF9AE}" pid="16" name="LAWYER">
    <vt:lpwstr>משה גלעד;רינת גלעד;אריה פטר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BOOKNEVO">
    <vt:lpwstr>2258;2254</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ראיות</vt:lpwstr>
  </property>
  <property fmtid="{D5CDD505-2E9C-101B-9397-08002B2CF9AE}" pid="33" name="NOSE15">
    <vt:lpwstr>דיון פלילי</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77;77;77;89;18</vt:lpwstr>
  </property>
  <property fmtid="{D5CDD505-2E9C-101B-9397-08002B2CF9AE}" pid="39" name="NOSE21">
    <vt:lpwstr>עבירות</vt:lpwstr>
  </property>
  <property fmtid="{D5CDD505-2E9C-101B-9397-08002B2CF9AE}" pid="40" name="NOSE210">
    <vt:lpwstr/>
  </property>
  <property fmtid="{D5CDD505-2E9C-101B-9397-08002B2CF9AE}" pid="41" name="NOSE22">
    <vt:lpwstr>עבירות</vt:lpwstr>
  </property>
  <property fmtid="{D5CDD505-2E9C-101B-9397-08002B2CF9AE}" pid="42" name="NOSE23">
    <vt:lpwstr>עבירות</vt:lpwstr>
  </property>
  <property fmtid="{D5CDD505-2E9C-101B-9397-08002B2CF9AE}" pid="43" name="NOSE24">
    <vt:lpwstr>עדות</vt:lpwstr>
  </property>
  <property fmtid="{D5CDD505-2E9C-101B-9397-08002B2CF9AE}" pid="44" name="NOSE25">
    <vt:lpwstr>ערעור</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1443;1443;1443;1654;504</vt:lpwstr>
  </property>
  <property fmtid="{D5CDD505-2E9C-101B-9397-08002B2CF9AE}" pid="50" name="NOSE31">
    <vt:lpwstr>חטיפה לשם ביצוע עבירת מין</vt:lpwstr>
  </property>
  <property fmtid="{D5CDD505-2E9C-101B-9397-08002B2CF9AE}" pid="51" name="NOSE310">
    <vt:lpwstr/>
  </property>
  <property fmtid="{D5CDD505-2E9C-101B-9397-08002B2CF9AE}" pid="52" name="NOSE32">
    <vt:lpwstr>חטיפה</vt:lpwstr>
  </property>
  <property fmtid="{D5CDD505-2E9C-101B-9397-08002B2CF9AE}" pid="53" name="NOSE33">
    <vt:lpwstr>כליאת שווא</vt:lpwstr>
  </property>
  <property fmtid="{D5CDD505-2E9C-101B-9397-08002B2CF9AE}" pid="54" name="NOSE34">
    <vt:lpwstr>פיצולה</vt:lpwstr>
  </property>
  <property fmtid="{D5CDD505-2E9C-101B-9397-08002B2CF9AE}" pid="55" name="NOSE35">
    <vt:lpwstr>אי-התערבות בממצאים עובדתיים</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;8834;8838;10416;3849</vt:lpwstr>
  </property>
  <property fmtid="{D5CDD505-2E9C-101B-9397-08002B2CF9AE}" pid="61" name="PADIDATE">
    <vt:lpwstr>20210523</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vt:lpwstr>
  </property>
  <property fmtid="{D5CDD505-2E9C-101B-9397-08002B2CF9AE}" pid="66" name="PROCNUM">
    <vt:lpwstr>1838;1880</vt:lpwstr>
  </property>
  <property fmtid="{D5CDD505-2E9C-101B-9397-08002B2CF9AE}" pid="67" name="PROCYEAR">
    <vt:lpwstr>20;20</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410120210520</vt:lpwstr>
  </property>
  <property fmtid="{D5CDD505-2E9C-101B-9397-08002B2CF9AE}" pid="71" name="TYPE_N_DATE">
    <vt:lpwstr>41020210520</vt:lpwstr>
  </property>
  <property fmtid="{D5CDD505-2E9C-101B-9397-08002B2CF9AE}" pid="72" name="VOLUME">
    <vt:lpwstr/>
  </property>
  <property fmtid="{D5CDD505-2E9C-101B-9397-08002B2CF9AE}" pid="73" name="WORDNUMPAGES">
    <vt:lpwstr>20</vt:lpwstr>
  </property>
</Properties>
</file>