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1859/20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David" w:hAnsi="David;David" w:cs="David;David"/>
              </w:rPr>
            </w:pPr>
            <w:bookmarkStart w:id="3" w:name="FirstAppellant"/>
            <w:bookmarkEnd w:id="3"/>
            <w:r>
              <w:rPr>
                <w:rFonts w:ascii="David;David" w:hAnsi="David;David"/>
                <w:rtl w:val="true"/>
              </w:rPr>
              <w:t>המערער</w:t>
            </w:r>
            <w:r>
              <w:rPr>
                <w:rFonts w:cs="David;David" w:ascii="David;David" w:hAnsi="David;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David" w:hAnsi="David;David" w:cs="David;David"/>
              </w:rPr>
            </w:pPr>
            <w:r>
              <w:rPr>
                <w:rFonts w:ascii="David;David" w:hAnsi="David;David"/>
                <w:rtl w:val="true"/>
              </w:rPr>
              <w:t>המשיב</w:t>
            </w:r>
            <w:r>
              <w:rPr>
                <w:rFonts w:ascii="David;David" w:hAnsi="David;David"/>
                <w:rtl w:val="true"/>
              </w:rPr>
              <w:t>ות</w:t>
            </w:r>
            <w:r>
              <w:rPr>
                <w:rFonts w:cs="David;David" w:ascii="David;David" w:hAnsi="David;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David" w:hAnsi="David;David" w:cs="David;David"/>
              </w:rPr>
            </w:pPr>
            <w:r>
              <w:rPr>
                <w:rFonts w:cs="David;David" w:ascii="David;David" w:hAnsi="David;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מתלוננת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1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David" w:hAnsi="David;David" w:cs="David;David"/>
              </w:rPr>
            </w:pPr>
            <w:r>
              <w:rPr>
                <w:rFonts w:cs="David;David" w:ascii="David;David" w:hAnsi="David;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מתלוננת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David" w:hAnsi="David;David" w:cs="David;David"/>
              </w:rPr>
            </w:pPr>
            <w:r>
              <w:rPr>
                <w:rFonts w:cs="David;David" w:ascii="David;David" w:hAnsi="David;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מתלוננת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3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סגנית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ברק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נבו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תמיר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36284-05-19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3.2.2020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;Times New Roman"/>
                <w:rtl w:val="true"/>
              </w:rPr>
              <w:t xml:space="preserve">   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8.12.2020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ברגמן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ביתן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יג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8" w:name="ABSTRACT_START"/>
      <w:bookmarkEnd w:id="8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העליון דחה ערעור על חומרת גזר דין שהגיש אדם שהורשע בביצוע מעשים מגונים שבוצעו על ידו לאורך שנים בשלוש קטינות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שתיים מהן נכדותיו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השלישית עבדה בעסק בבעלותו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בגזה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ד הושת על המערער עונש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6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מאסרים על תנאי ופיצויים בסך כולל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100,000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 לשלוש נפגעות העבירה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עבירות מין בקטינים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עבירות מין במשפחה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ערעור על חומרת 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הורשע בביצוע מעשים מגונים שבוצעו על ידו לאורך שנים בשלוש קטינות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שתיים מהן נכדותיו והשלישית הועסקה בעסק בבעלותו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בגזה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ד הושת על המערער עונש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6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מאסרים על תנאי ופיצויים בסך כולל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100,000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 לשלוש נפגעות העבירה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מפי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השופט 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פוגלמן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בהסכמת השופטים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סולברג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וג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קרא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)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כל השיקולים הצריכים לעניין נדונו במלואם בגזר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והעונש שהושת על המערער הולם את חומרת מעשיו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נותן ביטוי למכלול שיקולי הענישה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ואינו מצדיק התערבות ערכאת הערעור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זה עמד לא אחת על חומרתן היתרה של עבירות מין ועל הפגיעה החברתית הקשה שנגרמת מהן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חומרה זו מתעצמת כאשר מדובר בעבירות מין כלפי קטין אשר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צורבות בליבו חוויה טראומתית וקשה המותירה צלקת עמוקה אשר לעיתים לא תקהה לעולם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ודברים אלה נכונים ביתר שאת כאשר עסקינן במעשים שנעשו תוך ניצול הקרבה שבתא המשפחתי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העונש שהושת על המערער לא סוטה באופן מהותי מרמת הענישה הנוהגת במקרים דומים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 כל שכן באופן שמצדיק התערבות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לגזירת עונשו של המערער בתוך המתחם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 נמצא לשנות מהאיזון שערך 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שנתן משקל הולם לשיקולים השונים בגזירת עונשו של המערער ובהם הצורך בהרתעה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כן לא נמצא כי המקרה דנן בא בקהלי המקרים המצדיקים הקלה בעונשו בשל התנהלות היחידה החוקרת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המחוזי נדרש לכך במישרין וציין כי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חקירת נאשמים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אף בעבירות החמורות ביותר בספר החוקים איננה צריכה ככלל להיות מלווה בצעקות רמות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תוך אמירה כי הנחקר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מגעיל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 (...)".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לצד 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מצא 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כי במקרה דנן אין לשקול את אופן חקירתו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ובכלל זאת העימות עם 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כשיקול לקולה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וזאת מן הטעם שלא היה בו כדי לפגוע במערער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לבסוף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לרכיב הפיצוי הכספי שנפסק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המחוזי עמד על הפגיעה הנפשית שנגרמה לנפגעות ממעשי המערער ונקבע כי הפיצוי שנפסק עשוי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במקצת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 לסייע להן במימון טיפולים נדרשים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עוד נקבע כי השתת הפיצוי תהא ביטוי ללקיחת האחריות של המערער על מעשיו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קביעת שיעור הפיצוי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כידוע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היא עניין לבחינתה של הערכאה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ואין המקרה דנן מצדיק התערבות בשיקול דעתה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bookmarkStart w:id="14" w:name="Writer_Name"/>
      <w:bookmarkEnd w:id="14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BODYVERDICT"/>
        <w:spacing w:lineRule="auto" w:line="360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הורשע בביצוע מעשים מגונים בשלוש קטינות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שתיים מהן נכדותיו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בגין עבירות אלו השית עליו בית המשפט המחוזי מרכז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לוד </w:t>
      </w:r>
      <w:r>
        <w:rPr>
          <w:rFonts w:cs="Century" w:ascii="Century" w:hAnsi="Century"/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ברודי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ברק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נבו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ו</w:t>
      </w:r>
      <w:r>
        <w:rPr>
          <w:rFonts w:cs="Miriam"/>
          <w:b/>
          <w:b/>
          <w:spacing w:val="0"/>
          <w:szCs w:val="24"/>
          <w:rtl w:val="true"/>
        </w:rPr>
        <w:t>מ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תמיר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מאסרים על תנאי בתנאים שפורטו בגזר הדין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ופיצויים בסך כולל של </w:t>
      </w:r>
      <w:r>
        <w:rPr>
          <w:rFonts w:cs="Century" w:ascii="Century" w:hAnsi="Century"/>
        </w:rPr>
        <w:t>100,000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 לשלוש נפגעות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הערעור שלפנינו נסב על חומרת גזר הדין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בכתב האישום המתוקן יוחסו למערער שלושה אישומים שונים של ביצוע מעשים מגונים בשלוש קטינות</w:t>
      </w:r>
      <w:r>
        <w:rPr>
          <w:rtl w:val="true"/>
        </w:rPr>
        <w:t xml:space="preserve">. </w:t>
      </w:r>
      <w:r>
        <w:rPr>
          <w:rtl w:val="true"/>
        </w:rPr>
        <w:t xml:space="preserve">שתיים מנפגעות העבירה </w:t>
      </w:r>
      <w:r>
        <w:rPr>
          <w:rFonts w:ascii="Century" w:hAnsi="Century" w:cs="Century"/>
          <w:sz w:val="22"/>
          <w:sz w:val="22"/>
          <w:rtl w:val="true"/>
        </w:rPr>
        <w:t xml:space="preserve">הן נכדותיו של המערער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ולהלן ביחד גם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הנכדות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 xml:space="preserve">נפגעת העבירה השלישית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הועסקה בפיצרייה שהייתה בבעלות המערער בעת ביצוע המעשים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הפיצרייה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כעולה מכתב האישום</w:t>
      </w:r>
      <w:r>
        <w:rPr>
          <w:rtl w:val="true"/>
        </w:rPr>
        <w:t xml:space="preserve">, </w:t>
      </w:r>
      <w:r>
        <w:rPr>
          <w:rtl w:val="true"/>
        </w:rPr>
        <w:t>אמן של א</w:t>
      </w:r>
      <w:r>
        <w:rPr>
          <w:rtl w:val="true"/>
        </w:rPr>
        <w:t xml:space="preserve">' </w:t>
      </w:r>
      <w:r>
        <w:rPr>
          <w:rtl w:val="true"/>
        </w:rPr>
        <w:t>וב</w:t>
      </w:r>
      <w:r>
        <w:rPr>
          <w:rtl w:val="true"/>
        </w:rPr>
        <w:t>' (</w:t>
      </w:r>
      <w:r>
        <w:rPr>
          <w:rtl w:val="true"/>
        </w:rPr>
        <w:t>בתו של המערער</w:t>
      </w:r>
      <w:r>
        <w:rPr>
          <w:rtl w:val="true"/>
        </w:rPr>
        <w:t xml:space="preserve">) </w:t>
      </w:r>
      <w:r>
        <w:rPr>
          <w:rtl w:val="true"/>
        </w:rPr>
        <w:t xml:space="preserve">התגוררה בביתו של המערער לאחר גירושיה מאביהן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הבית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הנכדות לנו בבית מדי שבת שנייה</w:t>
      </w:r>
      <w:r>
        <w:rPr>
          <w:rtl w:val="true"/>
        </w:rPr>
        <w:t xml:space="preserve">, </w:t>
      </w:r>
      <w:r>
        <w:rPr>
          <w:rtl w:val="true"/>
        </w:rPr>
        <w:t>כשביקרו את אמן במסגרת הסדרי השהות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על פי </w:t>
      </w:r>
      <w:r>
        <w:rPr>
          <w:rFonts w:ascii="Century" w:hAnsi="Century" w:cs="Century"/>
          <w:sz w:val="22"/>
          <w:sz w:val="22"/>
          <w:rtl w:val="true"/>
        </w:rPr>
        <w:t>האישום הראשון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בין השנים </w:t>
      </w:r>
      <w:r>
        <w:rPr>
          <w:rFonts w:cs="Century" w:ascii="Century" w:hAnsi="Century"/>
          <w:sz w:val="22"/>
        </w:rPr>
        <w:t>2019-2015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 סמוך 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ביצע המערער בא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 xml:space="preserve">קטינה ילידת </w:t>
      </w:r>
      <w:r>
        <w:rPr>
          <w:rFonts w:cs="Century" w:ascii="Century" w:hAnsi="Century"/>
          <w:sz w:val="22"/>
        </w:rPr>
        <w:t>2004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בהזדמנויות רבות ושונות ובמקומות שונים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מעשים מיניים לשם גירויו וסיפוקו המיני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ובכלל זאת נגע בה וליטף אותה בכל חלקי גופה לרבות בחזה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בישבנה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ובאיבר מינה מעל ומתחת לבגדיה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בחלק מהמקרים שבהם התארחה בבית</w:t>
      </w:r>
      <w:r>
        <w:rPr>
          <w:rtl w:val="true"/>
        </w:rPr>
        <w:t xml:space="preserve">, </w:t>
      </w:r>
      <w:r>
        <w:rPr>
          <w:rtl w:val="true"/>
        </w:rPr>
        <w:t>נכנס המערער לחדר שבו ישנה א</w:t>
      </w:r>
      <w:r>
        <w:rPr>
          <w:rtl w:val="true"/>
        </w:rPr>
        <w:t xml:space="preserve">' </w:t>
      </w:r>
      <w:r>
        <w:rPr>
          <w:rtl w:val="true"/>
        </w:rPr>
        <w:t>וביצע את המעשים האמורים</w:t>
      </w:r>
      <w:r>
        <w:rPr>
          <w:rtl w:val="true"/>
        </w:rPr>
        <w:t xml:space="preserve">. </w:t>
      </w:r>
      <w:r>
        <w:rPr>
          <w:rtl w:val="true"/>
        </w:rPr>
        <w:t>עוד מתואר באישום הראשון כי במקרה אחד שהו א</w:t>
      </w:r>
      <w:r>
        <w:rPr>
          <w:rtl w:val="true"/>
        </w:rPr>
        <w:t xml:space="preserve">' </w:t>
      </w:r>
      <w:r>
        <w:rPr>
          <w:rtl w:val="true"/>
        </w:rPr>
        <w:t>והמערער בפיצרייה</w:t>
      </w:r>
      <w:r>
        <w:rPr>
          <w:rtl w:val="true"/>
        </w:rPr>
        <w:t xml:space="preserve">, </w:t>
      </w:r>
      <w:r>
        <w:rPr>
          <w:rtl w:val="true"/>
        </w:rPr>
        <w:t>האחרון ניגש לכיוונה ומשבדק כי אין איש מבחין</w:t>
      </w:r>
      <w:r>
        <w:rPr>
          <w:rtl w:val="true"/>
        </w:rPr>
        <w:t xml:space="preserve">, </w:t>
      </w:r>
      <w:r>
        <w:rPr>
          <w:rtl w:val="true"/>
        </w:rPr>
        <w:t>הכניס את ידו מתחת לתחתוניה ונגע באיבר מינה</w:t>
      </w:r>
      <w:r>
        <w:rPr>
          <w:rtl w:val="true"/>
        </w:rPr>
        <w:t xml:space="preserve">. </w:t>
      </w:r>
      <w:r>
        <w:rPr>
          <w:rtl w:val="true"/>
        </w:rPr>
        <w:t>במועד אחר</w:t>
      </w:r>
      <w:r>
        <w:rPr>
          <w:rtl w:val="true"/>
        </w:rPr>
        <w:t xml:space="preserve">, </w:t>
      </w:r>
      <w:r>
        <w:rPr>
          <w:rtl w:val="true"/>
        </w:rPr>
        <w:t>הניח המערער את ידה של א</w:t>
      </w:r>
      <w:r>
        <w:rPr>
          <w:rtl w:val="true"/>
        </w:rPr>
        <w:t xml:space="preserve">' </w:t>
      </w:r>
      <w:r>
        <w:rPr>
          <w:rtl w:val="true"/>
        </w:rPr>
        <w:t>על איבר מינו מעל ומתחת לתחתוניו</w:t>
      </w:r>
      <w:r>
        <w:rPr>
          <w:rtl w:val="true"/>
        </w:rPr>
        <w:t xml:space="preserve">. </w:t>
      </w:r>
      <w:r>
        <w:rPr>
          <w:rtl w:val="true"/>
        </w:rPr>
        <w:t>במועד נוסף</w:t>
      </w:r>
      <w:r>
        <w:rPr>
          <w:rtl w:val="true"/>
        </w:rPr>
        <w:t xml:space="preserve">, </w:t>
      </w:r>
      <w:r>
        <w:rPr>
          <w:rtl w:val="true"/>
        </w:rPr>
        <w:t>כאשר א</w:t>
      </w:r>
      <w:r>
        <w:rPr>
          <w:rtl w:val="true"/>
        </w:rPr>
        <w:t xml:space="preserve">' </w:t>
      </w:r>
      <w:r>
        <w:rPr>
          <w:rtl w:val="true"/>
        </w:rPr>
        <w:t>עמדה בחלק האחורי של הפיצרייה</w:t>
      </w:r>
      <w:r>
        <w:rPr>
          <w:rtl w:val="true"/>
        </w:rPr>
        <w:t xml:space="preserve">, </w:t>
      </w:r>
      <w:r>
        <w:rPr>
          <w:rtl w:val="true"/>
        </w:rPr>
        <w:t>התקרב אליה המערער מאחור כאשר איבר מינו שלוף והוריד את חצאיתה ותחתוניה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נבהלה והרימה את חצאיתה אך המערער</w:t>
      </w:r>
      <w:r>
        <w:rPr>
          <w:rtl w:val="true"/>
        </w:rPr>
        <w:t xml:space="preserve">, </w:t>
      </w:r>
      <w:r>
        <w:rPr>
          <w:rtl w:val="true"/>
        </w:rPr>
        <w:t>לאחר שהביט לצדדים ובדק שאין איש בסביבה</w:t>
      </w:r>
      <w:r>
        <w:rPr>
          <w:rtl w:val="true"/>
        </w:rPr>
        <w:t xml:space="preserve">, </w:t>
      </w:r>
      <w:r>
        <w:rPr>
          <w:rtl w:val="true"/>
        </w:rPr>
        <w:t>שב והוריד את חצאיתה ותחתוניה</w:t>
      </w:r>
      <w:r>
        <w:rPr>
          <w:rtl w:val="true"/>
        </w:rPr>
        <w:t xml:space="preserve">, </w:t>
      </w:r>
      <w:r>
        <w:rPr>
          <w:rtl w:val="true"/>
        </w:rPr>
        <w:t>נצמד אליה וחיכך את איבר מינו סמוך לפי הטבעת שלה מספר פעמים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פי האישום השני</w:t>
      </w:r>
      <w:r>
        <w:rPr>
          <w:rtl w:val="true"/>
        </w:rPr>
        <w:t xml:space="preserve">, </w:t>
      </w:r>
      <w:r>
        <w:rPr>
          <w:rtl w:val="true"/>
        </w:rPr>
        <w:t>במועד שאינו ידוע למשיבה</w:t>
      </w:r>
      <w:r>
        <w:rPr>
          <w:rtl w:val="true"/>
        </w:rPr>
        <w:t xml:space="preserve">, </w:t>
      </w:r>
      <w:r>
        <w:rPr>
          <w:rtl w:val="true"/>
        </w:rPr>
        <w:t xml:space="preserve">בין השנים </w:t>
      </w:r>
      <w:r>
        <w:rPr/>
        <w:t>2019-2018</w:t>
      </w:r>
      <w:r>
        <w:rPr>
          <w:rtl w:val="true"/>
        </w:rPr>
        <w:t xml:space="preserve"> </w:t>
      </w:r>
      <w:r>
        <w:rPr>
          <w:rtl w:val="true"/>
        </w:rPr>
        <w:t>התארחה ב</w:t>
      </w:r>
      <w:r>
        <w:rPr>
          <w:rtl w:val="true"/>
        </w:rPr>
        <w:t xml:space="preserve">', </w:t>
      </w:r>
      <w:r>
        <w:rPr>
          <w:rtl w:val="true"/>
        </w:rPr>
        <w:t xml:space="preserve">קטינה ילידת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בבית ונותרה עם המערער ביחידות</w:t>
      </w:r>
      <w:r>
        <w:rPr>
          <w:rtl w:val="true"/>
        </w:rPr>
        <w:t xml:space="preserve">. </w:t>
      </w:r>
      <w:r>
        <w:rPr>
          <w:rtl w:val="true"/>
        </w:rPr>
        <w:t>לאחר שבדק כי אחיותיה וסבתה יצאו מהבית הוביל המערער את ב</w:t>
      </w:r>
      <w:r>
        <w:rPr>
          <w:rtl w:val="true"/>
        </w:rPr>
        <w:t xml:space="preserve">' </w:t>
      </w:r>
      <w:r>
        <w:rPr>
          <w:rtl w:val="true"/>
        </w:rPr>
        <w:t>לחדר השינה ונעל את הדלת</w:t>
      </w:r>
      <w:r>
        <w:rPr>
          <w:rtl w:val="true"/>
        </w:rPr>
        <w:t xml:space="preserve">. </w:t>
      </w:r>
      <w:r>
        <w:rPr>
          <w:rtl w:val="true"/>
        </w:rPr>
        <w:t>המערער פשט את בגדיו ותחתוניו וכן את בגדיה ותחתוניה של ב</w:t>
      </w:r>
      <w:r>
        <w:rPr>
          <w:rtl w:val="true"/>
        </w:rPr>
        <w:t xml:space="preserve">' </w:t>
      </w:r>
      <w:r>
        <w:rPr>
          <w:rtl w:val="true"/>
        </w:rPr>
        <w:t>כך ששניהם היו ערומים ונשכב מעליה</w:t>
      </w:r>
      <w:r>
        <w:rPr>
          <w:rtl w:val="true"/>
        </w:rPr>
        <w:t xml:space="preserve">, </w:t>
      </w:r>
      <w:r>
        <w:rPr>
          <w:rtl w:val="true"/>
        </w:rPr>
        <w:t>זאת תוך כדי שאיבר מינו נגע בגופה</w:t>
      </w:r>
      <w:r>
        <w:rPr>
          <w:rtl w:val="true"/>
        </w:rPr>
        <w:t xml:space="preserve">. </w:t>
      </w:r>
      <w:r>
        <w:rPr>
          <w:rtl w:val="true"/>
        </w:rPr>
        <w:t xml:space="preserve">המערער חדל ממעשיו רק לאחר ששמע רחשים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על פי האישום השלישי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בין השנים </w:t>
      </w:r>
      <w:r>
        <w:rPr/>
        <w:t>2017-2015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עבדה ג</w:t>
      </w:r>
      <w:r>
        <w:rPr>
          <w:rtl w:val="true"/>
        </w:rPr>
        <w:t xml:space="preserve">', </w:t>
      </w:r>
      <w:r>
        <w:rPr>
          <w:rtl w:val="true"/>
        </w:rPr>
        <w:t xml:space="preserve">קטינה ילידת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בפיצרייה</w:t>
      </w:r>
      <w:r>
        <w:rPr>
          <w:rtl w:val="true"/>
        </w:rPr>
        <w:t xml:space="preserve">. </w:t>
      </w:r>
      <w:r>
        <w:rPr>
          <w:rtl w:val="true"/>
        </w:rPr>
        <w:t>במספר רב של הזדמנויות</w:t>
      </w:r>
      <w:r>
        <w:rPr>
          <w:rtl w:val="true"/>
        </w:rPr>
        <w:t xml:space="preserve">, </w:t>
      </w:r>
      <w:r>
        <w:rPr>
          <w:rtl w:val="true"/>
        </w:rPr>
        <w:t>עת הגיעה לעבודתה</w:t>
      </w:r>
      <w:r>
        <w:rPr>
          <w:rtl w:val="true"/>
        </w:rPr>
        <w:t xml:space="preserve">, </w:t>
      </w:r>
      <w:r>
        <w:rPr>
          <w:rtl w:val="true"/>
        </w:rPr>
        <w:t>נגע המערער בישבנה וטפח עליו לשם סיפוק וגירוי מיני</w:t>
      </w:r>
      <w:r>
        <w:rPr>
          <w:rtl w:val="true"/>
        </w:rPr>
        <w:t xml:space="preserve">. </w:t>
      </w:r>
      <w:r>
        <w:rPr>
          <w:rtl w:val="true"/>
        </w:rPr>
        <w:t>באחד המועדים שבהם עבדה ג</w:t>
      </w:r>
      <w:r>
        <w:rPr>
          <w:rtl w:val="true"/>
        </w:rPr>
        <w:t xml:space="preserve">' </w:t>
      </w:r>
      <w:r>
        <w:rPr>
          <w:rtl w:val="true"/>
        </w:rPr>
        <w:t>בפיצרייה</w:t>
      </w:r>
      <w:r>
        <w:rPr>
          <w:rtl w:val="true"/>
        </w:rPr>
        <w:t xml:space="preserve">, </w:t>
      </w:r>
      <w:r>
        <w:rPr>
          <w:rtl w:val="true"/>
        </w:rPr>
        <w:t>קרא לה המערער לחלק האחורי של הפיצרייה לשטוף כלים</w:t>
      </w:r>
      <w:r>
        <w:rPr>
          <w:rtl w:val="true"/>
        </w:rPr>
        <w:t xml:space="preserve">. </w:t>
      </w:r>
      <w:r>
        <w:rPr>
          <w:rtl w:val="true"/>
        </w:rPr>
        <w:t>כאשר התקדמה לכיוון הכיור</w:t>
      </w:r>
      <w:r>
        <w:rPr>
          <w:rtl w:val="true"/>
        </w:rPr>
        <w:t xml:space="preserve">, </w:t>
      </w:r>
      <w:r>
        <w:rPr>
          <w:rtl w:val="true"/>
        </w:rPr>
        <w:t>חיבק אותה המערער ונצמד אליה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לאחר שחזרה לכיוון הדלפק</w:t>
      </w:r>
      <w:r>
        <w:rPr>
          <w:rtl w:val="true"/>
        </w:rPr>
        <w:t xml:space="preserve">, </w:t>
      </w:r>
      <w:r>
        <w:rPr>
          <w:rtl w:val="true"/>
        </w:rPr>
        <w:t>חיבק אותה המערער מלפנים</w:t>
      </w:r>
      <w:r>
        <w:rPr>
          <w:rtl w:val="true"/>
        </w:rPr>
        <w:t xml:space="preserve">, </w:t>
      </w:r>
      <w:r>
        <w:rPr>
          <w:rtl w:val="true"/>
        </w:rPr>
        <w:t>הכניס את ידיו מתחת למכנסיה ונגע בישבנה למשך מספר שניות</w:t>
      </w:r>
      <w:r>
        <w:rPr>
          <w:rtl w:val="true"/>
        </w:rPr>
        <w:t xml:space="preserve">. </w:t>
      </w:r>
      <w:r>
        <w:rPr>
          <w:rtl w:val="true"/>
        </w:rPr>
        <w:t xml:space="preserve">במועד אחר בשנת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הגיעה ג</w:t>
      </w:r>
      <w:r>
        <w:rPr>
          <w:rtl w:val="true"/>
        </w:rPr>
        <w:t xml:space="preserve">' </w:t>
      </w:r>
      <w:r>
        <w:rPr>
          <w:rtl w:val="true"/>
        </w:rPr>
        <w:t>יחד עם חברתה לפיצרייה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קרא לה המערער להיכנס לחלק האחורי של הפיצרייה ושאל אותה</w:t>
      </w:r>
      <w:r>
        <w:rPr>
          <w:rtl w:val="true"/>
        </w:rPr>
        <w:t>: "</w:t>
      </w:r>
      <w:r>
        <w:rPr>
          <w:rtl w:val="true"/>
        </w:rPr>
        <w:t>מוכנה לעשות מה שגבר ואישה עושים</w:t>
      </w:r>
      <w:r>
        <w:rPr>
          <w:rtl w:val="true"/>
        </w:rPr>
        <w:t xml:space="preserve">, </w:t>
      </w:r>
      <w:r>
        <w:rPr>
          <w:rtl w:val="true"/>
        </w:rPr>
        <w:t>יהיה לך כיף</w:t>
      </w:r>
      <w:r>
        <w:rPr>
          <w:rtl w:val="true"/>
        </w:rPr>
        <w:t xml:space="preserve">". </w:t>
      </w:r>
      <w:r>
        <w:rPr>
          <w:rtl w:val="true"/>
        </w:rPr>
        <w:t>במועד אחר</w:t>
      </w:r>
      <w:r>
        <w:rPr>
          <w:rtl w:val="true"/>
        </w:rPr>
        <w:t xml:space="preserve">, </w:t>
      </w:r>
      <w:r>
        <w:rPr>
          <w:rtl w:val="true"/>
        </w:rPr>
        <w:t>שאל המערער את ג</w:t>
      </w:r>
      <w:r>
        <w:rPr>
          <w:rtl w:val="true"/>
        </w:rPr>
        <w:t xml:space="preserve">' </w:t>
      </w:r>
      <w:r>
        <w:rPr>
          <w:rtl w:val="true"/>
        </w:rPr>
        <w:t xml:space="preserve">אם היא </w:t>
      </w:r>
      <w:r>
        <w:rPr>
          <w:rtl w:val="true"/>
        </w:rPr>
        <w:t>"</w:t>
      </w:r>
      <w:r>
        <w:rPr>
          <w:rtl w:val="true"/>
        </w:rPr>
        <w:t>ברוגז איתו</w:t>
      </w:r>
      <w:r>
        <w:rPr>
          <w:rtl w:val="true"/>
        </w:rPr>
        <w:t xml:space="preserve">", </w:t>
      </w:r>
      <w:r>
        <w:rPr>
          <w:rtl w:val="true"/>
        </w:rPr>
        <w:t>ולאחר שהשיבה בשלילה טפח המערער על ישבנה פעמיים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 מעשים אלה יוחסו למערער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בגין האישום הראשון ריבוי עבירות של מעשים מגונים בקטינה שטרם מלאו לה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שנים והיא בת משפחה לפי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יחד עם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יחד עם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בגין האישום השני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עבירה של מעשה מגונה בקטינה שטרם מלאו לה </w:t>
      </w:r>
      <w:r>
        <w:rPr>
          <w:rFonts w:cs="Century" w:ascii="Century" w:hAnsi="Century"/>
          <w:sz w:val="22"/>
        </w:rPr>
        <w:t>16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שנים והיא בת משפחה 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יחד עם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יחד עם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ובגין האישום השלישי ריבוי עבירות של מעשים מגונים בקטינה שטרם מלאו לה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שנים 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יחד עם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9.9.2019</w:t>
      </w:r>
      <w:r>
        <w:rPr>
          <w:rtl w:val="true"/>
        </w:rPr>
        <w:t xml:space="preserve">, </w:t>
      </w:r>
      <w:r>
        <w:rPr>
          <w:rtl w:val="true"/>
        </w:rPr>
        <w:t>לאחר שמיעת חלק מהעדויות בתיק</w:t>
      </w:r>
      <w:r>
        <w:rPr>
          <w:rtl w:val="true"/>
        </w:rPr>
        <w:t xml:space="preserve">, </w:t>
      </w:r>
      <w:r>
        <w:rPr>
          <w:rtl w:val="true"/>
        </w:rPr>
        <w:t>ובכללן עדותה של ג</w:t>
      </w:r>
      <w:r>
        <w:rPr>
          <w:rtl w:val="true"/>
        </w:rPr>
        <w:t xml:space="preserve">', </w:t>
      </w:r>
      <w:r>
        <w:rPr>
          <w:rtl w:val="true"/>
        </w:rPr>
        <w:t xml:space="preserve">הורשע המערער בעבירות המתוארות לפי הודאתו במסגרת הסדר טיעון שלא כלל הסכמה לעניין העונש </w:t>
      </w:r>
      <w:r>
        <w:rPr>
          <w:rtl w:val="true"/>
        </w:rPr>
        <w:t>(</w:t>
      </w:r>
      <w:r>
        <w:rPr>
          <w:rtl w:val="true"/>
        </w:rPr>
        <w:t xml:space="preserve">הכרעת דין מתוקנת ניתנה ביום </w:t>
      </w:r>
      <w:r>
        <w:rPr/>
        <w:t>23.12.2019</w:t>
      </w:r>
      <w:r>
        <w:rPr>
          <w:rtl w:val="true"/>
        </w:rPr>
        <w:t xml:space="preserve">). </w:t>
      </w:r>
      <w:r>
        <w:rPr>
          <w:rtl w:val="true"/>
        </w:rPr>
        <w:t>בית המשפט הורה על הגשת תסקיר נפגעות עבירה בעניינן של א</w:t>
      </w:r>
      <w:r>
        <w:rPr>
          <w:rtl w:val="true"/>
        </w:rPr>
        <w:t xml:space="preserve">' </w:t>
      </w:r>
      <w:r>
        <w:rPr>
          <w:rtl w:val="true"/>
        </w:rPr>
        <w:t>וב</w:t>
      </w:r>
      <w:r>
        <w:rPr>
          <w:rtl w:val="true"/>
        </w:rPr>
        <w:t xml:space="preserve">' </w:t>
      </w:r>
      <w:r>
        <w:rPr>
          <w:rtl w:val="true"/>
        </w:rPr>
        <w:t xml:space="preserve">ותסקיר כאמור הוגש ביום </w:t>
      </w:r>
      <w:r>
        <w:rPr/>
        <w:t>4.12.2019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התסקיר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בגזר דין מפורט ומנומק קבע בית המשפט המחוזי כי יש לראות בשלושת האישומים אירועים נפרדים </w:t>
      </w:r>
      <w:r>
        <w:rPr>
          <w:rtl w:val="true"/>
        </w:rPr>
        <w:t>(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 </w:t>
      </w:r>
      <w:r>
        <w:rPr>
          <w:rtl w:val="true"/>
        </w:rPr>
        <w:t>מאחר שכל אחד מהם בוצע בנפרד</w:t>
      </w:r>
      <w:r>
        <w:rPr>
          <w:rtl w:val="true"/>
        </w:rPr>
        <w:t xml:space="preserve">; </w:t>
      </w:r>
      <w:r>
        <w:rPr>
          <w:rtl w:val="true"/>
        </w:rPr>
        <w:t>בזמן אחר</w:t>
      </w:r>
      <w:r>
        <w:rPr>
          <w:rtl w:val="true"/>
        </w:rPr>
        <w:t xml:space="preserve">; </w:t>
      </w:r>
      <w:r>
        <w:rPr>
          <w:rtl w:val="true"/>
        </w:rPr>
        <w:t>כלפי אדם אחר</w:t>
      </w:r>
      <w:r>
        <w:rPr>
          <w:rtl w:val="true"/>
        </w:rPr>
        <w:t xml:space="preserve">; </w:t>
      </w:r>
      <w:r>
        <w:rPr>
          <w:rtl w:val="true"/>
        </w:rPr>
        <w:t>ובהיקף אחר</w:t>
      </w:r>
      <w:r>
        <w:rPr>
          <w:rtl w:val="true"/>
        </w:rPr>
        <w:t xml:space="preserve">. </w:t>
      </w:r>
      <w:r>
        <w:rPr>
          <w:rtl w:val="true"/>
        </w:rPr>
        <w:t>בית המשפט עמד על הערכים המוגנים שנפגעו מהעבירות שביצע המערער</w:t>
      </w:r>
      <w:r>
        <w:rPr>
          <w:rtl w:val="true"/>
        </w:rPr>
        <w:t xml:space="preserve">, </w:t>
      </w:r>
      <w:r>
        <w:rPr>
          <w:rtl w:val="true"/>
        </w:rPr>
        <w:t>ובהן שמירה על שלמות הגוף והנפש</w:t>
      </w:r>
      <w:r>
        <w:rPr>
          <w:rtl w:val="true"/>
        </w:rPr>
        <w:t xml:space="preserve">; </w:t>
      </w:r>
      <w:r>
        <w:rPr>
          <w:rtl w:val="true"/>
        </w:rPr>
        <w:t>כבודו של אדם וריבונותו על גופו</w:t>
      </w:r>
      <w:r>
        <w:rPr>
          <w:rtl w:val="true"/>
        </w:rPr>
        <w:t xml:space="preserve">; </w:t>
      </w:r>
      <w:r>
        <w:rPr>
          <w:rtl w:val="true"/>
        </w:rPr>
        <w:t>וההגנה על קטינים בחברה ובחיק משפחתם</w:t>
      </w:r>
      <w:r>
        <w:rPr>
          <w:rtl w:val="true"/>
        </w:rPr>
        <w:t xml:space="preserve">. </w:t>
      </w:r>
      <w:r>
        <w:rPr>
          <w:rtl w:val="true"/>
        </w:rPr>
        <w:t>בית המשפט קבע מתחם ענישה לכל אחד מהאירועים תוך שעמד על מידת הפגיעה בערכים המוגנים</w:t>
      </w:r>
      <w:r>
        <w:rPr>
          <w:rtl w:val="true"/>
        </w:rPr>
        <w:t xml:space="preserve">; </w:t>
      </w:r>
      <w:r>
        <w:rPr>
          <w:rtl w:val="true"/>
        </w:rPr>
        <w:t>על הנסיבות הקשורות בביצוע העבירה</w:t>
      </w:r>
      <w:r>
        <w:rPr>
          <w:rtl w:val="true"/>
        </w:rPr>
        <w:t xml:space="preserve">; </w:t>
      </w:r>
      <w:r>
        <w:rPr>
          <w:rtl w:val="true"/>
        </w:rPr>
        <w:t>ועל מדיניות הענישה הנוהגת בעבירות כגון אלו שביצע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העמיד את מתחם הענישה בנוגע למעשים נושא האישום הראשון על </w:t>
      </w:r>
      <w:r>
        <w:rPr/>
        <w:t>60-30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בנוגע למעשים נושא האישום השני על </w:t>
      </w:r>
      <w:r>
        <w:rPr/>
        <w:t>30-15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ובנוגע למעשים נושא האישום השלישי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30-12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בקביעת העונש בתוך המתחם</w:t>
      </w:r>
      <w:r>
        <w:rPr>
          <w:rtl w:val="true"/>
        </w:rPr>
        <w:t xml:space="preserve">, </w:t>
      </w:r>
      <w:r>
        <w:rPr>
          <w:rtl w:val="true"/>
        </w:rPr>
        <w:t>נשקלו לזכותו של המערער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השפעת העונש עליו</w:t>
      </w:r>
      <w:r>
        <w:rPr>
          <w:rtl w:val="true"/>
        </w:rPr>
        <w:t xml:space="preserve">, </w:t>
      </w:r>
      <w:r>
        <w:rPr>
          <w:rtl w:val="true"/>
        </w:rPr>
        <w:t>מצבו הרפואי</w:t>
      </w:r>
      <w:r>
        <w:rPr>
          <w:rtl w:val="true"/>
        </w:rPr>
        <w:t xml:space="preserve">, </w:t>
      </w:r>
      <w:r>
        <w:rPr>
          <w:rtl w:val="true"/>
        </w:rPr>
        <w:t>היעדר עבר פלילי</w:t>
      </w:r>
      <w:r>
        <w:rPr>
          <w:rtl w:val="true"/>
        </w:rPr>
        <w:t xml:space="preserve">, </w:t>
      </w:r>
      <w:r>
        <w:rPr>
          <w:rtl w:val="true"/>
        </w:rPr>
        <w:t>הודאתו ונטילת האחריות על ידו</w:t>
      </w:r>
      <w:r>
        <w:rPr>
          <w:rtl w:val="true"/>
        </w:rPr>
        <w:t xml:space="preserve">. </w:t>
      </w:r>
      <w:r>
        <w:rPr>
          <w:rtl w:val="true"/>
        </w:rPr>
        <w:t>עוד עמד בית המשפט על הצורך בהרתעת המערער ובכך שהעונש ירתיע את הרבים</w:t>
      </w:r>
      <w:r>
        <w:rPr>
          <w:rtl w:val="true"/>
        </w:rPr>
        <w:t xml:space="preserve">. </w:t>
      </w:r>
      <w:r>
        <w:rPr>
          <w:rtl w:val="true"/>
        </w:rPr>
        <w:t xml:space="preserve">נוכח כל האמור קבע בית המשפט כי יש למקם את עונש המערער </w:t>
      </w:r>
      <w:r>
        <w:rPr>
          <w:rtl w:val="true"/>
        </w:rPr>
        <w:t>"</w:t>
      </w:r>
      <w:r>
        <w:rPr>
          <w:rtl w:val="true"/>
        </w:rPr>
        <w:t>סביב שליש מתחם העונש הראוי</w:t>
      </w:r>
      <w:r>
        <w:rPr>
          <w:rtl w:val="true"/>
        </w:rPr>
        <w:t xml:space="preserve">", </w:t>
      </w:r>
      <w:r>
        <w:rPr>
          <w:rtl w:val="true"/>
        </w:rPr>
        <w:t>וגזר עליו את העונשים שפורטו לעיל</w:t>
      </w:r>
      <w:r>
        <w:rPr>
          <w:rtl w:val="true"/>
        </w:rPr>
        <w:t xml:space="preserve">. </w:t>
      </w:r>
      <w:r>
        <w:rPr>
          <w:rtl w:val="true"/>
        </w:rPr>
        <w:t>מכאן הערעור שלפנינו המכוון לחומרת עונש המאסר ולרכיב הפיצוי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משיג על מתחם העונש ההולם שנקבע</w:t>
      </w:r>
      <w:r>
        <w:rPr>
          <w:rtl w:val="true"/>
        </w:rPr>
        <w:t xml:space="preserve">; </w:t>
      </w:r>
      <w:r>
        <w:rPr>
          <w:rtl w:val="true"/>
        </w:rPr>
        <w:t>על מיקומו בגדרי המתחם</w:t>
      </w:r>
      <w:r>
        <w:rPr>
          <w:rtl w:val="true"/>
        </w:rPr>
        <w:t xml:space="preserve">; </w:t>
      </w:r>
      <w:r>
        <w:rPr>
          <w:rtl w:val="true"/>
        </w:rPr>
        <w:t>ועל גובה הפיצוי הכספי שהוטל עליו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מדיניות הענישה כפי שעולה מהפסיקה מגלה כי במקרים אחרים בנסיבות דומות נקבעו מתחמי ענישה מתונים יותר והוטלו עונשים חמורים פחות</w:t>
      </w:r>
      <w:r>
        <w:rPr>
          <w:rtl w:val="true"/>
        </w:rPr>
        <w:t xml:space="preserve">. </w:t>
      </w:r>
      <w:r>
        <w:rPr>
          <w:rtl w:val="true"/>
        </w:rPr>
        <w:t>המערער טוען כי יש למקם את עונשו בתחתית מתחם העונש ההולם וזאת</w:t>
      </w:r>
      <w:r>
        <w:rPr>
          <w:rtl w:val="true"/>
        </w:rPr>
        <w:t xml:space="preserve">, </w:t>
      </w:r>
      <w:r>
        <w:rPr>
          <w:rtl w:val="true"/>
        </w:rPr>
        <w:t>בשים לב לגילו</w:t>
      </w:r>
      <w:r>
        <w:rPr>
          <w:rtl w:val="true"/>
        </w:rPr>
        <w:t xml:space="preserve">; </w:t>
      </w:r>
      <w:r>
        <w:rPr>
          <w:rtl w:val="true"/>
        </w:rPr>
        <w:t>לעברו הפלילי הנקי</w:t>
      </w:r>
      <w:r>
        <w:rPr>
          <w:rtl w:val="true"/>
        </w:rPr>
        <w:t xml:space="preserve">; </w:t>
      </w:r>
      <w:r>
        <w:rPr>
          <w:rtl w:val="true"/>
        </w:rPr>
        <w:t>לכך שהתחרט ולקח אחריות על מעשיו</w:t>
      </w:r>
      <w:r>
        <w:rPr>
          <w:rtl w:val="true"/>
        </w:rPr>
        <w:t xml:space="preserve">; </w:t>
      </w:r>
      <w:r>
        <w:rPr>
          <w:rtl w:val="true"/>
        </w:rPr>
        <w:t>להודאתו שהביאה לחיסכון זמן שיפוטי</w:t>
      </w:r>
      <w:r>
        <w:rPr>
          <w:rtl w:val="true"/>
        </w:rPr>
        <w:t xml:space="preserve">, </w:t>
      </w:r>
      <w:r>
        <w:rPr>
          <w:rtl w:val="true"/>
        </w:rPr>
        <w:t>ולחיסכון עדות הנכדות על כל המשתמע מכך</w:t>
      </w:r>
      <w:r>
        <w:rPr>
          <w:rtl w:val="true"/>
        </w:rPr>
        <w:t xml:space="preserve">; </w:t>
      </w:r>
      <w:r>
        <w:rPr>
          <w:rtl w:val="true"/>
        </w:rPr>
        <w:t>למצבו הרפואי המורכב</w:t>
      </w:r>
      <w:r>
        <w:rPr>
          <w:rtl w:val="true"/>
        </w:rPr>
        <w:t xml:space="preserve">; </w:t>
      </w:r>
      <w:r>
        <w:rPr>
          <w:rtl w:val="true"/>
        </w:rPr>
        <w:t>ולכך שהוא נעדר תמיכה משפחתית</w:t>
      </w:r>
      <w:r>
        <w:rPr>
          <w:rtl w:val="true"/>
        </w:rPr>
        <w:t xml:space="preserve">. </w:t>
      </w:r>
      <w:r>
        <w:rPr>
          <w:rtl w:val="true"/>
        </w:rPr>
        <w:t>עוד טוען המערער שיש ליתן משקל להתנהלות היחידה החוקרת בעניינו</w:t>
      </w:r>
      <w:r>
        <w:rPr>
          <w:rtl w:val="true"/>
        </w:rPr>
        <w:t xml:space="preserve">, </w:t>
      </w:r>
      <w:r>
        <w:rPr>
          <w:rtl w:val="true"/>
        </w:rPr>
        <w:t>ובכלל זאת ליחס שניתן לו במהלך חקירותיו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מצדה סומכת ידיה על גזר הדין של בית המשפט המחוזי</w:t>
      </w:r>
      <w:r>
        <w:rPr>
          <w:rtl w:val="true"/>
        </w:rPr>
        <w:t xml:space="preserve">. </w:t>
      </w:r>
      <w:r>
        <w:rPr>
          <w:rtl w:val="true"/>
        </w:rPr>
        <w:t xml:space="preserve">המשיבה טוענת כי מתחם העונש ההולם באשר לכל אחד מהאירועים </w:t>
      </w:r>
      <w:r>
        <w:rPr>
          <w:rtl w:val="true"/>
        </w:rPr>
        <w:t>–</w:t>
      </w:r>
      <w:r>
        <w:rPr>
          <w:rtl w:val="true"/>
        </w:rPr>
        <w:t xml:space="preserve"> כמו גם העונש שהוטל בגדרו </w:t>
      </w:r>
      <w:r>
        <w:rPr>
          <w:rtl w:val="true"/>
        </w:rPr>
        <w:t>–</w:t>
      </w:r>
      <w:r>
        <w:rPr>
          <w:rtl w:val="true"/>
        </w:rPr>
        <w:t xml:space="preserve"> מוצדק ואין עילה להתערב בו</w:t>
      </w:r>
      <w:r>
        <w:rPr>
          <w:rtl w:val="true"/>
        </w:rPr>
        <w:t xml:space="preserve">. </w:t>
      </w:r>
      <w:r>
        <w:rPr>
          <w:rtl w:val="true"/>
        </w:rPr>
        <w:t>המשיבה עומדת על חומרת העבירות וטוענת כי המערער</w:t>
      </w:r>
      <w:r>
        <w:rPr>
          <w:rtl w:val="true"/>
        </w:rPr>
        <w:t xml:space="preserve">, </w:t>
      </w:r>
      <w:r>
        <w:rPr>
          <w:rtl w:val="true"/>
        </w:rPr>
        <w:t>שהיה סבן האהוב והקרוב של הנכדות</w:t>
      </w:r>
      <w:r>
        <w:rPr>
          <w:rtl w:val="true"/>
        </w:rPr>
        <w:t xml:space="preserve">, </w:t>
      </w:r>
      <w:r>
        <w:rPr>
          <w:rtl w:val="true"/>
        </w:rPr>
        <w:t>פגע בהן ובאמון שנתנו בו לאורך שנים עת הגיעו לבקר בבית</w:t>
      </w:r>
      <w:r>
        <w:rPr>
          <w:rtl w:val="true"/>
        </w:rPr>
        <w:t xml:space="preserve">. </w:t>
      </w:r>
      <w:r>
        <w:rPr>
          <w:rtl w:val="true"/>
        </w:rPr>
        <w:t>כך גם בכל הנוגע לג</w:t>
      </w:r>
      <w:r>
        <w:rPr>
          <w:rtl w:val="true"/>
        </w:rPr>
        <w:t xml:space="preserve">', </w:t>
      </w:r>
      <w:r>
        <w:rPr>
          <w:rtl w:val="true"/>
        </w:rPr>
        <w:t>בה פגע המערער כשהגיעה למקום עבודתה</w:t>
      </w:r>
      <w:r>
        <w:rPr>
          <w:rtl w:val="true"/>
        </w:rPr>
        <w:t xml:space="preserve">. </w:t>
      </w:r>
      <w:r>
        <w:rPr>
          <w:rtl w:val="true"/>
        </w:rPr>
        <w:t>המשיבה עומדת בנוסף גם על דפוס הפעולה שבו נקט המערער</w:t>
      </w:r>
      <w:r>
        <w:rPr>
          <w:rtl w:val="true"/>
        </w:rPr>
        <w:t xml:space="preserve">, </w:t>
      </w:r>
      <w:r>
        <w:rPr>
          <w:rtl w:val="true"/>
        </w:rPr>
        <w:t>שנהג לוודא שאין אף אחד באזור לפני שפגע בקורבנות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נטען כי המערער ניצל את מצבה הכלכלי הירוד של ג</w:t>
      </w:r>
      <w:r>
        <w:rPr>
          <w:rtl w:val="true"/>
        </w:rPr>
        <w:t xml:space="preserve">'; </w:t>
      </w:r>
      <w:r>
        <w:rPr>
          <w:rtl w:val="true"/>
        </w:rPr>
        <w:t>חיבל ביחסיה עם סביבתה</w:t>
      </w:r>
      <w:r>
        <w:rPr>
          <w:rtl w:val="true"/>
        </w:rPr>
        <w:t xml:space="preserve">, </w:t>
      </w:r>
      <w:r>
        <w:rPr>
          <w:rtl w:val="true"/>
        </w:rPr>
        <w:t>וגרם לה לנזקים שילוו אותה להמשך חייה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צוין כי לעת עתה טרם שולם כל רכיב הפיצוי שהושת על המערער וכי פיצוי זה דרוש למימון הטיפול לו זקוקות הנפגעות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לאחר ששקלנו את נימוקי הערעור והאזנו לטיעוני הצדדים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הגענו למסקנה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 הערעור לא תיטה להתערב בעונש שגזרה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חריגים שבהם נפלה טעות מהותית בפסק הדין או שישנה סטייה ברורה ממדיניות הענישה הנוהגת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10058/17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3.7.2019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2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8700/18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19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16.4.2019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זה עמד לא אחת על חומרתן היתרה של עבירות מין ועל הפגיעה החברתית הקשה שנגרמת מהן</w:t>
      </w:r>
      <w:r>
        <w:rPr>
          <w:rtl w:val="true"/>
        </w:rPr>
        <w:t xml:space="preserve">. </w:t>
      </w:r>
      <w:r>
        <w:rPr>
          <w:rtl w:val="true"/>
        </w:rPr>
        <w:t xml:space="preserve">חומרה זו מתעצמת כאשר מדובר בעבירות מין כלפי קטין אשר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צורבות בליבו חוויה טראומתית וקשה המותירה צלקת עמוקה אשר לעיתים לא תקהה לעולם</w:t>
      </w:r>
      <w:r>
        <w:rPr>
          <w:rtl w:val="true"/>
        </w:rPr>
        <w:t>" 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40</w:t>
      </w:r>
      <w:r>
        <w:rPr>
          <w:rtl w:val="true"/>
        </w:rPr>
        <w:t xml:space="preserve"> (</w:t>
      </w:r>
      <w:r>
        <w:rPr/>
        <w:t>29.7.2020</w:t>
      </w:r>
      <w:r>
        <w:rPr>
          <w:rtl w:val="true"/>
        </w:rPr>
        <w:t xml:space="preserve">)). </w:t>
      </w:r>
      <w:r>
        <w:rPr>
          <w:rtl w:val="true"/>
        </w:rPr>
        <w:t xml:space="preserve">ודברים אלה נכונים ביתר שאת כאשר עסקינן במעשים שנעשו תוך ניצול הקרבה שבתא המשפחתי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7015/09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 (</w:t>
      </w:r>
      <w:r>
        <w:rPr/>
        <w:t>18.11.2012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701/06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4.7.2007</w:t>
      </w:r>
      <w:r>
        <w:rPr>
          <w:rtl w:val="true"/>
        </w:rPr>
        <w:t xml:space="preserve">)). </w:t>
      </w:r>
      <w:r>
        <w:rPr>
          <w:rtl w:val="true"/>
        </w:rPr>
        <w:t xml:space="preserve">על חומרתם של מעשים דוגמת אלה שבהם הורשע המערער עמדה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ארבל</w:t>
      </w:r>
      <w:r>
        <w:rPr>
          <w:rtl w:val="true"/>
        </w:rPr>
        <w:t xml:space="preserve"> בפרשה אחרת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חילול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,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הנחרתות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בנפשם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הזוגיות</w:t>
      </w:r>
      <w:r>
        <w:rPr>
          <w:rtl w:val="true"/>
        </w:rPr>
        <w:t xml:space="preserve">, </w:t>
      </w:r>
      <w:r>
        <w:rPr>
          <w:rtl w:val="true"/>
        </w:rPr>
        <w:t>החברתיות</w:t>
      </w:r>
      <w:r>
        <w:rPr>
          <w:rtl w:val="true"/>
        </w:rPr>
        <w:t xml:space="preserve">,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.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 xml:space="preserve">']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כבודם</w:t>
      </w:r>
      <w:r>
        <w:rPr>
          <w:rtl w:val="true"/>
        </w:rPr>
        <w:t xml:space="preserve">, </w:t>
      </w:r>
      <w:r>
        <w:rPr>
          <w:rtl w:val="true"/>
        </w:rPr>
        <w:t>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הוקעתם</w:t>
      </w:r>
      <w:r>
        <w:rPr>
          <w:rtl w:val="true"/>
        </w:rPr>
        <w:t xml:space="preserve">, </w:t>
      </w:r>
      <w:r>
        <w:rPr>
          <w:rtl w:val="true"/>
        </w:rPr>
        <w:t>ולשלוח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>" 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6690/07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10.3.2008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מרבית חיציו של המערער בכל הנוגע למתחמי הענישה שקבע בית המשפט המחוזי כוונו לכך שהם חורגים ממדיניות הענישה הנוהגת במקרים מעין אלה</w:t>
      </w:r>
      <w:r>
        <w:rPr>
          <w:rtl w:val="true"/>
        </w:rPr>
        <w:t xml:space="preserve">. </w:t>
      </w:r>
      <w:r>
        <w:rPr>
          <w:rtl w:val="true"/>
        </w:rPr>
        <w:t>מנעד הענישה בתיקים מעין אלה הוא רחב מטבע הדברים</w:t>
      </w:r>
      <w:r>
        <w:rPr>
          <w:rtl w:val="true"/>
        </w:rPr>
        <w:t xml:space="preserve">, </w:t>
      </w:r>
      <w:r>
        <w:rPr>
          <w:rtl w:val="true"/>
        </w:rPr>
        <w:t>וזאת בשים לב בין היתר לטיב העבירות</w:t>
      </w:r>
      <w:r>
        <w:rPr>
          <w:rtl w:val="true"/>
        </w:rPr>
        <w:t xml:space="preserve">, </w:t>
      </w:r>
      <w:r>
        <w:rPr>
          <w:rtl w:val="true"/>
        </w:rPr>
        <w:t>לאופי המעשים</w:t>
      </w:r>
      <w:r>
        <w:rPr>
          <w:rtl w:val="true"/>
        </w:rPr>
        <w:t xml:space="preserve">, </w:t>
      </w:r>
      <w:r>
        <w:rPr>
          <w:rtl w:val="true"/>
        </w:rPr>
        <w:t>לשכיחות המקרים ולמספר הקורבנות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עיון בפסיקת בית משפט זה</w:t>
      </w:r>
      <w:r>
        <w:rPr>
          <w:rtl w:val="true"/>
        </w:rPr>
        <w:t xml:space="preserve">, </w:t>
      </w:r>
      <w:r>
        <w:rPr>
          <w:rtl w:val="true"/>
        </w:rPr>
        <w:t>ובכלל זאת פסקי הדין שאליהם הפנה המערער</w:t>
      </w:r>
      <w:r>
        <w:rPr>
          <w:rtl w:val="true"/>
        </w:rPr>
        <w:t xml:space="preserve">, </w:t>
      </w:r>
      <w:r>
        <w:rPr>
          <w:rtl w:val="true"/>
        </w:rPr>
        <w:t>מגלה שהעונש שהושת עליו לא סוטה באופן מהותי מרמת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>לא כל שכן באופן שמצדיק התערבות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29.1.2019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אליו הפנה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נבחן עניינו של מי שהורשע בביצוע מעשים מגונים בנכדתו הקטינה משך תקופה של מספר שנים והושתו עליו </w:t>
      </w:r>
      <w:r>
        <w:rPr>
          <w:rFonts w:cs="Century" w:ascii="Century" w:hAnsi="Century"/>
          <w:sz w:val="22"/>
        </w:rPr>
        <w:t>40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בית משפט זה הפחית את עונשו 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33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חודשי מאסר בנסיבות שאינן רלוונטיות לענייננו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ראו פסקה </w:t>
      </w:r>
      <w:r>
        <w:rPr>
          <w:rFonts w:cs="Century" w:ascii="Century" w:hAnsi="Century"/>
          <w:sz w:val="22"/>
        </w:rPr>
        <w:t>37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לפסק הדין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2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5385/13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4.12.2013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נדחה ערעורו של מי שהורשע בביצוע מעשים מגונים בנכדתו ובשכנתו הקטינות והושתו עליו </w:t>
      </w:r>
      <w:r>
        <w:rPr>
          <w:rFonts w:cs="Century" w:ascii="Century" w:hAnsi="Century"/>
          <w:sz w:val="22"/>
        </w:rPr>
        <w:t>80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חודשי מאסר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3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5385/13</w:t>
        </w:r>
      </w:hyperlink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3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3934/12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18.2.2013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נדחה ערעורו של מי שהורשע 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אישומים של ביצוע מעשים מגונים בביתו הקטינה והושתו עליו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3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6475/08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28.7.2010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נדחה ערעורו של מי שהורשע בביצוע מעשים מגונים בביתו הקטינה במשך תקופה של שנה והושתו עליו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יוער בהקשר זה כי בבחינת מדיניות הענישה הנוהגת נדרש בית המשפט המחוזי</w:t>
      </w:r>
      <w:r>
        <w:rPr>
          <w:rtl w:val="true"/>
        </w:rPr>
        <w:t xml:space="preserve">, </w:t>
      </w:r>
      <w:r>
        <w:rPr>
          <w:rtl w:val="true"/>
        </w:rPr>
        <w:t>בהרחבה</w:t>
      </w:r>
      <w:r>
        <w:rPr>
          <w:rtl w:val="true"/>
        </w:rPr>
        <w:t xml:space="preserve">, </w:t>
      </w:r>
      <w:r>
        <w:rPr>
          <w:rtl w:val="true"/>
        </w:rPr>
        <w:t xml:space="preserve">לפסיקת בית משפט זה </w:t>
      </w:r>
      <w:r>
        <w:rPr>
          <w:rtl w:val="true"/>
        </w:rPr>
        <w:t>(</w:t>
      </w:r>
      <w:r>
        <w:rPr>
          <w:rtl w:val="true"/>
        </w:rPr>
        <w:t>ובכלל זאת</w:t>
      </w:r>
      <w:r>
        <w:rPr>
          <w:rtl w:val="true"/>
        </w:rPr>
        <w:t xml:space="preserve">, </w:t>
      </w:r>
      <w:r>
        <w:rPr>
          <w:rtl w:val="true"/>
        </w:rPr>
        <w:t>למרבית פסקי הדין שהובאו על ידי המערער בערעור דנן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מצאנו לדחות גם את יתר טענותיו של המערער בכל הנוגע לקביעת מתחם הענישה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הורשע כאמור בשורה ארוכה של מעשים שבוצעו על ידו לאורך שנים ארוכות </w:t>
      </w:r>
      <w:r>
        <w:rPr>
          <w:rtl w:val="true"/>
        </w:rPr>
        <w:t>בשלוש</w:t>
      </w:r>
      <w:r>
        <w:rPr>
          <w:rtl w:val="true"/>
        </w:rPr>
        <w:t xml:space="preserve"> </w:t>
      </w:r>
      <w:r>
        <w:rPr>
          <w:rtl w:val="true"/>
        </w:rPr>
        <w:t>קטינות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שתיים מהן נכדותיו</w:t>
      </w:r>
      <w:r>
        <w:rPr>
          <w:rtl w:val="true"/>
        </w:rPr>
        <w:t xml:space="preserve">, </w:t>
      </w:r>
      <w:r>
        <w:rPr>
          <w:rtl w:val="true"/>
        </w:rPr>
        <w:t xml:space="preserve">השלישית עבדה בעסק בבעלותו </w:t>
      </w:r>
      <w:r>
        <w:rPr>
          <w:rtl w:val="true"/>
        </w:rPr>
        <w:t xml:space="preserve">– </w:t>
      </w:r>
      <w:r>
        <w:rPr>
          <w:rtl w:val="true"/>
        </w:rPr>
        <w:t xml:space="preserve">וזאת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ניצול</w:t>
      </w:r>
      <w:r>
        <w:rPr>
          <w:rtl w:val="true"/>
        </w:rPr>
        <w:t xml:space="preserve"> </w:t>
      </w:r>
      <w:r>
        <w:rPr>
          <w:rtl w:val="true"/>
        </w:rPr>
        <w:t>מעמדו</w:t>
      </w:r>
      <w:r>
        <w:rPr>
          <w:rtl w:val="true"/>
        </w:rPr>
        <w:t xml:space="preserve">, </w:t>
      </w:r>
      <w:r>
        <w:rPr>
          <w:rtl w:val="true"/>
        </w:rPr>
        <w:t>תמימותן</w:t>
      </w:r>
      <w:r>
        <w:rPr>
          <w:rtl w:val="true"/>
        </w:rPr>
        <w:t xml:space="preserve">, </w:t>
      </w:r>
      <w:r>
        <w:rPr>
          <w:rtl w:val="true"/>
        </w:rPr>
        <w:t>גילן הצעיר</w:t>
      </w:r>
      <w:r>
        <w:rPr>
          <w:rtl w:val="true"/>
        </w:rPr>
        <w:t xml:space="preserve">, </w:t>
      </w:r>
      <w:r>
        <w:rPr>
          <w:rtl w:val="true"/>
        </w:rPr>
        <w:t>והאמון שנתנו בו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בחלק מהמקרים המתין המערער עד שיישאר לבדו עם הקורבן וביצע את המעשים רק לאחר שווידא כי איש אינו מבחין בו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 הנזק הקונקרטי של מעשיו החמורים של המערער ניתן ללמוד גם מתסקיר נפגעות העבירה</w:t>
      </w:r>
      <w:r>
        <w:rPr>
          <w:rtl w:val="true"/>
        </w:rPr>
        <w:t xml:space="preserve">, </w:t>
      </w:r>
      <w:r>
        <w:rPr>
          <w:rtl w:val="true"/>
        </w:rPr>
        <w:t>שמעלה כי המעשים גרמו לא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לפגיעה שככל הנראה תמשיך ללוות אותן בהמשך חייהן</w:t>
      </w:r>
      <w:r>
        <w:rPr>
          <w:rtl w:val="true"/>
        </w:rPr>
        <w:t xml:space="preserve">. </w:t>
      </w:r>
      <w:r>
        <w:rPr>
          <w:rtl w:val="true"/>
        </w:rPr>
        <w:t>מהתסקיר עולה גם המצוקה הנפשית והפגיעה הכלכלית שנגרמו לאביהן של א</w:t>
      </w:r>
      <w:r>
        <w:rPr>
          <w:rtl w:val="true"/>
        </w:rPr>
        <w:t xml:space="preserve">' </w:t>
      </w:r>
      <w:r>
        <w:rPr>
          <w:rtl w:val="true"/>
        </w:rPr>
        <w:t>וב</w:t>
      </w:r>
      <w:r>
        <w:rPr>
          <w:rtl w:val="true"/>
        </w:rPr>
        <w:t xml:space="preserve">' </w:t>
      </w:r>
      <w:r>
        <w:rPr>
          <w:rtl w:val="true"/>
        </w:rPr>
        <w:t>מאז חשיפת מעשיו של המערער</w:t>
      </w:r>
      <w:r>
        <w:rPr>
          <w:rtl w:val="true"/>
        </w:rPr>
        <w:t xml:space="preserve">. </w:t>
      </w:r>
      <w:r>
        <w:rPr>
          <w:rtl w:val="true"/>
        </w:rPr>
        <w:t>דברים דומים עולים גם מהצהרת נפגעת עבירה שמילאה ג</w:t>
      </w:r>
      <w:r>
        <w:rPr>
          <w:rtl w:val="true"/>
        </w:rPr>
        <w:t xml:space="preserve">'. </w:t>
      </w:r>
      <w:r>
        <w:rPr>
          <w:rFonts w:ascii="Century" w:hAnsi="Century" w:cs="Century"/>
          <w:sz w:val="22"/>
          <w:sz w:val="22"/>
          <w:rtl w:val="true"/>
        </w:rPr>
        <w:t>מתחם הענישה שקבע בית המשפט המחוזי ניתן בשים לב לכל האמור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מצאנו כי יש בטענות המערער כדי להצדיק התערבות בו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לגזירת עונשו של המערער בתוך המתחם</w:t>
      </w:r>
      <w:r>
        <w:rPr>
          <w:rtl w:val="true"/>
        </w:rPr>
        <w:t xml:space="preserve">, </w:t>
      </w:r>
      <w:r>
        <w:rPr>
          <w:rtl w:val="true"/>
        </w:rPr>
        <w:t>טוען המערער כי היה על בית המשפט המחוזי ליתן משקל רב יותר לנסיבותיו האישיות ובהן גילו</w:t>
      </w:r>
      <w:r>
        <w:rPr>
          <w:rtl w:val="true"/>
        </w:rPr>
        <w:t xml:space="preserve">, </w:t>
      </w:r>
      <w:r>
        <w:rPr>
          <w:rtl w:val="true"/>
        </w:rPr>
        <w:t xml:space="preserve">עברו הפלילי הנקי והודאתו </w:t>
      </w:r>
      <w:r>
        <w:rPr>
          <w:rtl w:val="true"/>
        </w:rPr>
        <w:t>(</w:t>
      </w:r>
      <w:r>
        <w:rPr>
          <w:rtl w:val="true"/>
        </w:rPr>
        <w:t>אשר חסכה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את הצורך להעיד את הנכדות</w:t>
      </w:r>
      <w:r>
        <w:rPr>
          <w:rtl w:val="true"/>
        </w:rPr>
        <w:t xml:space="preserve">). </w:t>
      </w:r>
      <w:r>
        <w:rPr>
          <w:rtl w:val="true"/>
        </w:rPr>
        <w:t>טענותיו כולן הובאו גם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ששקלל אותן בגזירת העונש בתוך המתחם</w:t>
      </w:r>
      <w:r>
        <w:rPr>
          <w:rtl w:val="true"/>
        </w:rPr>
        <w:t xml:space="preserve">. </w:t>
      </w:r>
      <w:r>
        <w:rPr>
          <w:rtl w:val="true"/>
        </w:rPr>
        <w:t>איננו סבורים כי יש מקום לשנות מהאיזון שערך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שנתן משקל הולם לשיקולים השונים בגזירת עונשו של המערער ובהם הצורך בהרתעה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ראו </w:t>
      </w:r>
      <w:hyperlink r:id="rId3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1053/17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7.3.2018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3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1053/17</w:t>
        </w:r>
      </w:hyperlink>
      <w:r>
        <w:rPr>
          <w:rFonts w:cs="Century" w:ascii="Century" w:hAnsi="Century"/>
          <w:sz w:val="22"/>
          <w:rtl w:val="true"/>
        </w:rPr>
        <w:t xml:space="preserve">); </w:t>
      </w:r>
      <w:hyperlink r:id="rId3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5385/13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49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כך גם בכל הנוגע לטענותיו בעניין התנהלות היחידה החוקרת כלפיו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נדרש לכך במישרין וציין כי </w:t>
      </w:r>
      <w:r>
        <w:rPr>
          <w:rtl w:val="true"/>
        </w:rPr>
        <w:t>"</w:t>
      </w:r>
      <w:r>
        <w:rPr>
          <w:rtl w:val="true"/>
        </w:rPr>
        <w:t>חקירת נאשמים</w:t>
      </w:r>
      <w:r>
        <w:rPr>
          <w:rtl w:val="true"/>
        </w:rPr>
        <w:t xml:space="preserve">, </w:t>
      </w:r>
      <w:r>
        <w:rPr>
          <w:rtl w:val="true"/>
        </w:rPr>
        <w:t>אף בעבירות החמורות ביותר בספר החוקים איננה צריכה ככלל להיות מלווה בצעקות רמות</w:t>
      </w:r>
      <w:r>
        <w:rPr>
          <w:rtl w:val="true"/>
        </w:rPr>
        <w:t xml:space="preserve">, </w:t>
      </w:r>
      <w:r>
        <w:rPr>
          <w:rtl w:val="true"/>
        </w:rPr>
        <w:t xml:space="preserve">תוך אמירה כי הנחקר </w:t>
      </w:r>
      <w:r>
        <w:rPr>
          <w:rtl w:val="true"/>
        </w:rPr>
        <w:t>'</w:t>
      </w:r>
      <w:r>
        <w:rPr>
          <w:rtl w:val="true"/>
        </w:rPr>
        <w:t>מגעיל</w:t>
      </w:r>
      <w:r>
        <w:rPr>
          <w:rtl w:val="true"/>
        </w:rPr>
        <w:t>' (</w:t>
      </w:r>
      <w:r>
        <w:rPr>
          <w:rtl w:val="true"/>
        </w:rPr>
        <w:t xml:space="preserve">חקירת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ע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 xml:space="preserve">'] </w:t>
      </w:r>
      <w:r>
        <w:rPr>
          <w:rtl w:val="true"/>
        </w:rPr>
        <w:t xml:space="preserve">מיום </w:t>
      </w:r>
      <w:r>
        <w:rPr/>
        <w:t>5.5.2019</w:t>
      </w:r>
      <w:r>
        <w:rPr>
          <w:rtl w:val="true"/>
        </w:rPr>
        <w:t xml:space="preserve">)".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מצא בית המשפט כי במקרה דנן אין לשקול את אופן חקירתו </w:t>
      </w:r>
      <w:r>
        <w:rPr>
          <w:rtl w:val="true"/>
        </w:rPr>
        <w:t>(</w:t>
      </w:r>
      <w:r>
        <w:rPr>
          <w:rtl w:val="true"/>
        </w:rPr>
        <w:t>ובכלל זאת העימות עם א</w:t>
      </w:r>
      <w:r>
        <w:rPr>
          <w:rtl w:val="true"/>
        </w:rPr>
        <w:t xml:space="preserve">') </w:t>
      </w:r>
      <w:r>
        <w:rPr>
          <w:rtl w:val="true"/>
        </w:rPr>
        <w:t>כשיקול לקולה</w:t>
      </w:r>
      <w:r>
        <w:rPr>
          <w:rtl w:val="true"/>
        </w:rPr>
        <w:t xml:space="preserve">, </w:t>
      </w:r>
      <w:r>
        <w:rPr>
          <w:rtl w:val="true"/>
        </w:rPr>
        <w:t>וזאת מן הטעם שלא היה בו כדי לפגוע במערער</w:t>
      </w:r>
      <w:r>
        <w:rPr>
          <w:rtl w:val="true"/>
        </w:rPr>
        <w:t xml:space="preserve">. </w:t>
      </w:r>
      <w:r>
        <w:rPr>
          <w:rtl w:val="true"/>
        </w:rPr>
        <w:t xml:space="preserve">לאחר שבחנו את טענות המערער בהקשר זה לא מצאנו כי המקרה דנן בא בקהלי המקרים המצדיקים הקלה בעונשו בשל התנהלות היחידה החוקרת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1611/16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ורדי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58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31.10.2018</w:t>
      </w:r>
      <w:r>
        <w:rPr>
          <w:rFonts w:cs="Century" w:ascii="Century" w:hAnsi="Century"/>
          <w:sz w:val="22"/>
          <w:rtl w:val="true"/>
        </w:rPr>
        <w:t>);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10715/08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1.9.2009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אשר לרכיב הפיצוי הכספי שנפסק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עמד על הפגיעה הנפשית שנגרמה לנפגעות ממעשי המערער ונקבע כי הפיצוי שנפסק עשוי </w:t>
      </w:r>
      <w:r>
        <w:rPr>
          <w:rtl w:val="true"/>
        </w:rPr>
        <w:t>–</w:t>
      </w:r>
      <w:r>
        <w:rPr>
          <w:rtl w:val="true"/>
        </w:rPr>
        <w:t xml:space="preserve"> במקצת </w:t>
      </w:r>
      <w:r>
        <w:rPr>
          <w:rtl w:val="true"/>
        </w:rPr>
        <w:t>–</w:t>
      </w:r>
      <w:r>
        <w:rPr>
          <w:rtl w:val="true"/>
        </w:rPr>
        <w:t xml:space="preserve"> לסייע להן במימון טיפולים נדרשים</w:t>
      </w:r>
      <w:r>
        <w:rPr>
          <w:rtl w:val="true"/>
        </w:rPr>
        <w:t xml:space="preserve">. </w:t>
      </w:r>
      <w:r>
        <w:rPr>
          <w:rtl w:val="true"/>
        </w:rPr>
        <w:t>עוד נקבע כי השתת הפיצוי תהא ביטוי ללקיחת האחריות של המערער על מעשיו</w:t>
      </w:r>
      <w:r>
        <w:rPr>
          <w:rtl w:val="true"/>
        </w:rPr>
        <w:t xml:space="preserve">. </w:t>
      </w:r>
      <w:r>
        <w:rPr>
          <w:rtl w:val="true"/>
        </w:rPr>
        <w:t>קביעת שיעור הפיצוי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היא עניין לבחינתה של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ואין המקרה דנן מצדיק התערבות בשיקול דעתה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7874/15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43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23.11.2017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10102/07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81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7.9.2010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 xml:space="preserve">לא מצאנו כי יש בפסיקה שאליה הפנה המערער בהקשר זה </w:t>
      </w:r>
      <w:r>
        <w:rPr>
          <w:rtl w:val="true"/>
        </w:rPr>
        <w:t>–</w:t>
      </w:r>
      <w:r>
        <w:rPr>
          <w:rtl w:val="true"/>
        </w:rPr>
        <w:t xml:space="preserve"> בטענה כי סכומי הפיצוי שנפסקו במקרים אחרים נמוכים יותר </w:t>
      </w:r>
      <w:r>
        <w:rPr>
          <w:rtl w:val="true"/>
        </w:rPr>
        <w:t>–</w:t>
      </w:r>
      <w:r>
        <w:rPr>
          <w:rtl w:val="true"/>
        </w:rPr>
        <w:t xml:space="preserve"> כדי להצדיק התערבות בסכומים שנקבעו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1053/17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שם נבחן עניינו של מי שהורשע בריבוי עבירות של מעשים מגונים בשתי בנותיו הקטינות והושת עליו פיצוי כספי כולל בסך </w:t>
      </w:r>
      <w:r>
        <w:rPr/>
        <w:t>180,000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5421/12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29.8.2013</w:t>
      </w:r>
      <w:r>
        <w:rPr>
          <w:rtl w:val="true"/>
        </w:rPr>
        <w:t xml:space="preserve">) </w:t>
      </w:r>
      <w:r>
        <w:rPr>
          <w:rtl w:val="true"/>
        </w:rPr>
        <w:t xml:space="preserve">שם נבחן עניינו של מי שהורשע בריבוי עבירות של ביצוע מעשים מגונים בנכדתו הקטינה והושת עליו פיצוי כספי בסך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1049/12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25.7.2012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שם נבחן עניינו של מי שהורשע בביצוע מעשה מגונה בנכדתו הקטינה והושת עליו פיצוי כספי בסך </w:t>
      </w:r>
      <w:r>
        <w:rPr>
          <w:rFonts w:cs="Century" w:ascii="Century" w:hAnsi="Century"/>
          <w:sz w:val="22"/>
        </w:rPr>
        <w:t>40,000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סוף דבר</w:t>
      </w:r>
      <w:r>
        <w:rPr>
          <w:rtl w:val="true"/>
        </w:rPr>
        <w:t xml:space="preserve">: </w:t>
      </w:r>
      <w:r>
        <w:rPr>
          <w:rtl w:val="true"/>
        </w:rPr>
        <w:t>השיקולים הצריכים לעניין נדונו במלואם בגזר הדין</w:t>
      </w:r>
      <w:r>
        <w:rPr>
          <w:rtl w:val="true"/>
        </w:rPr>
        <w:t xml:space="preserve">, </w:t>
      </w:r>
      <w:r>
        <w:rPr>
          <w:rtl w:val="true"/>
        </w:rPr>
        <w:t>והעונש שהושת על המערער הולם את חומרת מעשיו</w:t>
      </w:r>
      <w:r>
        <w:rPr>
          <w:rtl w:val="true"/>
        </w:rPr>
        <w:t xml:space="preserve">, </w:t>
      </w:r>
      <w:r>
        <w:rPr>
          <w:rtl w:val="true"/>
        </w:rPr>
        <w:t>נותן ביטוי למכלול שיקולי הענישה</w:t>
      </w:r>
      <w:r>
        <w:rPr>
          <w:rtl w:val="true"/>
        </w:rPr>
        <w:t xml:space="preserve">, </w:t>
      </w:r>
      <w:r>
        <w:rPr>
          <w:rtl w:val="true"/>
        </w:rPr>
        <w:t>ואינו מצדיק אפוא את התערבותה של ערכאת 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23.12.2020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20018590</w:t>
      </w:r>
      <w:r>
        <w:rPr>
          <w:sz w:val="16"/>
          <w:rtl w:val="true"/>
        </w:rPr>
        <w:t>_</w:t>
      </w:r>
      <w:r>
        <w:rPr>
          <w:sz w:val="16"/>
        </w:rPr>
        <w:t>M03.docx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סס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David" w:hAnsi="David;David" w:cs="David;David"/>
          <w:color w:val="000000"/>
          <w:szCs w:val="22"/>
        </w:rPr>
      </w:pPr>
      <w:r>
        <w:rPr>
          <w:rFonts w:cs="David;David" w:ascii="David;David" w:hAnsi="David;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David" w:hAnsi="David;David" w:cs="David;David"/>
          <w:color w:val="000000"/>
          <w:szCs w:val="22"/>
        </w:rPr>
      </w:pPr>
      <w:r>
        <w:rPr>
          <w:rFonts w:ascii="David;David" w:hAnsi="David;David"/>
          <w:color w:val="000000"/>
          <w:szCs w:val="22"/>
          <w:rtl w:val="true"/>
        </w:rPr>
        <w:t>ע</w:t>
      </w:r>
      <w:r>
        <w:rPr>
          <w:rFonts w:cs="David;David" w:ascii="David;David" w:hAnsi="David;David"/>
          <w:color w:val="000000"/>
          <w:szCs w:val="22"/>
          <w:rtl w:val="true"/>
        </w:rPr>
        <w:t xml:space="preserve">' </w:t>
      </w:r>
      <w:r>
        <w:rPr>
          <w:rFonts w:ascii="David;David" w:hAnsi="David;David"/>
          <w:color w:val="000000"/>
          <w:szCs w:val="22"/>
          <w:rtl w:val="true"/>
        </w:rPr>
        <w:t xml:space="preserve">פוגלמן </w:t>
      </w:r>
      <w:r>
        <w:rPr>
          <w:rFonts w:cs="David;David" w:ascii="David;David" w:hAnsi="David;David"/>
          <w:color w:val="000000"/>
          <w:szCs w:val="22"/>
        </w:rPr>
        <w:t>54678313-1859/20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David" w:hAnsi="David;David" w:cs="David;David"/>
        <w:color w:val="000000"/>
        <w:sz w:val="22"/>
        <w:szCs w:val="22"/>
      </w:rPr>
    </w:pPr>
    <w:r>
      <w:rPr>
        <w:rFonts w:ascii="David;David" w:hAnsi="David;David"/>
        <w:color w:val="000000"/>
        <w:sz w:val="22"/>
        <w:sz w:val="22"/>
        <w:szCs w:val="22"/>
        <w:rtl w:val="true"/>
      </w:rPr>
      <w:t xml:space="preserve">עפ </w:t>
    </w:r>
    <w:r>
      <w:rPr>
        <w:rFonts w:cs="David;David" w:ascii="David;David" w:hAnsi="David;David"/>
        <w:color w:val="000000"/>
        <w:sz w:val="22"/>
        <w:szCs w:val="22"/>
      </w:rPr>
      <w:t>1859/20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פלוני נ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'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David"/>
    </w:rPr>
  </w:style>
  <w:style w:type="character" w:styleId="CharChar1">
    <w:name w:val=" Char Char1"/>
    <w:qFormat/>
    <w:rPr>
      <w:rFonts w:cs="David;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69965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8.b" TargetMode="External"/><Relationship Id="rId7" Type="http://schemas.openxmlformats.org/officeDocument/2006/relationships/hyperlink" Target="http://www.nevo.co.il/law/70301/351.c.2" TargetMode="External"/><Relationship Id="rId8" Type="http://schemas.openxmlformats.org/officeDocument/2006/relationships/hyperlink" Target="http://www.nevo.co.il/law/70301/40jc" TargetMode="External"/><Relationship Id="rId9" Type="http://schemas.openxmlformats.org/officeDocument/2006/relationships/hyperlink" Target="http://www.nevo.co.il/law/70301/351.c.2" TargetMode="External"/><Relationship Id="rId10" Type="http://schemas.openxmlformats.org/officeDocument/2006/relationships/hyperlink" Target="http://www.nevo.co.il/law/70301/348.b" TargetMode="External"/><Relationship Id="rId11" Type="http://schemas.openxmlformats.org/officeDocument/2006/relationships/hyperlink" Target="http://www.nevo.co.il/law/70301/345.b.1" TargetMode="External"/><Relationship Id="rId12" Type="http://schemas.openxmlformats.org/officeDocument/2006/relationships/hyperlink" Target="http://www.nevo.co.il/law/70301/345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51.c.2" TargetMode="External"/><Relationship Id="rId15" Type="http://schemas.openxmlformats.org/officeDocument/2006/relationships/hyperlink" Target="http://www.nevo.co.il/law/70301/348.b" TargetMode="External"/><Relationship Id="rId16" Type="http://schemas.openxmlformats.org/officeDocument/2006/relationships/hyperlink" Target="http://www.nevo.co.il/law/70301/345.b.1" TargetMode="External"/><Relationship Id="rId17" Type="http://schemas.openxmlformats.org/officeDocument/2006/relationships/hyperlink" Target="http://www.nevo.co.il/law/70301/345.a.1" TargetMode="External"/><Relationship Id="rId18" Type="http://schemas.openxmlformats.org/officeDocument/2006/relationships/hyperlink" Target="http://www.nevo.co.il/law/70301/348.b" TargetMode="External"/><Relationship Id="rId19" Type="http://schemas.openxmlformats.org/officeDocument/2006/relationships/hyperlink" Target="http://www.nevo.co.il/law/70301/345.b.1" TargetMode="External"/><Relationship Id="rId20" Type="http://schemas.openxmlformats.org/officeDocument/2006/relationships/hyperlink" Target="http://www.nevo.co.il/law/70301/345.a.1" TargetMode="External"/><Relationship Id="rId21" Type="http://schemas.openxmlformats.org/officeDocument/2006/relationships/hyperlink" Target="http://www.nevo.co.il/law/70301/40jc" TargetMode="External"/><Relationship Id="rId22" Type="http://schemas.openxmlformats.org/officeDocument/2006/relationships/hyperlink" Target="http://www.nevo.co.il/case/23543157" TargetMode="External"/><Relationship Id="rId23" Type="http://schemas.openxmlformats.org/officeDocument/2006/relationships/hyperlink" Target="http://www.nevo.co.il/case/25217979" TargetMode="External"/><Relationship Id="rId24" Type="http://schemas.openxmlformats.org/officeDocument/2006/relationships/hyperlink" Target="http://www.nevo.co.il/case/25800799" TargetMode="External"/><Relationship Id="rId25" Type="http://schemas.openxmlformats.org/officeDocument/2006/relationships/hyperlink" Target="http://www.nevo.co.il/case/6247531" TargetMode="External"/><Relationship Id="rId26" Type="http://schemas.openxmlformats.org/officeDocument/2006/relationships/hyperlink" Target="http://www.nevo.co.il/case/6194147" TargetMode="External"/><Relationship Id="rId27" Type="http://schemas.openxmlformats.org/officeDocument/2006/relationships/hyperlink" Target="http://www.nevo.co.il/case/6234386" TargetMode="External"/><Relationship Id="rId28" Type="http://schemas.openxmlformats.org/officeDocument/2006/relationships/hyperlink" Target="http://www.nevo.co.il/case/24323669" TargetMode="External"/><Relationship Id="rId29" Type="http://schemas.openxmlformats.org/officeDocument/2006/relationships/hyperlink" Target="http://www.nevo.co.il/case/10442611" TargetMode="External"/><Relationship Id="rId30" Type="http://schemas.openxmlformats.org/officeDocument/2006/relationships/hyperlink" Target="http://www.nevo.co.il/case/10442611" TargetMode="External"/><Relationship Id="rId31" Type="http://schemas.openxmlformats.org/officeDocument/2006/relationships/hyperlink" Target="http://www.nevo.co.il/case/6245306" TargetMode="External"/><Relationship Id="rId32" Type="http://schemas.openxmlformats.org/officeDocument/2006/relationships/hyperlink" Target="http://www.nevo.co.il/case/6247135" TargetMode="External"/><Relationship Id="rId33" Type="http://schemas.openxmlformats.org/officeDocument/2006/relationships/hyperlink" Target="http://www.nevo.co.il/case/23565447" TargetMode="External"/><Relationship Id="rId34" Type="http://schemas.openxmlformats.org/officeDocument/2006/relationships/hyperlink" Target="http://www.nevo.co.il/case/23565447" TargetMode="External"/><Relationship Id="rId35" Type="http://schemas.openxmlformats.org/officeDocument/2006/relationships/hyperlink" Target="http://www.nevo.co.il/case/10442611" TargetMode="External"/><Relationship Id="rId36" Type="http://schemas.openxmlformats.org/officeDocument/2006/relationships/hyperlink" Target="http://www.nevo.co.il/case/21024461" TargetMode="External"/><Relationship Id="rId37" Type="http://schemas.openxmlformats.org/officeDocument/2006/relationships/hyperlink" Target="http://www.nevo.co.il/case/6104053" TargetMode="External"/><Relationship Id="rId38" Type="http://schemas.openxmlformats.org/officeDocument/2006/relationships/hyperlink" Target="http://www.nevo.co.il/case/20781912" TargetMode="External"/><Relationship Id="rId39" Type="http://schemas.openxmlformats.org/officeDocument/2006/relationships/hyperlink" Target="http://www.nevo.co.il/case/6241065" TargetMode="External"/><Relationship Id="rId40" Type="http://schemas.openxmlformats.org/officeDocument/2006/relationships/hyperlink" Target="http://www.nevo.co.il/case/23565447" TargetMode="External"/><Relationship Id="rId41" Type="http://schemas.openxmlformats.org/officeDocument/2006/relationships/hyperlink" Target="http://www.nevo.co.il/case/6246338" TargetMode="External"/><Relationship Id="rId42" Type="http://schemas.openxmlformats.org/officeDocument/2006/relationships/hyperlink" Target="http://www.nevo.co.il/case/6243243" TargetMode="External"/><Relationship Id="rId43" Type="http://schemas.openxmlformats.org/officeDocument/2006/relationships/hyperlink" Target="http://supreme.court.gov.il/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2020-12-23T13:01:00Z</dcterms:created>
  <dc:creator>h10</dc:creator>
  <dc:description/>
  <cp:keywords/>
  <dc:language>en-IL</dc:language>
  <cp:lastModifiedBy>orly</cp:lastModifiedBy>
  <cp:lastPrinted>2020-12-23T09:37:00Z</cp:lastPrinted>
  <dcterms:modified xsi:type="dcterms:W3CDTF">2020-12-24T08:18:00Z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 מתלוננת 1;פלונית מתלוננת 2;פלונית מתלוננת 3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25699651;23543157;25217979;25800799;6247531;6194147;6234386;24323669;10442611:3;6245306;6247135;23565447:3;21024461;6104053;20781912;6241065;6246338;6243243</vt:lpwstr>
  </property>
  <property fmtid="{D5CDD505-2E9C-101B-9397-08002B2CF9AE}" pid="9" name="CITY">
    <vt:lpwstr/>
  </property>
  <property fmtid="{D5CDD505-2E9C-101B-9397-08002B2CF9AE}" pid="10" name="DATE">
    <vt:lpwstr>20201223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פוגלמן;נ' סולברג;ג' קרא</vt:lpwstr>
  </property>
  <property fmtid="{D5CDD505-2E9C-101B-9397-08002B2CF9AE}" pid="14" name="LAWLISTTMP1">
    <vt:lpwstr>70301/351.c.2:2;348.b:3;345.b.1:3;345.a.1:3;40jc</vt:lpwstr>
  </property>
  <property fmtid="{D5CDD505-2E9C-101B-9397-08002B2CF9AE}" pid="15" name="LAWYER">
    <vt:lpwstr>אופיר ביתן;שירן ברגמן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מין בקטינים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מין במשפחה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>מדיניות ענישה: התערבות ערכאת ערעור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16970;16241;8995;8982</vt:lpwstr>
  </property>
  <property fmtid="{D5CDD505-2E9C-101B-9397-08002B2CF9AE}" pid="59" name="PADIDATE">
    <vt:lpwstr>20201224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1859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410120201223</vt:lpwstr>
  </property>
  <property fmtid="{D5CDD505-2E9C-101B-9397-08002B2CF9AE}" pid="69" name="TYPE_N_DATE">
    <vt:lpwstr>41020201223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