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1871/20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זלצמן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מורחן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חדרה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ה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23353-07-19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קפלן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המערערים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</w:rPr>
          <w:t>78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מעצרים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3" w:name="LawTable_End"/>
      <w:bookmarkStart w:id="4" w:name="LawTable_End"/>
      <w:bookmarkEnd w:id="4"/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 w:cs="FrankRuehl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נדחה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החלטת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לפסול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מלדון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נפסק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מבטאות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רצון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מהחלטות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דיוניות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פסלות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מבססות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לקיומו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כלפיהם</w:t>
      </w:r>
      <w:r>
        <w:rPr>
          <w:rFonts w:cs="FrankRuehl" w:ascii="Times New Roman" w:hAnsi="Times New Roman"/>
          <w:szCs w:val="26"/>
          <w:rtl w:val="true"/>
        </w:rPr>
        <w:t xml:space="preserve">. 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בתי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שופט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בתי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הפסלות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בתי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פנים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נגד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מתנהלת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חקירה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בחשד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והוצאו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צווי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תפיסה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לרכושם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להארכת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תוקף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צווי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התפיסה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נדונה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והתקבלה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להארכת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תוקף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צווי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התפיסה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המשיבה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מטעמה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דחה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התנגדות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להגשתו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להעמיד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מערערת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בישראל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הלבנת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מרכז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ברומניה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וביקשו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יכריע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בטענה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מידי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דחה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עתרו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בקשת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נדחתה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ומכאן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הנשיאה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ניסו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להציג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ככזו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המבוססת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קדומה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שמחזיק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נגדם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ואולם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למעשה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מבטאות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רצון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מהחלטות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 xml:space="preserve">- </w:t>
      </w:r>
      <w:r>
        <w:rPr>
          <w:rFonts w:ascii="Times New Roman" w:hAnsi="Times New Roman" w:cs="FrankRuehl"/>
          <w:szCs w:val="26"/>
          <w:rtl w:val="true"/>
        </w:rPr>
        <w:t>החלטה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הקובעת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ההכרעה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בטענה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העמדתה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מערערת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הלבנת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בישראל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תינתן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בבקשה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והחלטה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הדוחה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התנגדותם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המשיבה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החלטות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החלטות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דיוניות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מובהקות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פסלות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לגופן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ההחלטות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שבמוקד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מבססות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כלשהו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לקיומו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הדגיש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גיבש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להארכת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תוקף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צווי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התפיסה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החלטתו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להאריך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תוקפם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יתקיים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מעידה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דעתו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ננעלה</w:t>
      </w:r>
      <w:r>
        <w:rPr>
          <w:rFonts w:cs="FrankRuehl" w:ascii="Times New Roman" w:hAnsi="Times New Roman"/>
          <w:szCs w:val="26"/>
          <w:rtl w:val="true"/>
        </w:rPr>
        <w:t xml:space="preserve">".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טענות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ניהול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פרוטוקול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המותב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נדחו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שסברו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הפרוטוקול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נכונה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מהלך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מתאימה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לתיקונו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  <w:bookmarkStart w:id="11" w:name="Writer_Name"/>
      <w:bookmarkStart w:id="12" w:name="Writer_Name"/>
      <w:bookmarkEnd w:id="12"/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קפלן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4.3.2020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23353-07-19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צווי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התפיסה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10.7.2019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4795/19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9.9.2019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18.9.2019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6772/19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26.2.2020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4.3.2020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וסמכו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סמכויות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אכיפה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מעצרים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szCs w:val="24"/>
            <w:u w:val="single"/>
            <w:rtl w:val="true"/>
          </w:rPr>
          <w:t>המעצרים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המעצרים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ברומניה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הכנסותיה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התפוסים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ומדגישים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מקדמית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והמהותיות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עיינתי בערעור על נספחיו ובאתי לידי מסקנה כי דינו להידחות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ים מנסים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אמנם להציג את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בקשת הפסלות ככזו המבוססת על דעה קדומה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שמחזיק המותב נגד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 שמבטאות למעשה הטענות שהעלו המערערים הוא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חוסר שביעות רצו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החלט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 המותב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זו הקובעת כי ההכרעה בטענה לעניין העמדתה לדין של המערערת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בעבירות של הלבנת הון בישראל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תינתן במכלול בתום הדיון בבקשה וזו הדוחה את התנגדותם להגשת הדו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 הסודי מטעם המשיבה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החלטות אלו הן החלטות דיוניות מובהקות ובצדק קבע המותב כי אין בהן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כדי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להקים עילת פסלות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1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1106/20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ליולקו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10.3.2020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עיון בהחלטות שבמוקד הערעור לגופן מעלה אף הוא כי הן אינן מבססות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חשש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ממשי כלשהו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לקיומו של משוא פנים מצד המותב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כלפי המערערים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הדגיש כי לא גיבש כל עמדה ביחס להארכת תוקף צווי התפיסה ולא מצאתי כי החלטתו להאריך את תוקפם עד למועד בו יתקיים דיון נוסף בבקשה גופה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מעידה כי דעתו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ננעלה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אין בידי לקבל את טענות המערערים בעניין ניהול פרוטוקול הדיון על ידי המותב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ככל שסברו כי הפרוטוקול אינו משקף נכונה את מהלך הדיון היה עליהם להגיש בקשה מתאימה לתיקונו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1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1609/19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שוראקי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6.3.2019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Ruller43"/>
        <w:tabs>
          <w:tab w:val="clear" w:pos="720"/>
          <w:tab w:val="left" w:pos="907" w:leader="none"/>
        </w:tabs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על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הערעור נדחה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Nitan"/>
      <w:r>
        <w:rPr>
          <w:rFonts w:eastAsia="Arial TUR;Arial"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ד</w:t>
      </w:r>
      <w:r>
        <w:rPr>
          <w:rFonts w:cs="Arial TUR;Arial" w:ascii="Arial TUR;Arial" w:hAnsi="Arial TUR;Arial"/>
          <w:rtl w:val="true"/>
        </w:rPr>
        <w:t xml:space="preserve">' </w:t>
      </w:r>
      <w:r>
        <w:rPr>
          <w:rFonts w:ascii="Arial TUR;Arial" w:hAnsi="Arial TUR;Arial" w:cs="Arial TUR;Arial"/>
          <w:rtl w:val="true"/>
        </w:rPr>
        <w:t>בניסן התש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ף </w:t>
      </w:r>
      <w:r>
        <w:rPr>
          <w:rFonts w:cs="Arial TUR;Arial" w:ascii="Arial TUR;Arial" w:hAnsi="Arial TUR;Arial"/>
          <w:rtl w:val="true"/>
        </w:rPr>
        <w:t>(</w:t>
      </w:r>
      <w:r>
        <w:rPr>
          <w:rFonts w:cs="Arial TUR;Arial" w:ascii="Arial TUR;Arial" w:hAnsi="Arial TUR;Arial"/>
        </w:rPr>
        <w:t>29.3.2020</w:t>
      </w:r>
      <w:r>
        <w:rPr>
          <w:rFonts w:cs="Arial TUR;Arial" w:ascii="Arial TUR;Arial" w:hAnsi="Arial TUR;Arial"/>
          <w:rtl w:val="true"/>
        </w:rPr>
        <w:t xml:space="preserve">).  </w:t>
      </w:r>
      <w:bookmarkEnd w:id="13"/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20018710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54678313-1871/20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1871/20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עופר זלצמן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eastAsia="Calibri" w:cs="Arial"/>
      <w:sz w:val="24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overflowPunct w:val="true"/>
      <w:autoSpaceDE w:val="true"/>
      <w:spacing w:lineRule="auto" w:line="254" w:before="0" w:after="160"/>
      <w:textAlignment w:val="auto"/>
    </w:pPr>
    <w:rPr>
      <w:rFonts w:ascii="Garamond" w:hAnsi="Garamond" w:eastAsia="Calibri" w:cs="Arial"/>
      <w:spacing w:val="0"/>
      <w:sz w:val="24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53194" TargetMode="External"/><Relationship Id="rId3" Type="http://schemas.openxmlformats.org/officeDocument/2006/relationships/hyperlink" Target="http://www.nevo.co.il/law/74345" TargetMode="External"/><Relationship Id="rId4" Type="http://schemas.openxmlformats.org/officeDocument/2006/relationships/hyperlink" Target="http://www.nevo.co.il/law/74849" TargetMode="External"/><Relationship Id="rId5" Type="http://schemas.openxmlformats.org/officeDocument/2006/relationships/hyperlink" Target="http://www.nevo.co.il/law/74849/78" TargetMode="External"/><Relationship Id="rId6" Type="http://schemas.openxmlformats.org/officeDocument/2006/relationships/hyperlink" Target="http://www.nevo.co.il/law/98568" TargetMode="External"/><Relationship Id="rId7" Type="http://schemas.openxmlformats.org/officeDocument/2006/relationships/hyperlink" Target="http://www.nevo.co.il/case/25853194" TargetMode="External"/><Relationship Id="rId8" Type="http://schemas.openxmlformats.org/officeDocument/2006/relationships/hyperlink" Target="http://www.nevo.co.il/law/74345" TargetMode="External"/><Relationship Id="rId9" Type="http://schemas.openxmlformats.org/officeDocument/2006/relationships/hyperlink" Target="http://www.nevo.co.il/law/74849/78" TargetMode="External"/><Relationship Id="rId10" Type="http://schemas.openxmlformats.org/officeDocument/2006/relationships/hyperlink" Target="http://www.nevo.co.il/law/74849" TargetMode="External"/><Relationship Id="rId11" Type="http://schemas.openxmlformats.org/officeDocument/2006/relationships/hyperlink" Target="http://www.nevo.co.il/case/25866195" TargetMode="External"/><Relationship Id="rId12" Type="http://schemas.openxmlformats.org/officeDocument/2006/relationships/hyperlink" Target="http://www.nevo.co.il/case/26117839" TargetMode="External"/><Relationship Id="rId13" Type="http://schemas.openxmlformats.org/officeDocument/2006/relationships/hyperlink" Target="http://www.nevo.co.il/law/98568" TargetMode="External"/><Relationship Id="rId14" Type="http://schemas.openxmlformats.org/officeDocument/2006/relationships/hyperlink" Target="http://www.nevo.co.il/law/98568" TargetMode="External"/><Relationship Id="rId15" Type="http://schemas.openxmlformats.org/officeDocument/2006/relationships/hyperlink" Target="http://www.nevo.co.il/law/98568" TargetMode="External"/><Relationship Id="rId16" Type="http://schemas.openxmlformats.org/officeDocument/2006/relationships/hyperlink" Target="http://www.nevo.co.il/case/26445739" TargetMode="External"/><Relationship Id="rId17" Type="http://schemas.openxmlformats.org/officeDocument/2006/relationships/hyperlink" Target="http://www.nevo.co.il/case/25503702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2020-03-30T10:29:00Z</dcterms:created>
  <dc:creator>h4</dc:creator>
  <dc:description/>
  <cp:keywords/>
  <dc:language>en-IL</dc:language>
  <cp:lastModifiedBy>orly</cp:lastModifiedBy>
  <cp:lastPrinted>2020-03-29T16:05:00Z</cp:lastPrinted>
  <dcterms:modified xsi:type="dcterms:W3CDTF">2020-03-30T10:29:00Z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עופר זלצמן;ג'אורג'יאנה מורחן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25853194:2;25866195;26117839;26445739;25503702</vt:lpwstr>
  </property>
  <property fmtid="{D5CDD505-2E9C-101B-9397-08002B2CF9AE}" pid="9" name="CITY">
    <vt:lpwstr/>
  </property>
  <property fmtid="{D5CDD505-2E9C-101B-9397-08002B2CF9AE}" pid="10" name="DATE">
    <vt:lpwstr>20200329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74345</vt:lpwstr>
  </property>
  <property fmtid="{D5CDD505-2E9C-101B-9397-08002B2CF9AE}" pid="15" name="LAWLISTTMP2">
    <vt:lpwstr>74849/078</vt:lpwstr>
  </property>
  <property fmtid="{D5CDD505-2E9C-101B-9397-08002B2CF9AE}" pid="16" name="LAWLISTTMP3">
    <vt:lpwstr>98568:3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בתי-משפט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>בתי-משפט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14;14;14</vt:lpwstr>
  </property>
  <property fmtid="{D5CDD505-2E9C-101B-9397-08002B2CF9AE}" pid="39" name="NOSE21">
    <vt:lpwstr>פסלות שופט</vt:lpwstr>
  </property>
  <property fmtid="{D5CDD505-2E9C-101B-9397-08002B2CF9AE}" pid="40" name="NOSE210">
    <vt:lpwstr/>
  </property>
  <property fmtid="{D5CDD505-2E9C-101B-9397-08002B2CF9AE}" pid="41" name="NOSE22">
    <vt:lpwstr>פסלות שופט</vt:lpwstr>
  </property>
  <property fmtid="{D5CDD505-2E9C-101B-9397-08002B2CF9AE}" pid="42" name="NOSE23">
    <vt:lpwstr>פסלות שופט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336;336;336</vt:lpwstr>
  </property>
  <property fmtid="{D5CDD505-2E9C-101B-9397-08002B2CF9AE}" pid="50" name="NOSE31">
    <vt:lpwstr>בקשה לפסילת שופט</vt:lpwstr>
  </property>
  <property fmtid="{D5CDD505-2E9C-101B-9397-08002B2CF9AE}" pid="51" name="NOSE310">
    <vt:lpwstr/>
  </property>
  <property fmtid="{D5CDD505-2E9C-101B-9397-08002B2CF9AE}" pid="52" name="NOSE32">
    <vt:lpwstr>עילות הפסלות</vt:lpwstr>
  </property>
  <property fmtid="{D5CDD505-2E9C-101B-9397-08002B2CF9AE}" pid="53" name="NOSE33">
    <vt:lpwstr>חשש ממשי למשוא פנים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17469;17180;17095</vt:lpwstr>
  </property>
  <property fmtid="{D5CDD505-2E9C-101B-9397-08002B2CF9AE}" pid="61" name="PADIDATE">
    <vt:lpwstr>20200330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1871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410120200329</vt:lpwstr>
  </property>
  <property fmtid="{D5CDD505-2E9C-101B-9397-08002B2CF9AE}" pid="71" name="TYPE_N_DATE">
    <vt:lpwstr>41020200329</vt:lpwstr>
  </property>
  <property fmtid="{D5CDD505-2E9C-101B-9397-08002B2CF9AE}" pid="72" name="VOLUME">
    <vt:lpwstr/>
  </property>
  <property fmtid="{D5CDD505-2E9C-101B-9397-08002B2CF9AE}" pid="73" name="WORDNUMPAGES">
    <vt:lpwstr>5</vt:lpwstr>
  </property>
</Properties>
</file>