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1900/18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ילמה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זלוצובר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21904-01-15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ט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באלול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16.9.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19</w:t>
            </w:r>
            <w:r>
              <w:rPr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אדיר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2016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דן בערעור על הרשעת המערער ברצח בכוונת תחילה ואינוס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וגזירת עונשו למאסר עולם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מעשי האלימות שבוצעו במהלך האינוס מצדיקים מענה גמולי 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הנפרד מהעונש על מעשה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יש להתחשב בזיקה בין האלימות שנלוותה לשתי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שיש להורות על חפיפה מסוימת של העונשים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נפסק כי בדין נקבע כי מדובר ברצח בנסיבות חריגות בחומרתן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המצדיק את הפעלת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לחוק שחרור על תנאי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רצח חריג בחומרתו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עונשים חופפים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 סוהר – אסירים – שחרור על תנאי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פסק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בו הורשע המערער ברצח בכוונת תחילה ואינוס של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ונדון למאסר עולם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נוספות תוך הפעלת שנת מאסר על תנאי 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וחויב בתשלום פיצוי למשפחת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תקף את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 בה עבירות מין ורצח אותה באלימות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מות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אפשר לכלבתו להשחית את גופתה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וניסה לבתר אותה במסור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השופטים פוגלמן וברון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ברובו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לחומרת העונש בעבירת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האלימות שבוצעו במהלך האינוס מצדיקים מענה גמולי נפרד מהעונש על מעשה הרצח לבדו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ניתן להרשיע נאשם הן בביצוע אונס בנסיבות מחמירות והן בביצוע עבירות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כאשר עבירות האלימות נעשו בהקשר של עבירת האונס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 כפולה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אותם 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בעונש הולם עבור כל עבירה בנפרד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של רצח ועבירה של אינוס תוך גרימת חבלה גופנית או נפשית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כי הנאשם רצח את המנוחה ונענש על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 כדי להפחית מחומרת מעשה האונס האלים שביצע עובר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כנגזרת מכך אין בה כדי להקל בעונש שיש להשית עליו בגין מעשה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במכלול נסיבותיו הקשות והחריגות של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המערער בגין עבירה זו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 חורג ממדיניות הענישה הראויה באופן המצדיק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לחפיפת העונשים או הטלתם 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גזירת הדין 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לתת ביטוי עונשי לכל מעשה שבו הורשע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הוראה לפיה העונשים ירוצו במצטבר היא הכלל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והחלטה על חפיפת עונשים מצריכה הנמקה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הכרעה בסוגיה זו נעשית לפי נסיבות כל 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יש לתת את הדעת לשני שיקולים מרכזיים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זיקתן של העבירות בהן הורשע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זיקה חזקה עשויה להצדיק חפיפת העונשים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מהותן וחומרתן של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 של עבריין בעבירות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שבוצעו בנסיבות קשות או בברוטאליות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בעבירות הפוגעות באינטרסים היקרים לנו כחברה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בדגש על עבירות אלימות בכלל ועבירת רצח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 להצדיק ענישה מצטברת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 להתחשב גם בנסיבות האישיות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גילו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והאם הודה במעשים או הביע עליהם חרטה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בהן הורשע המערער הן מהחמורות שבספר החוקים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ומעשיו ברוטאליים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ליתן משקל לערכים המוגנים העומדים ביסוד כל אחת מהעבירות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לנזק הרב שנגרם למנוחה ולמשפחתה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לרישום הפלילי הכבד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ולהעדר הבעת חרטה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להתחשב בזיקה בין האלימות שנלוותה לשתי העבירות הנדונות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לכך שאותם מעשי אלימות שגרמו למות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יוחסו למערער גם בעבירת הרצח וגם במסגרת הנסיבות המחמירות שנלוו לעבירת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ולהורות על חפיפה מסוימת של העונשים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באופן שבו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מתוך העונש בגין מעשה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יישא המערער בחופף למאסר העולם שהושת עליו בגין מעשה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לרצח בנסיבות חריגות בחומרתן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ascii="Times New Roman" w:hAnsi="Times New Roman" w:cs="Times New Roman"/>
          <w:spacing w:val="0"/>
          <w:szCs w:val="26"/>
          <w:rtl w:val="true"/>
        </w:rPr>
        <w:t>ב לחוק שחרור על תנאי ממאסר</w:t>
      </w:r>
      <w:r>
        <w:rPr>
          <w:rStyle w:val="default"/>
          <w:rFonts w:cs="FrankRuehl"/>
          <w:spacing w:val="0"/>
          <w:sz w:val="24"/>
          <w:rtl w:val="true"/>
        </w:rPr>
        <w:t xml:space="preserve">,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מי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שבימ</w:t>
      </w:r>
      <w:r>
        <w:rPr>
          <w:rStyle w:val="default"/>
          <w:rFonts w:cs="FrankRuehl"/>
          <w:spacing w:val="0"/>
          <w:sz w:val="24"/>
          <w:rtl w:val="true"/>
        </w:rPr>
        <w:t>"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ש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קבע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בעניינו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כי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ביצע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רצח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בנסיבות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חריגות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בחומרתן</w:t>
      </w:r>
      <w:r>
        <w:rPr>
          <w:rStyle w:val="default"/>
          <w:rFonts w:cs="FrankRuehl"/>
          <w:spacing w:val="0"/>
          <w:sz w:val="24"/>
          <w:rtl w:val="true"/>
        </w:rPr>
        <w:t xml:space="preserve">,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ועדת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השחרורים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המיוחדת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לא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תמליץ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על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הקלה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בעונשו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בטרם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חלוף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</w:rPr>
        <w:t>15</w:t>
      </w:r>
      <w:r>
        <w:rPr>
          <w:rStyle w:val="default"/>
          <w:rFonts w:cs="FrankRuehl"/>
          <w:spacing w:val="0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שנים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מראשית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מאסרו</w:t>
      </w:r>
      <w:r>
        <w:rPr>
          <w:rStyle w:val="default"/>
          <w:rFonts w:cs="FrankRuehl"/>
          <w:spacing w:val="0"/>
          <w:sz w:val="24"/>
          <w:rtl w:val="true"/>
        </w:rPr>
        <w:t xml:space="preserve">,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ותקופת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המאסר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עליה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תמליץ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לא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תפחת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מ</w:t>
      </w:r>
      <w:r>
        <w:rPr>
          <w:rStyle w:val="default"/>
          <w:rFonts w:cs="FrankRuehl"/>
          <w:spacing w:val="0"/>
          <w:sz w:val="24"/>
          <w:rtl w:val="true"/>
        </w:rPr>
        <w:t>-</w:t>
      </w:r>
      <w:r>
        <w:rPr>
          <w:rStyle w:val="default"/>
          <w:rFonts w:cs="FrankRuehl"/>
          <w:spacing w:val="0"/>
          <w:sz w:val="24"/>
        </w:rPr>
        <w:t>40</w:t>
      </w:r>
      <w:r>
        <w:rPr>
          <w:rStyle w:val="default"/>
          <w:rFonts w:cs="FrankRuehl"/>
          <w:spacing w:val="0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שנים</w:t>
      </w:r>
      <w:r>
        <w:rPr>
          <w:rStyle w:val="default"/>
          <w:rFonts w:cs="FrankRuehl"/>
          <w:spacing w:val="0"/>
          <w:sz w:val="24"/>
          <w:rtl w:val="true"/>
        </w:rPr>
        <w:t xml:space="preserve">.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הסעיף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יחול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אך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על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מקרי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רצח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המוגדרים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כחריגים</w:t>
      </w:r>
      <w:r>
        <w:rPr>
          <w:rStyle w:val="default"/>
          <w:rFonts w:cs="FrankRuehl"/>
          <w:spacing w:val="0"/>
          <w:sz w:val="24"/>
          <w:rtl w:val="true"/>
        </w:rPr>
        <w:t xml:space="preserve">,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כאכזריים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או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שיש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בהם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מרובי</w:t>
      </w:r>
      <w:r>
        <w:rPr>
          <w:rStyle w:val="default"/>
          <w:rFonts w:eastAsia="Garamond"/>
          <w:spacing w:val="0"/>
          <w:sz w:val="24"/>
          <w:sz w:val="24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קורבנות</w:t>
      </w:r>
      <w:r>
        <w:rPr>
          <w:rStyle w:val="default"/>
          <w:rFonts w:cs="FrankRuehl"/>
          <w:spacing w:val="0"/>
          <w:sz w:val="24"/>
          <w:rtl w:val="true"/>
        </w:rPr>
        <w:t xml:space="preserve">, </w:t>
      </w:r>
      <w:r>
        <w:rPr>
          <w:rStyle w:val="default"/>
          <w:rFonts w:cs="FrankRuehl"/>
          <w:spacing w:val="0"/>
          <w:sz w:val="24"/>
          <w:sz w:val="24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ליישמו במשורה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הצטברות של מספר רכיבים בעלי חומרה יתרה איננה תנאי להפעלת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כל מקרה יבחן בהתאם לנסיבותיו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למנות נסיבות חריגות בחומרתן המצדיקות עיכוב עיתוי המלצת ועדת השחרורים והגבלת תקופת קציבת עונש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 חריגה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אכזריות קיצונית והתעללות נפשית ופיזית של הנאשם בקורבן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 רצח על ידי קרובו של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רצח או ניסיון רצח של קורבנות 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 הקורבנות צעירים או היותם חסרי ישע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תקיפה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תקיפה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ברוטאלית שקדמה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ברשימה סגורה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הברוטאליות הרבה של מעשי המערער שפגעו בערכים החברתיים היסודיים ביותר של החברה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מגבשים חומרה חריגה ומיוחדת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בדין נקבע כי הרצח בוצע בנסיבות חריגות בחומרתן והוחל סעיף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ascii="Times New Roman" w:hAnsi="Times New Roman" w:cs="Times New Roman"/>
          <w:spacing w:val="0"/>
          <w:szCs w:val="26"/>
          <w:rtl w:val="true"/>
        </w:rPr>
        <w:t>ב לחוק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Fonts w:cs="Century" w:ascii="Century" w:hAnsi="Century"/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21904-01-15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22.1.2018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במסגרתו הורשע המערער ברצח בכוונת תחילה ואינוס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ונדון למאסר עולם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נוספות תוך הפעלת שנת מאסר על תנאי 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וחויב בתשלום פיצוי למשפחת המנוחה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אשר הוגש נגד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1.12.2014</w:t>
      </w:r>
      <w:r>
        <w:rPr>
          <w:rtl w:val="true"/>
        </w:rPr>
        <w:t xml:space="preserve"> </w:t>
      </w:r>
      <w:r>
        <w:rPr>
          <w:rtl w:val="true"/>
        </w:rPr>
        <w:t>בנסיבות שאינן ידועות למשיבה</w:t>
      </w:r>
      <w:r>
        <w:rPr>
          <w:rtl w:val="true"/>
        </w:rPr>
        <w:t xml:space="preserve">, </w:t>
      </w:r>
      <w:r>
        <w:rPr>
          <w:rtl w:val="true"/>
        </w:rPr>
        <w:t>המנוחה אשר גרה בסמיכות למערער</w:t>
      </w:r>
      <w:r>
        <w:rPr>
          <w:rtl w:val="true"/>
        </w:rPr>
        <w:t xml:space="preserve">, </w:t>
      </w:r>
      <w:r>
        <w:rPr>
          <w:rtl w:val="true"/>
        </w:rPr>
        <w:t>הגיעה יחד עמו לדירתו</w:t>
      </w:r>
      <w:r>
        <w:rPr>
          <w:rtl w:val="true"/>
        </w:rPr>
        <w:t xml:space="preserve">, </w:t>
      </w:r>
      <w:r>
        <w:rPr>
          <w:rtl w:val="true"/>
        </w:rPr>
        <w:t>לאחר שפגשה בו באקראי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תקף המערער את המנוחה בנסיבות ובאופן שאינם ידועים במדויק למשיבה</w:t>
      </w:r>
      <w:r>
        <w:rPr>
          <w:rtl w:val="true"/>
        </w:rPr>
        <w:t xml:space="preserve">, </w:t>
      </w:r>
      <w:r>
        <w:rPr>
          <w:rtl w:val="true"/>
        </w:rPr>
        <w:t>וגרם לה לחבלות רבות</w:t>
      </w:r>
      <w:r>
        <w:rPr>
          <w:rtl w:val="true"/>
        </w:rPr>
        <w:t xml:space="preserve">. </w:t>
      </w:r>
      <w:r>
        <w:rPr>
          <w:rtl w:val="true"/>
        </w:rPr>
        <w:t>המערער ביצע במנוחה מעשה סדום ואנס אותה</w:t>
      </w:r>
      <w:r>
        <w:rPr>
          <w:rtl w:val="true"/>
        </w:rPr>
        <w:t xml:space="preserve">, </w:t>
      </w:r>
      <w:r>
        <w:rPr>
          <w:rtl w:val="true"/>
        </w:rPr>
        <w:t>שלא בהסכמתה החופשית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חנק את המנוחה</w:t>
      </w:r>
      <w:r>
        <w:rPr>
          <w:rtl w:val="true"/>
        </w:rPr>
        <w:t xml:space="preserve">, </w:t>
      </w:r>
      <w:r>
        <w:rPr>
          <w:rtl w:val="true"/>
        </w:rPr>
        <w:t>דקר אותה פעמים רבות</w:t>
      </w:r>
      <w:r>
        <w:rPr>
          <w:rtl w:val="true"/>
        </w:rPr>
        <w:t xml:space="preserve">, </w:t>
      </w:r>
      <w:r>
        <w:rPr>
          <w:rtl w:val="true"/>
        </w:rPr>
        <w:t>וגרם לה חבלות קטלניות</w:t>
      </w:r>
      <w:r>
        <w:rPr>
          <w:rtl w:val="true"/>
        </w:rPr>
        <w:t xml:space="preserve">, </w:t>
      </w:r>
      <w:r>
        <w:rPr>
          <w:rtl w:val="true"/>
        </w:rPr>
        <w:t>כל זאת בכוונה להמיתה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לאחר מותה של המנוחה ובעוד גופתה מוטלת על רצפת הדירה</w:t>
      </w:r>
      <w:r>
        <w:rPr>
          <w:rtl w:val="true"/>
        </w:rPr>
        <w:t xml:space="preserve">, </w:t>
      </w:r>
      <w:r>
        <w:rPr>
          <w:rtl w:val="true"/>
        </w:rPr>
        <w:t>אִפשר המערער לכלבתו להשחית את פניה</w:t>
      </w:r>
      <w:r>
        <w:rPr>
          <w:rtl w:val="true"/>
        </w:rPr>
        <w:t xml:space="preserve">. </w:t>
      </w:r>
      <w:r>
        <w:rPr>
          <w:rtl w:val="true"/>
        </w:rPr>
        <w:t>למחרת היום</w:t>
      </w:r>
      <w:r>
        <w:rPr>
          <w:rtl w:val="true"/>
        </w:rPr>
        <w:t xml:space="preserve">, </w:t>
      </w:r>
      <w:r>
        <w:rPr>
          <w:rtl w:val="true"/>
        </w:rPr>
        <w:t>ניסה המערער להעלים את גופתה</w:t>
      </w:r>
      <w:r>
        <w:rPr>
          <w:rtl w:val="true"/>
        </w:rPr>
        <w:t xml:space="preserve">. </w:t>
      </w:r>
      <w:r>
        <w:rPr>
          <w:rtl w:val="true"/>
        </w:rPr>
        <w:t>לשם כך רכש מסור עלים חשמלי</w:t>
      </w:r>
      <w:r>
        <w:rPr>
          <w:rtl w:val="true"/>
        </w:rPr>
        <w:t xml:space="preserve">, </w:t>
      </w:r>
      <w:r>
        <w:rPr>
          <w:rtl w:val="true"/>
        </w:rPr>
        <w:t>ניסה לבתר את הגופה ולהכניסה למקרר אך ניסיונותיו אלו לא צלחו</w:t>
      </w:r>
      <w:r>
        <w:rPr>
          <w:rtl w:val="true"/>
        </w:rPr>
        <w:t xml:space="preserve">. </w:t>
      </w:r>
      <w:r>
        <w:rPr>
          <w:rtl w:val="true"/>
        </w:rPr>
        <w:t>לבסוף התקשר המערער לאחיותיו וביקש מהן להגיע לדירתו על מנת לעזור לו להעלים את הגופה</w:t>
      </w:r>
      <w:r>
        <w:rPr>
          <w:rtl w:val="true"/>
        </w:rPr>
        <w:t xml:space="preserve">. </w:t>
      </w:r>
      <w:r>
        <w:rPr>
          <w:rtl w:val="true"/>
        </w:rPr>
        <w:t>הן אלה שהזעיקו את המשטרה</w:t>
      </w:r>
      <w:r>
        <w:rPr>
          <w:rtl w:val="true"/>
        </w:rPr>
        <w:t xml:space="preserve">. </w:t>
      </w:r>
      <w:r>
        <w:rPr>
          <w:rtl w:val="true"/>
        </w:rPr>
        <w:t>כאשר הגיעו השוטרים לדירה הם מצאו את גופת המנוחה המרוטשת מוטלת על רצפת הדירה</w:t>
      </w:r>
      <w:r>
        <w:rPr>
          <w:rtl w:val="true"/>
        </w:rPr>
        <w:t xml:space="preserve">. </w:t>
      </w:r>
      <w:r>
        <w:rPr>
          <w:rtl w:val="true"/>
        </w:rPr>
        <w:t>בגופה נמצא זרעו של המערער</w:t>
      </w:r>
      <w:r>
        <w:rPr>
          <w:rtl w:val="true"/>
        </w:rPr>
        <w:t xml:space="preserve">. </w:t>
      </w:r>
      <w:r>
        <w:rPr>
          <w:rtl w:val="true"/>
        </w:rPr>
        <w:t>בשל מעשים אלו יוחסו למערער עבירות של אינוס</w:t>
      </w:r>
      <w:r>
        <w:rPr>
          <w:rtl w:val="true"/>
        </w:rPr>
        <w:t xml:space="preserve">, </w:t>
      </w:r>
      <w:r>
        <w:rPr>
          <w:rtl w:val="true"/>
        </w:rPr>
        <w:t>מעשה סדום</w:t>
      </w:r>
      <w:r>
        <w:rPr>
          <w:rtl w:val="true"/>
        </w:rPr>
        <w:t xml:space="preserve">, </w:t>
      </w:r>
      <w:r>
        <w:rPr>
          <w:rtl w:val="true"/>
        </w:rPr>
        <w:t>רצח בכוונת תחילה ורצח תוך ביצוע עבירה אחרת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בתשובתו לאישום טען המערער כי המנוחה הגיעה מיוזמתה לביתו ויזמה את יחסי המין שקוימו בהסכמה</w:t>
      </w:r>
      <w:r>
        <w:rPr>
          <w:rtl w:val="true"/>
        </w:rPr>
        <w:t xml:space="preserve">. </w:t>
      </w:r>
      <w:r>
        <w:rPr>
          <w:rtl w:val="true"/>
        </w:rPr>
        <w:t>במהלך יחסי המין</w:t>
      </w:r>
      <w:r>
        <w:rPr>
          <w:rtl w:val="true"/>
        </w:rPr>
        <w:t xml:space="preserve">, </w:t>
      </w:r>
      <w:r>
        <w:rPr>
          <w:rtl w:val="true"/>
        </w:rPr>
        <w:t>המנוחה התעלפה והוא סטר לה מספר פעמים על מנת להעירהּ</w:t>
      </w:r>
      <w:r>
        <w:rPr>
          <w:rtl w:val="true"/>
        </w:rPr>
        <w:t xml:space="preserve">. </w:t>
      </w:r>
      <w:r>
        <w:rPr>
          <w:rtl w:val="true"/>
        </w:rPr>
        <w:t>המערער כפר בכך שגרם למותה של המנוחה ובסיבת המוות שלה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במהלך האירוע הוא שקע בשינה ארוכה עקב שתייה מרובה</w:t>
      </w:r>
      <w:r>
        <w:rPr>
          <w:rtl w:val="true"/>
        </w:rPr>
        <w:t xml:space="preserve">, </w:t>
      </w:r>
      <w:r>
        <w:rPr>
          <w:rtl w:val="true"/>
        </w:rPr>
        <w:t>ורק כאשר התעורר ראה את כלבתו משחיתה את פניה</w:t>
      </w:r>
      <w:r>
        <w:rPr>
          <w:rtl w:val="true"/>
        </w:rPr>
        <w:t xml:space="preserve">. </w:t>
      </w:r>
      <w:r>
        <w:rPr>
          <w:rtl w:val="true"/>
        </w:rPr>
        <w:t>המערער טען כי שתה הרבה אלכוהול בזמן ששהה עם המנוחה בדירה</w:t>
      </w:r>
      <w:r>
        <w:rPr>
          <w:rtl w:val="true"/>
        </w:rPr>
        <w:t xml:space="preserve">, </w:t>
      </w:r>
      <w:r>
        <w:rPr>
          <w:rtl w:val="true"/>
        </w:rPr>
        <w:t>הן לפני שקיימו יחסי מין</w:t>
      </w:r>
      <w:r>
        <w:rPr>
          <w:rtl w:val="true"/>
        </w:rPr>
        <w:t xml:space="preserve">, </w:t>
      </w:r>
      <w:r>
        <w:rPr>
          <w:rtl w:val="true"/>
        </w:rPr>
        <w:t>והן לאחר שהתעורר</w:t>
      </w:r>
      <w:r>
        <w:rPr>
          <w:rtl w:val="true"/>
        </w:rPr>
        <w:t xml:space="preserve">. </w:t>
      </w:r>
      <w:r>
        <w:rPr>
          <w:rtl w:val="true"/>
        </w:rPr>
        <w:t>הוא אישר כי כאשר התעורר וראה את הגופה הוא נלחץ ופעל על מנת להיפטר ממנה</w:t>
      </w:r>
      <w:r>
        <w:rPr>
          <w:rtl w:val="true"/>
        </w:rPr>
        <w:t xml:space="preserve">. </w:t>
      </w:r>
      <w:r>
        <w:rPr>
          <w:rtl w:val="true"/>
        </w:rPr>
        <w:t>כאשר ניסיונות אלו כשלו הוא התקשר לאחיותיו לבקש מהן לסייע לו בהעלמת הגופה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דינו מיום </w:t>
      </w:r>
      <w:r>
        <w:rPr/>
        <w:t>18.9.2017</w:t>
      </w:r>
      <w:r>
        <w:rPr>
          <w:rtl w:val="true"/>
        </w:rPr>
        <w:t xml:space="preserve"> </w:t>
      </w:r>
      <w:r>
        <w:rPr>
          <w:rtl w:val="true"/>
        </w:rPr>
        <w:t>קבע בית המשפט המחוזי כי מותה של המנוחה נגרם ממספר גורמים חבלתיים שכללו חניקה</w:t>
      </w:r>
      <w:r>
        <w:rPr>
          <w:rtl w:val="true"/>
        </w:rPr>
        <w:t xml:space="preserve">, </w:t>
      </w:r>
      <w:r>
        <w:rPr>
          <w:rtl w:val="true"/>
        </w:rPr>
        <w:t>פצעי דקירה ומגוון חבלות</w:t>
      </w:r>
      <w:r>
        <w:rPr>
          <w:rtl w:val="true"/>
        </w:rPr>
        <w:t xml:space="preserve">. </w:t>
      </w:r>
      <w:r>
        <w:rPr>
          <w:rtl w:val="true"/>
        </w:rPr>
        <w:t>על רקע זה נבחנה גרסתו של המערער לאירוע</w:t>
      </w:r>
      <w:r>
        <w:rPr>
          <w:rtl w:val="true"/>
        </w:rPr>
        <w:t xml:space="preserve">, </w:t>
      </w:r>
      <w:r>
        <w:rPr>
          <w:rtl w:val="true"/>
        </w:rPr>
        <w:t>ונקבע כי המערער הוא זה אשר גרם למותה של המנוחה</w:t>
      </w:r>
      <w:r>
        <w:rPr>
          <w:rtl w:val="true"/>
        </w:rPr>
        <w:t xml:space="preserve">. </w:t>
      </w:r>
      <w:r>
        <w:rPr>
          <w:rtl w:val="true"/>
        </w:rPr>
        <w:t>נבחנה האפשרות של תחולת הגנת השכרות</w:t>
      </w:r>
      <w:r>
        <w:rPr>
          <w:rtl w:val="true"/>
        </w:rPr>
        <w:t xml:space="preserve">, </w:t>
      </w:r>
      <w:r>
        <w:rPr>
          <w:rtl w:val="true"/>
        </w:rPr>
        <w:t>אך נקבע כי למרות שהמערער שתה אלכוהול בימים שלפני האירוע וביום האירוע עצמו</w:t>
      </w:r>
      <w:r>
        <w:rPr>
          <w:rtl w:val="true"/>
        </w:rPr>
        <w:t xml:space="preserve">, </w:t>
      </w:r>
      <w:r>
        <w:rPr>
          <w:rtl w:val="true"/>
        </w:rPr>
        <w:t>אין מקום לקבוע כי היה במצב של שכרות בשעת ביצוע העבירות המיוחסות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הוכחו מעבר לכל ספק סביר יסודות עבירת הרצח בכוונת תחילה</w:t>
      </w:r>
      <w:r>
        <w:rPr>
          <w:rtl w:val="true"/>
        </w:rPr>
        <w:t xml:space="preserve">. </w:t>
      </w:r>
      <w:r>
        <w:rPr>
          <w:rtl w:val="true"/>
        </w:rPr>
        <w:t>באשר לעבירת האינוס</w:t>
      </w:r>
      <w:r>
        <w:rPr>
          <w:rtl w:val="true"/>
        </w:rPr>
        <w:t xml:space="preserve">, </w:t>
      </w:r>
      <w:r>
        <w:rPr>
          <w:rtl w:val="true"/>
        </w:rPr>
        <w:t>נקבע כי ממכלול הראיות עלה כי בעילת המנוחה לא הייתה בהסכמתה החופשית וכי יחסי המין התקיימו תוך הפעלת כוח ובאלימות</w:t>
      </w:r>
      <w:r>
        <w:rPr>
          <w:rtl w:val="true"/>
        </w:rPr>
        <w:t xml:space="preserve">. </w:t>
      </w:r>
      <w:r>
        <w:rPr>
          <w:rtl w:val="true"/>
        </w:rPr>
        <w:t>באשר לאישום בעבירת מעשה סדום</w:t>
      </w:r>
      <w:r>
        <w:rPr>
          <w:rtl w:val="true"/>
        </w:rPr>
        <w:t xml:space="preserve">, </w:t>
      </w:r>
      <w:r>
        <w:rPr>
          <w:rtl w:val="true"/>
        </w:rPr>
        <w:t>נקבע שלא נמצא זרע בפיה של המנוחה ובהיעדר ראיה אחרת לקיומו של מין אוראלי מלבד גרסתו של המערער שנמצאה לא מהימנה</w:t>
      </w:r>
      <w:r>
        <w:rPr>
          <w:rtl w:val="true"/>
        </w:rPr>
        <w:t xml:space="preserve">, </w:t>
      </w:r>
      <w:r>
        <w:rPr>
          <w:rtl w:val="true"/>
        </w:rPr>
        <w:t>לא ניתן להרשיעו בעבירה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הצדדים לא טענו בסיכומיהם לאפשרות הרשעה ברצח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שעניינו רצח במזיד תוך ביצוע עבירה אחרת</w:t>
      </w:r>
      <w:r>
        <w:rPr>
          <w:rtl w:val="true"/>
        </w:rPr>
        <w:t xml:space="preserve">, </w:t>
      </w:r>
      <w:r>
        <w:rPr>
          <w:rtl w:val="true"/>
        </w:rPr>
        <w:t>על אף שעבירה זו יוחסה למערער בכתב האישום</w:t>
      </w:r>
      <w:r>
        <w:rPr>
          <w:rtl w:val="true"/>
        </w:rPr>
        <w:t xml:space="preserve">, </w:t>
      </w:r>
      <w:r>
        <w:rPr>
          <w:rtl w:val="true"/>
        </w:rPr>
        <w:t>ולכן הוא לא הורשע בעבירה זו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ציין בית המשפט כי לו היה נדרש לכך היה מגיע למסקנה כי התקיימו יסודות עבירת הרצח גם לפי סעיף זה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בעבירה של רצח בכוונת תחילה 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ובעבירת אינוס 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וזוכה מעבירה של מעשה סדום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הדין שניתן ביום </w:t>
      </w:r>
      <w:r>
        <w:rPr/>
        <w:t>22.1.2018</w:t>
      </w:r>
      <w:r>
        <w:rPr>
          <w:rtl w:val="true"/>
        </w:rPr>
        <w:t xml:space="preserve">, </w:t>
      </w:r>
      <w:r>
        <w:rPr>
          <w:rtl w:val="true"/>
        </w:rPr>
        <w:t>קבע בית המשפט כי יש להשית על המערער עונשים נפרדים בגין עבירת הרצח ועבירת האינוס</w:t>
      </w:r>
      <w:r>
        <w:rPr>
          <w:rtl w:val="true"/>
        </w:rPr>
        <w:t xml:space="preserve">. </w:t>
      </w:r>
      <w:r>
        <w:rPr>
          <w:rtl w:val="true"/>
        </w:rPr>
        <w:t>על כן המערער נדון בגין עבירת הרצח לעונש של מאסר עולם ובגין עבירת האינוס 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 במצטבר לעונש מאסר העולם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הופעל מאסר על תנאי של שנה בגין הרשעה קודמת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 xml:space="preserve">כמו כן הוטל על המערער תשלום פיצוי בסך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לבנה ולאחותה של המנוחה</w:t>
      </w:r>
      <w:r>
        <w:rPr>
          <w:rtl w:val="true"/>
        </w:rPr>
        <w:t xml:space="preserve">. </w:t>
      </w:r>
      <w:r>
        <w:rPr>
          <w:rtl w:val="true"/>
        </w:rPr>
        <w:t>בנוסף על האמור</w:t>
      </w:r>
      <w:r>
        <w:rPr>
          <w:rtl w:val="true"/>
        </w:rPr>
        <w:t xml:space="preserve">, </w:t>
      </w:r>
      <w:r>
        <w:rPr>
          <w:rtl w:val="true"/>
        </w:rPr>
        <w:t xml:space="preserve">בשל הנסיבות החריגות בחומרתן של מעשי המערער </w:t>
      </w:r>
      <w:r>
        <w:rPr>
          <w:rtl w:val="true"/>
        </w:rPr>
        <w:t>–</w:t>
      </w:r>
      <w:r>
        <w:rPr>
          <w:rtl w:val="true"/>
        </w:rPr>
        <w:t xml:space="preserve"> הרצח האכזרי</w:t>
      </w:r>
      <w:r>
        <w:rPr>
          <w:rtl w:val="true"/>
        </w:rPr>
        <w:t xml:space="preserve">, </w:t>
      </w:r>
      <w:r>
        <w:rPr>
          <w:rtl w:val="true"/>
        </w:rPr>
        <w:t xml:space="preserve">בשילוב התקיפה המינית והתנהלות המערער עם הגופה עד למחרת הרצח </w:t>
      </w:r>
      <w:r>
        <w:rPr>
          <w:rtl w:val="true"/>
        </w:rPr>
        <w:t>–</w:t>
      </w:r>
      <w:r>
        <w:rPr>
          <w:rtl w:val="true"/>
        </w:rPr>
        <w:t xml:space="preserve"> נקבע כי מדובר ברצח בנסיבות חריגות בחומרתן כאמור </w:t>
      </w:r>
      <w:hyperlink r:id="rId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 המערער הגיש ערעור גם על הכרעת הדין וגם על גזר הדין</w:t>
      </w:r>
      <w:r>
        <w:rPr>
          <w:rtl w:val="true"/>
        </w:rPr>
        <w:t xml:space="preserve">, </w:t>
      </w:r>
      <w:r>
        <w:rPr>
          <w:rtl w:val="true"/>
        </w:rPr>
        <w:t>למעט לעניין רכיב הפיצויים</w:t>
      </w:r>
      <w:r>
        <w:rPr>
          <w:rtl w:val="true"/>
        </w:rPr>
        <w:t xml:space="preserve">. </w:t>
      </w:r>
      <w:r>
        <w:rPr>
          <w:rtl w:val="true"/>
        </w:rPr>
        <w:t xml:space="preserve">אלא שבמהלך הדיון שהתקיים לפנינו ביום </w:t>
      </w:r>
      <w:r>
        <w:rPr/>
        <w:t>16.9.2019</w:t>
      </w:r>
      <w:r>
        <w:rPr>
          <w:rtl w:val="true"/>
        </w:rPr>
        <w:t xml:space="preserve"> </w:t>
      </w:r>
      <w:r>
        <w:rPr>
          <w:rtl w:val="true"/>
        </w:rPr>
        <w:t>חזר בו המערער מערעורו בדבר הכרעת הדין</w:t>
      </w:r>
      <w:r>
        <w:rPr>
          <w:rtl w:val="true"/>
        </w:rPr>
        <w:t xml:space="preserve">, </w:t>
      </w:r>
      <w:r>
        <w:rPr>
          <w:rtl w:val="true"/>
        </w:rPr>
        <w:t>כך שנותר הערעור על גזר הדין 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טען כי יש להפחית מהעונש שהושת עליו בגין עבירת האינוס</w:t>
      </w:r>
      <w:r>
        <w:rPr>
          <w:rtl w:val="true"/>
        </w:rPr>
        <w:t xml:space="preserve">. </w:t>
      </w:r>
      <w:r>
        <w:rPr>
          <w:rtl w:val="true"/>
        </w:rPr>
        <w:t>זאת משום שלא היו הוכחות מספקות לכך שהאינוס נעשה בברוטאליות</w:t>
      </w:r>
      <w:r>
        <w:rPr>
          <w:rtl w:val="true"/>
        </w:rPr>
        <w:t xml:space="preserve">, </w:t>
      </w:r>
      <w:r>
        <w:rPr>
          <w:rtl w:val="true"/>
        </w:rPr>
        <w:t>וכי אין הצדקה עניינית להחמיר עמו פעם נוספת בקביעת מתחם ענישה גבוה לעבירת האינוס</w:t>
      </w:r>
      <w:r>
        <w:rPr>
          <w:rtl w:val="true"/>
        </w:rPr>
        <w:t xml:space="preserve">, </w:t>
      </w:r>
      <w:r>
        <w:rPr>
          <w:rtl w:val="true"/>
        </w:rPr>
        <w:t>לאחר שהושת עליו מאסר עולם בגין עבירת הרצח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היה מקום לחפוף את עונש המאסר בגין עבירת האינוס לעונש מאסר העולם</w:t>
      </w:r>
      <w:r>
        <w:rPr>
          <w:rtl w:val="true"/>
        </w:rPr>
        <w:t xml:space="preserve">, </w:t>
      </w:r>
      <w:r>
        <w:rPr>
          <w:rtl w:val="true"/>
        </w:rPr>
        <w:t>ולו באופן חלקי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טען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בהתבסס על תכליתו של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 שחרור על תנאי</w:t>
      </w:r>
      <w:r>
        <w:rPr>
          <w:rtl w:val="true"/>
        </w:rPr>
        <w:t xml:space="preserve">, </w:t>
      </w:r>
      <w:r>
        <w:rPr>
          <w:rtl w:val="true"/>
        </w:rPr>
        <w:t>על ההיסטוריה החקיקתית שלו ועל יישומו בפסיקה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בקביעתו שעבירת הרצח בוצעה בנסיבות חריגות בחומרתן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המחוקק כיוון בסעיף זה לקבוצה קטנה ומצומצמת של מקרים ובהם הצטברות מאפיינים חריגים</w:t>
      </w:r>
      <w:r>
        <w:rPr>
          <w:rtl w:val="true"/>
        </w:rPr>
        <w:t xml:space="preserve">, </w:t>
      </w:r>
      <w:r>
        <w:rPr>
          <w:rtl w:val="true"/>
        </w:rPr>
        <w:t>כגון אכזריות יוצאת דופן של מעשה הרצח</w:t>
      </w:r>
      <w:r>
        <w:rPr>
          <w:rtl w:val="true"/>
        </w:rPr>
        <w:t xml:space="preserve">, </w:t>
      </w:r>
      <w:r>
        <w:rPr>
          <w:rtl w:val="true"/>
        </w:rPr>
        <w:t>ריבוי קורבנות</w:t>
      </w:r>
      <w:r>
        <w:rPr>
          <w:rtl w:val="true"/>
        </w:rPr>
        <w:t xml:space="preserve">, </w:t>
      </w:r>
      <w:r>
        <w:rPr>
          <w:rtl w:val="true"/>
        </w:rPr>
        <w:t>או היות הקורבנות חסרי ישע</w:t>
      </w:r>
      <w:r>
        <w:rPr>
          <w:rtl w:val="true"/>
        </w:rPr>
        <w:t xml:space="preserve">. </w:t>
      </w:r>
      <w:r>
        <w:rPr>
          <w:rtl w:val="true"/>
        </w:rPr>
        <w:t>במקרה דנן החומרה העיקרית הינה במעשי המין שבוצעו במנוחה לפני המתתה</w:t>
      </w:r>
      <w:r>
        <w:rPr>
          <w:rtl w:val="true"/>
        </w:rPr>
        <w:t xml:space="preserve">, </w:t>
      </w:r>
      <w:r>
        <w:rPr>
          <w:rtl w:val="true"/>
        </w:rPr>
        <w:t>ואלה קיבלו מענה נפרד בענישתו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טענה כי העונש שהושת בגין עבירת האינוס ראוי בנסיבות העניין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 אכזריות המעשים ועברו הפלילי הכבד של המערער</w:t>
      </w:r>
      <w:r>
        <w:rPr>
          <w:rtl w:val="true"/>
        </w:rPr>
        <w:t xml:space="preserve">, </w:t>
      </w:r>
      <w:r>
        <w:rPr>
          <w:rtl w:val="true"/>
        </w:rPr>
        <w:t>ומשום שהוא אף לא הביע חרטה או נטל אחריות על מעשיו כלל</w:t>
      </w:r>
      <w:r>
        <w:rPr>
          <w:rtl w:val="true"/>
        </w:rPr>
        <w:t xml:space="preserve">. </w:t>
      </w:r>
      <w:r>
        <w:rPr>
          <w:rtl w:val="true"/>
        </w:rPr>
        <w:t>על כן היה מקום להטיל עליו את הענישה המקסימלית האפשרית ולקבוע כי העונש בגין עבירת האינוס יושת במצטבר למאסר העולם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המקרה שלפנינו נופל בגדר המקרים של רצח חריג בחומרתו</w:t>
      </w:r>
      <w:r>
        <w:rPr>
          <w:rtl w:val="true"/>
        </w:rPr>
        <w:t xml:space="preserve">, </w:t>
      </w:r>
      <w:r>
        <w:rPr>
          <w:rtl w:val="true"/>
        </w:rPr>
        <w:t xml:space="preserve">כעולה מלשון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 שחרור על תנאי</w:t>
      </w:r>
      <w:r>
        <w:rPr>
          <w:rtl w:val="true"/>
        </w:rPr>
        <w:t xml:space="preserve">, </w:t>
      </w:r>
      <w:r>
        <w:rPr>
          <w:rtl w:val="true"/>
        </w:rPr>
        <w:t>כאשר מהצעת החוק עולה כי המחוקק כיוון ל</w:t>
      </w:r>
      <w:r>
        <w:rPr>
          <w:rtl w:val="true"/>
        </w:rPr>
        <w:t>"</w:t>
      </w:r>
      <w:r>
        <w:rPr>
          <w:rtl w:val="true"/>
        </w:rPr>
        <w:t>מעשי רצח חריגים</w:t>
      </w:r>
      <w:r>
        <w:rPr>
          <w:rtl w:val="true"/>
        </w:rPr>
        <w:t xml:space="preserve">, </w:t>
      </w:r>
      <w:r>
        <w:rPr>
          <w:rtl w:val="true"/>
        </w:rPr>
        <w:t>אכזריים או מרובי קורבנות</w:t>
      </w:r>
      <w:r>
        <w:rPr>
          <w:rtl w:val="true"/>
        </w:rPr>
        <w:t xml:space="preserve">". </w:t>
      </w:r>
      <w:r>
        <w:rPr>
          <w:rtl w:val="true"/>
        </w:rPr>
        <w:t>מהגדרה זו אנו למדים כי הסעיף רלוונטי גם למקרים חריגים ואכזריים שאינם מרובי קורבנות</w:t>
      </w:r>
      <w:r>
        <w:rPr>
          <w:rtl w:val="true"/>
        </w:rPr>
        <w:t xml:space="preserve">. </w:t>
      </w:r>
      <w:r>
        <w:rPr>
          <w:rtl w:val="true"/>
        </w:rPr>
        <w:t>סעיף זה אינו מוסיף שנות מאסר על העונש שהושת על המערער</w:t>
      </w:r>
      <w:r>
        <w:rPr>
          <w:rtl w:val="true"/>
        </w:rPr>
        <w:t xml:space="preserve">, </w:t>
      </w:r>
      <w:r>
        <w:rPr>
          <w:rtl w:val="true"/>
        </w:rPr>
        <w:t>אלא רק מסייג את אפשרות קציבת העונש בעתיד</w:t>
      </w:r>
      <w:r>
        <w:rPr>
          <w:rtl w:val="true"/>
        </w:rPr>
        <w:t xml:space="preserve">. </w:t>
      </w:r>
      <w:r>
        <w:rPr>
          <w:rtl w:val="true"/>
        </w:rPr>
        <w:t>על כן אין ממש בטענת המערער כי החלת הסעיף מחמירה איתו באופן שאינו ראוי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עלינו להכריע אפוא בשלוש שאלות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העונש הראוי שיש להשית על המערער בגין עבירת האינוס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השתת העונש בגין עבירת האינוס במצטבר או בחופף ולו באופן חלקי לעונש מאסר עולם שהושת בגין עבירת הרצח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הקביעה כי מדובר ברצח בנסיבות חריגות בחומרתן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המצדיק את הפעלת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 שחרור על תנאי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וריצויו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בחפיפה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במצטבר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ידועה היא כי אין ערכאת הערעור נוהגת להתערב בגזר דין שניתן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למעט במקרים בהם העונש שהושת חורג באופן קיצוני ממדיניות הענישה הראויה והמקובלת במקרים דומים </w:t>
      </w:r>
      <w:r>
        <w:rPr>
          <w:rtl w:val="true"/>
        </w:rPr>
        <w:t>(</w:t>
      </w:r>
      <w:r>
        <w:rPr>
          <w:rtl w:val="true"/>
        </w:rPr>
        <w:t>ראו לדוגמה לאחרונה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25.9.2019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(</w:t>
      </w:r>
      <w:r>
        <w:rPr/>
        <w:t>22.7.2019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22.7.2019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העונש המרבי הקבוע בחוק בגין עבירת האינוס בנסיבות בהן הורשע המערער</w:t>
      </w:r>
      <w:r>
        <w:rPr>
          <w:rtl w:val="true"/>
        </w:rPr>
        <w:t xml:space="preserve">, </w:t>
      </w:r>
      <w:r>
        <w:rPr>
          <w:rtl w:val="true"/>
        </w:rPr>
        <w:t>הכוללות גרימת חבלה גופנית או נפשית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כאשר העונש המרבי בגין עבירת אינוס שלא בנסיבות אלו הוא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). </w:t>
      </w:r>
      <w:r>
        <w:rPr>
          <w:rtl w:val="true"/>
        </w:rPr>
        <w:t>טענת המערער היא כי אין להחמיר אתו פעם נוספת ובמצטבר בעת ענישתו על האינוס בשל האלימות שביצע</w:t>
      </w:r>
      <w:r>
        <w:rPr>
          <w:rtl w:val="true"/>
        </w:rPr>
        <w:t xml:space="preserve">, </w:t>
      </w:r>
      <w:r>
        <w:rPr>
          <w:rtl w:val="true"/>
        </w:rPr>
        <w:t>לאחר שכבר הוטל עליו עונש מאסר עולם בגין הרצח בשל אותם מעשים אלימים</w:t>
      </w:r>
      <w:r>
        <w:rPr>
          <w:rtl w:val="true"/>
        </w:rPr>
        <w:t xml:space="preserve">, </w:t>
      </w:r>
      <w:r>
        <w:rPr>
          <w:rtl w:val="true"/>
        </w:rPr>
        <w:t>ולפיכך יש להפחית מהעונש שהוטל עליו בגין עבירה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אינני מקבל טענה זו</w:t>
      </w:r>
      <w:r>
        <w:rPr>
          <w:rtl w:val="true"/>
        </w:rPr>
        <w:t xml:space="preserve">. </w:t>
      </w:r>
      <w:r>
        <w:rPr>
          <w:rtl w:val="true"/>
        </w:rPr>
        <w:t>מעשי האלימות שבוצעו במהלך האינוס מצדיקים מענה גמולי נפרד מהעונש על מעשה הרצח לבדו</w:t>
      </w:r>
      <w:r>
        <w:rPr>
          <w:rtl w:val="true"/>
        </w:rPr>
        <w:t xml:space="preserve">. </w:t>
      </w:r>
      <w:r>
        <w:rPr>
          <w:rtl w:val="true"/>
        </w:rPr>
        <w:t>נקבע זה מכבר בבית משפט זה כי ניתן להרשיע נאשם הן בביצוע אונס בנסיבות מחמירות והן בביצוע עבירות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גם כאשר עבירות האלימות נעשו בהקשר של עבירת האונס עצמו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15.5.2016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וראו דעתו החולקת בעניין זה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לא בכך עסקינן בענייננו</w:t>
      </w:r>
      <w:r>
        <w:rPr>
          <w:rtl w:val="true"/>
        </w:rPr>
        <w:t xml:space="preserve">, </w:t>
      </w:r>
      <w:r>
        <w:rPr>
          <w:rtl w:val="true"/>
        </w:rPr>
        <w:t>שכן העונש שהושת על המערער בגין רצח המנוחה לא טמן בחובו את העונש שהושת עליו בגין מעשה האינוס והאלימות שביצע במנוחה עובר להירצחה</w:t>
      </w:r>
      <w:r>
        <w:rPr>
          <w:rtl w:val="true"/>
        </w:rPr>
        <w:t xml:space="preserve">. </w:t>
      </w:r>
      <w:r>
        <w:rPr>
          <w:rtl w:val="true"/>
        </w:rPr>
        <w:t>אין המדובר אפוא ב</w:t>
      </w:r>
      <w:r>
        <w:rPr>
          <w:rtl w:val="true"/>
        </w:rPr>
        <w:t>"</w:t>
      </w:r>
      <w:r>
        <w:rPr>
          <w:rtl w:val="true"/>
        </w:rPr>
        <w:t>החמרה כפולה</w:t>
      </w:r>
      <w:r>
        <w:rPr>
          <w:rtl w:val="true"/>
        </w:rPr>
        <w:t xml:space="preserve">" </w:t>
      </w:r>
      <w:r>
        <w:rPr>
          <w:rtl w:val="true"/>
        </w:rPr>
        <w:t>בשל אותם מעשים</w:t>
      </w:r>
      <w:r>
        <w:rPr>
          <w:rtl w:val="true"/>
        </w:rPr>
        <w:t xml:space="preserve">, </w:t>
      </w:r>
      <w:r>
        <w:rPr>
          <w:rtl w:val="true"/>
        </w:rPr>
        <w:t xml:space="preserve">אלא בעונש הולם עבור כל עבירה בנפרד </w:t>
      </w:r>
      <w:r>
        <w:rPr>
          <w:rtl w:val="true"/>
        </w:rPr>
        <w:t>–</w:t>
      </w:r>
      <w:r>
        <w:rPr>
          <w:rtl w:val="true"/>
        </w:rPr>
        <w:t xml:space="preserve"> עבירה של רצח ועבירה של אינוס תוך גרימת חבלה גופנית או נפשית</w:t>
      </w:r>
      <w:r>
        <w:rPr>
          <w:rtl w:val="true"/>
        </w:rPr>
        <w:t xml:space="preserve">. </w:t>
      </w:r>
      <w:r>
        <w:rPr>
          <w:rtl w:val="true"/>
        </w:rPr>
        <w:t>העובדה כי הנאשם רצח את המנוחה ונענש על כך</w:t>
      </w:r>
      <w:r>
        <w:rPr>
          <w:rtl w:val="true"/>
        </w:rPr>
        <w:t xml:space="preserve">, </w:t>
      </w:r>
      <w:r>
        <w:rPr>
          <w:rtl w:val="true"/>
        </w:rPr>
        <w:t>אין בה כדי להפחית מחומרת מעשה האונס האלים שביצע עובר לרצח</w:t>
      </w:r>
      <w:r>
        <w:rPr>
          <w:rtl w:val="true"/>
        </w:rPr>
        <w:t xml:space="preserve">. </w:t>
      </w:r>
      <w:r>
        <w:rPr>
          <w:rtl w:val="true"/>
        </w:rPr>
        <w:t xml:space="preserve">כנגזרת מכך אין בה כדי להקל בעונש שיש להשית עליו בגין מעשה זה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8027/13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125</w:t>
      </w:r>
      <w:r>
        <w:rPr>
          <w:rtl w:val="true"/>
        </w:rPr>
        <w:t xml:space="preserve"> (</w:t>
      </w:r>
      <w:r>
        <w:rPr/>
        <w:t>27.5.2018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9804/02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שר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נח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461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470-469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477-476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2004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בהתחשב במכלול נסיבותיו הקשות והחריגות של המקרה</w:t>
      </w:r>
      <w:r>
        <w:rPr>
          <w:rtl w:val="true"/>
        </w:rPr>
        <w:t xml:space="preserve">, </w:t>
      </w:r>
      <w:r>
        <w:rPr>
          <w:rtl w:val="true"/>
        </w:rPr>
        <w:t>העונש שהושת על המערער בגין עבירה זו סביר</w:t>
      </w:r>
      <w:r>
        <w:rPr>
          <w:rtl w:val="true"/>
        </w:rPr>
        <w:t xml:space="preserve">, </w:t>
      </w:r>
      <w:r>
        <w:rPr>
          <w:rtl w:val="true"/>
        </w:rPr>
        <w:t xml:space="preserve">ובוודאי שאינו חורג ממדיניות הענישה הראויה באופן המצדיק את התערבותנו </w:t>
      </w:r>
      <w:r>
        <w:rPr>
          <w:rtl w:val="true"/>
        </w:rPr>
        <w:t>(</w:t>
      </w:r>
      <w:r>
        <w:rPr>
          <w:rtl w:val="true"/>
        </w:rPr>
        <w:t xml:space="preserve">השוו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בינסטוק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20.7.2015</w:t>
      </w:r>
      <w:r>
        <w:rPr>
          <w:rtl w:val="true"/>
        </w:rPr>
        <w:t xml:space="preserve">) </w:t>
      </w:r>
      <w:r>
        <w:rPr>
          <w:rtl w:val="true"/>
        </w:rPr>
        <w:t>וההפניות שם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6614/07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הינדאווי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6.7.2009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ובאשר לשאלת חפיפת העונשים או הטלתם במצטבר</w:t>
      </w:r>
      <w:r>
        <w:rPr>
          <w:rtl w:val="true"/>
        </w:rPr>
        <w:t xml:space="preserve">. </w:t>
      </w:r>
      <w:r>
        <w:rPr>
          <w:rtl w:val="true"/>
        </w:rPr>
        <w:t xml:space="preserve">לפי מצוות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tl w:val="true"/>
        </w:rPr>
        <w:t xml:space="preserve"> 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ועל פי פסיקת בית משפט זה</w:t>
      </w:r>
      <w:r>
        <w:rPr>
          <w:rtl w:val="true"/>
        </w:rPr>
        <w:t xml:space="preserve">, </w:t>
      </w:r>
      <w:r>
        <w:rPr>
          <w:rtl w:val="true"/>
        </w:rPr>
        <w:t>בהתאם לעיקרון ההלימה</w:t>
      </w:r>
      <w:r>
        <w:rPr>
          <w:rtl w:val="true"/>
        </w:rPr>
        <w:t xml:space="preserve">, </w:t>
      </w:r>
      <w:r>
        <w:rPr>
          <w:rtl w:val="true"/>
        </w:rPr>
        <w:t>בשלב גזירת דינו של עבריין</w:t>
      </w:r>
      <w:r>
        <w:rPr>
          <w:rtl w:val="true"/>
        </w:rPr>
        <w:t xml:space="preserve">, </w:t>
      </w:r>
      <w:r>
        <w:rPr>
          <w:rtl w:val="true"/>
        </w:rPr>
        <w:t>על בית המשפט לתת ביטוי עונשי לכל מעשה שבו הוא הורשע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הוראה לפיה העונשים ירוצו במצטבר היא הכלל</w:t>
      </w:r>
      <w:r>
        <w:rPr>
          <w:rtl w:val="true"/>
        </w:rPr>
        <w:t xml:space="preserve">, </w:t>
      </w:r>
      <w:r>
        <w:rPr>
          <w:rtl w:val="true"/>
        </w:rPr>
        <w:t>והחלטה על חפיפת העונשים</w:t>
      </w:r>
      <w:r>
        <w:rPr>
          <w:rtl w:val="true"/>
        </w:rPr>
        <w:t xml:space="preserve">, </w:t>
      </w:r>
      <w:r>
        <w:rPr>
          <w:rtl w:val="true"/>
        </w:rPr>
        <w:t>במיוחד כאשר מדובר בענישה בגין עבירת רצח ועבירה נוספת</w:t>
      </w:r>
      <w:r>
        <w:rPr>
          <w:rtl w:val="true"/>
        </w:rPr>
        <w:t xml:space="preserve">, </w:t>
      </w:r>
      <w:r>
        <w:rPr>
          <w:rtl w:val="true"/>
        </w:rPr>
        <w:t xml:space="preserve">היא זו המצריכה הנמקה מיוחדת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גריבוב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52</w:t>
      </w:r>
      <w:r>
        <w:rPr>
          <w:rtl w:val="true"/>
        </w:rPr>
        <w:t xml:space="preserve"> (</w:t>
      </w:r>
      <w:r>
        <w:rPr/>
        <w:t>3.10.2017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סקורדוק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68</w:t>
      </w:r>
      <w:r>
        <w:rPr>
          <w:rtl w:val="true"/>
        </w:rPr>
        <w:t xml:space="preserve"> (</w:t>
      </w:r>
      <w:r>
        <w:rPr/>
        <w:t>5.1.2017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18-12</w:t>
      </w:r>
      <w:r>
        <w:rPr>
          <w:rtl w:val="true"/>
        </w:rPr>
        <w:t xml:space="preserve"> (</w:t>
      </w:r>
      <w:r>
        <w:rPr/>
        <w:t>22.2.2015</w:t>
      </w:r>
      <w:r>
        <w:rPr>
          <w:rtl w:val="true"/>
        </w:rPr>
        <w:t xml:space="preserve">)). </w:t>
      </w:r>
      <w:r>
        <w:rPr>
          <w:rtl w:val="true"/>
        </w:rPr>
        <w:t>הכרעה בסוגיה זו נעשית בראי נסיבותיו של כל מקרה</w:t>
      </w:r>
      <w:r>
        <w:rPr>
          <w:rtl w:val="true"/>
        </w:rPr>
        <w:t xml:space="preserve">, </w:t>
      </w:r>
      <w:r>
        <w:rPr>
          <w:rtl w:val="true"/>
        </w:rPr>
        <w:t>כאשר יש לתת את הדעת לשני שיקולים מרכזיים</w:t>
      </w:r>
      <w:r>
        <w:rPr>
          <w:rtl w:val="true"/>
        </w:rPr>
        <w:t xml:space="preserve">. </w:t>
      </w:r>
      <w:r>
        <w:rPr>
          <w:rtl w:val="true"/>
        </w:rPr>
        <w:t xml:space="preserve">השיקול הראשון </w:t>
      </w:r>
      <w:r>
        <w:rPr>
          <w:rtl w:val="true"/>
        </w:rPr>
        <w:t>–</w:t>
      </w:r>
      <w:r>
        <w:rPr>
          <w:rtl w:val="true"/>
        </w:rPr>
        <w:t xml:space="preserve"> זיקתן של העבירות בהן הורשע הנאשם</w:t>
      </w:r>
      <w:r>
        <w:rPr>
          <w:rtl w:val="true"/>
        </w:rPr>
        <w:t xml:space="preserve">, </w:t>
      </w:r>
      <w:r>
        <w:rPr>
          <w:rtl w:val="true"/>
        </w:rPr>
        <w:t>כאשר זיקה חזקה עשויה להצדיק חפיפת העונשים</w:t>
      </w:r>
      <w:r>
        <w:rPr>
          <w:rtl w:val="true"/>
        </w:rPr>
        <w:t xml:space="preserve">. </w:t>
      </w:r>
      <w:r>
        <w:rPr>
          <w:rtl w:val="true"/>
        </w:rPr>
        <w:t xml:space="preserve">השיקול השני </w:t>
      </w:r>
      <w:r>
        <w:rPr>
          <w:rtl w:val="true"/>
        </w:rPr>
        <w:t>–</w:t>
      </w:r>
      <w:r>
        <w:rPr>
          <w:rtl w:val="true"/>
        </w:rPr>
        <w:t xml:space="preserve"> מהותן וחומרתן של העבירות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1707/08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25.11.2008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ליושצנקו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27.8.2015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ליושצנקו</w:t>
      </w:r>
      <w:r>
        <w:rPr>
          <w:rtl w:val="true"/>
        </w:rPr>
        <w:t xml:space="preserve">)). </w:t>
      </w:r>
      <w:r>
        <w:rPr>
          <w:rtl w:val="true"/>
        </w:rPr>
        <w:t>הרשעה של עבריין בעבירות חמורות</w:t>
      </w:r>
      <w:r>
        <w:rPr>
          <w:rtl w:val="true"/>
        </w:rPr>
        <w:t xml:space="preserve">, </w:t>
      </w:r>
      <w:r>
        <w:rPr>
          <w:rtl w:val="true"/>
        </w:rPr>
        <w:t>בעבירות שבוצעו בנסיבות קשות או בברוטאליות</w:t>
      </w:r>
      <w:r>
        <w:rPr>
          <w:rtl w:val="true"/>
        </w:rPr>
        <w:t xml:space="preserve">, </w:t>
      </w:r>
      <w:r>
        <w:rPr>
          <w:rtl w:val="true"/>
        </w:rPr>
        <w:t>או בעבירות הפוגעות באינטרסים היקרים לנו כחברה</w:t>
      </w:r>
      <w:r>
        <w:rPr>
          <w:rtl w:val="true"/>
        </w:rPr>
        <w:t xml:space="preserve">, </w:t>
      </w:r>
      <w:r>
        <w:rPr>
          <w:rtl w:val="true"/>
        </w:rPr>
        <w:t>בדגש על עבירות אלימות בכלל ועבירת רצח בפרט</w:t>
      </w:r>
      <w:r>
        <w:rPr>
          <w:rtl w:val="true"/>
        </w:rPr>
        <w:t xml:space="preserve">, </w:t>
      </w:r>
      <w:r>
        <w:rPr>
          <w:rtl w:val="true"/>
        </w:rPr>
        <w:t xml:space="preserve">עשויה להצדיק ענישה מצטברת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6535/01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קוזירוב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562</w:t>
      </w:r>
      <w:r>
        <w:rPr>
          <w:rtl w:val="true"/>
        </w:rPr>
        <w:t xml:space="preserve">, </w:t>
      </w:r>
      <w:r>
        <w:rPr/>
        <w:t>571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477</w:t>
      </w:r>
      <w:r>
        <w:rPr>
          <w:rtl w:val="true"/>
        </w:rPr>
        <w:t xml:space="preserve">). </w:t>
      </w:r>
      <w:r>
        <w:rPr>
          <w:rtl w:val="true"/>
        </w:rPr>
        <w:t>בנוסף לשיקולים אלו</w:t>
      </w:r>
      <w:r>
        <w:rPr>
          <w:rtl w:val="true"/>
        </w:rPr>
        <w:t xml:space="preserve">, </w:t>
      </w:r>
      <w:r>
        <w:rPr>
          <w:rtl w:val="true"/>
        </w:rPr>
        <w:t>בית המשפט רשאי להתחשב גם בנסיבותיו האישיות של נאשם</w:t>
      </w:r>
      <w:r>
        <w:rPr>
          <w:rtl w:val="true"/>
        </w:rPr>
        <w:t xml:space="preserve">, </w:t>
      </w:r>
      <w:r>
        <w:rPr>
          <w:rtl w:val="true"/>
        </w:rPr>
        <w:t>לרבות גילו</w:t>
      </w:r>
      <w:r>
        <w:rPr>
          <w:rtl w:val="true"/>
        </w:rPr>
        <w:t xml:space="preserve">, </w:t>
      </w:r>
      <w:r>
        <w:rPr>
          <w:rtl w:val="true"/>
        </w:rPr>
        <w:t>היעדר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והאם הודה במעשים או הביע עליהם חרטה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ליושצנקו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9059/03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יוסבשוילי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21.3.2007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העבירות בהן הורשע המערער הן מהחמורות שבספר החוקים</w:t>
      </w:r>
      <w:r>
        <w:rPr>
          <w:rtl w:val="true"/>
        </w:rPr>
        <w:t xml:space="preserve">, </w:t>
      </w:r>
      <w:r>
        <w:rPr>
          <w:rtl w:val="true"/>
        </w:rPr>
        <w:t>ומעשיו ברוטאליים עד כדי כך שהדמיון מתקשה לתפסם</w:t>
      </w:r>
      <w:r>
        <w:rPr>
          <w:rtl w:val="true"/>
        </w:rPr>
        <w:t xml:space="preserve">. </w:t>
      </w:r>
      <w:r>
        <w:rPr>
          <w:rtl w:val="true"/>
        </w:rPr>
        <w:t>לאחר שהמערער אנס את המנוחה באלימות קשה</w:t>
      </w:r>
      <w:r>
        <w:rPr>
          <w:rtl w:val="true"/>
        </w:rPr>
        <w:t xml:space="preserve">, </w:t>
      </w:r>
      <w:r>
        <w:rPr>
          <w:rtl w:val="true"/>
        </w:rPr>
        <w:t>הוא רצח אותה</w:t>
      </w:r>
      <w:r>
        <w:rPr>
          <w:rtl w:val="true"/>
        </w:rPr>
        <w:t xml:space="preserve">, </w:t>
      </w:r>
      <w:r>
        <w:rPr>
          <w:rtl w:val="true"/>
        </w:rPr>
        <w:t>ואף אפשר לכלבתו לאכול חלקים מגופתה</w:t>
      </w:r>
      <w:r>
        <w:rPr>
          <w:rtl w:val="true"/>
        </w:rPr>
        <w:t xml:space="preserve">. </w:t>
      </w:r>
      <w:r>
        <w:rPr>
          <w:rtl w:val="true"/>
        </w:rPr>
        <w:t>ההתעללות במנוחה לפני ואחרי מותה הייתה כה מזעזעת</w:t>
      </w:r>
      <w:r>
        <w:rPr>
          <w:rtl w:val="true"/>
        </w:rPr>
        <w:t xml:space="preserve">, </w:t>
      </w:r>
      <w:r>
        <w:rPr>
          <w:rtl w:val="true"/>
        </w:rPr>
        <w:t>כאשר השוטרים שהגיעו לדירתו למחרת היום</w:t>
      </w:r>
      <w:r>
        <w:rPr>
          <w:rtl w:val="true"/>
        </w:rPr>
        <w:t xml:space="preserve">, </w:t>
      </w:r>
      <w:r>
        <w:rPr>
          <w:rtl w:val="true"/>
        </w:rPr>
        <w:t>מצאו גופה מרוטשת וכמעט בלתי ניתנת לזיהוי</w:t>
      </w:r>
      <w:r>
        <w:rPr>
          <w:rtl w:val="true"/>
        </w:rPr>
        <w:t xml:space="preserve">. </w:t>
      </w:r>
      <w:r>
        <w:rPr>
          <w:rtl w:val="true"/>
        </w:rPr>
        <w:t>מעשיו של המערער</w:t>
      </w:r>
      <w:r>
        <w:rPr>
          <w:rtl w:val="true"/>
        </w:rPr>
        <w:t xml:space="preserve">, </w:t>
      </w:r>
      <w:r>
        <w:rPr>
          <w:rtl w:val="true"/>
        </w:rPr>
        <w:t>בכל אחת מהעבירות</w:t>
      </w:r>
      <w:r>
        <w:rPr>
          <w:rtl w:val="true"/>
        </w:rPr>
        <w:t xml:space="preserve">, </w:t>
      </w:r>
      <w:r>
        <w:rPr>
          <w:rtl w:val="true"/>
        </w:rPr>
        <w:t>חמורים עד מאוד</w:t>
      </w:r>
      <w:r>
        <w:rPr>
          <w:rtl w:val="true"/>
        </w:rPr>
        <w:t xml:space="preserve">. </w:t>
      </w:r>
      <w:r>
        <w:rPr>
          <w:rtl w:val="true"/>
        </w:rPr>
        <w:t>אין במעשיו כדי להצדיק הקלה משמעותית בעונשו שעה שמדובר במעשים חמורים אשר אינם מתלכדים זה עם זה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יש אף ליתן משקל לערכים המוגנים השונים העומדים ביסוד כל אחת מהעבירות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מילים שיוכלו לתאר את הנזק שגרם המערער למנוחה ולמשפחתה</w:t>
      </w:r>
      <w:r>
        <w:rPr>
          <w:rtl w:val="true"/>
        </w:rPr>
        <w:t xml:space="preserve">. </w:t>
      </w:r>
      <w:r>
        <w:rPr>
          <w:rtl w:val="true"/>
        </w:rPr>
        <w:t>בתסקיר נפגעי העבירה פורטו בהרחבה הנזקים והטראומה שעברו על בנה ואחותה של המנוחה</w:t>
      </w:r>
      <w:r>
        <w:rPr>
          <w:rtl w:val="true"/>
        </w:rPr>
        <w:t xml:space="preserve">. </w:t>
      </w:r>
      <w:r>
        <w:rPr>
          <w:rtl w:val="true"/>
        </w:rPr>
        <w:t>שניהם מתמודדים כיום עם נזק משמעותי ובולט הקשור לשינוי הדרסטי שחל בתפיסת עולמם</w:t>
      </w:r>
      <w:r>
        <w:rPr>
          <w:rtl w:val="true"/>
        </w:rPr>
        <w:t xml:space="preserve">. </w:t>
      </w:r>
      <w:r>
        <w:rPr>
          <w:rtl w:val="true"/>
        </w:rPr>
        <w:t>ההתרשמות מהם הייתה כי שניהם חווים את החיים שמסביבם כבלתי ניתנים לשליטה</w:t>
      </w:r>
      <w:r>
        <w:rPr>
          <w:rtl w:val="true"/>
        </w:rPr>
        <w:t xml:space="preserve">. </w:t>
      </w:r>
      <w:r>
        <w:rPr>
          <w:rtl w:val="true"/>
        </w:rPr>
        <w:t>הם מתנהלים בתחושה כי לא ניתן לחזות את אירועי החיים ובהרגשה כי היחסים עם הסביבה אינם בטוחים עוד</w:t>
      </w:r>
      <w:r>
        <w:rPr>
          <w:rtl w:val="true"/>
        </w:rPr>
        <w:t xml:space="preserve">. </w:t>
      </w:r>
      <w:r>
        <w:rPr>
          <w:rtl w:val="true"/>
        </w:rPr>
        <w:t>שניהם חשים בדידות איומה והם נותרו ללא משענת ועם קושי עצום להיאחז בגורם כלשהו על מנת להתנחם ולהירגע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רישומו הפלילי של המערער מונה רשימה מכובדת של עבירות הכוללות גם עבירות אלימות</w:t>
      </w:r>
      <w:r>
        <w:rPr>
          <w:rtl w:val="true"/>
        </w:rPr>
        <w:t xml:space="preserve">: </w:t>
      </w:r>
      <w:r>
        <w:rPr>
          <w:rtl w:val="true"/>
        </w:rPr>
        <w:t xml:space="preserve">בתחילת דרכו העבריינית בשנת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הורשע המערער פעמיים בעבירת היעדר מן השירות שלא ברשות</w:t>
      </w:r>
      <w:r>
        <w:rPr>
          <w:rtl w:val="true"/>
        </w:rPr>
        <w:t xml:space="preserve">, </w:t>
      </w:r>
      <w:r>
        <w:rPr>
          <w:rtl w:val="true"/>
        </w:rPr>
        <w:t xml:space="preserve">ונדון למאסר בפועל לתקופה של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; </w:t>
      </w:r>
      <w:r>
        <w:rPr>
          <w:rtl w:val="true"/>
        </w:rPr>
        <w:t xml:space="preserve">בשנת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הורשע בעבירות תקיפת שוטר בעת מילוי תפקידו</w:t>
      </w:r>
      <w:r>
        <w:rPr>
          <w:rtl w:val="true"/>
        </w:rPr>
        <w:t xml:space="preserve">, </w:t>
      </w:r>
      <w:r>
        <w:rPr>
          <w:rtl w:val="true"/>
        </w:rPr>
        <w:t>הפרעה לשוטר במילוי תפקידו ובאיומים ונדון בין היתר למאסר מותנה של שישה חודשים</w:t>
      </w:r>
      <w:r>
        <w:rPr>
          <w:rtl w:val="true"/>
        </w:rPr>
        <w:t xml:space="preserve">; </w:t>
      </w:r>
      <w:r>
        <w:rPr>
          <w:rtl w:val="true"/>
        </w:rPr>
        <w:t xml:space="preserve">בשנת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הורשע בעבירות קשירת קשר לעשות פשע</w:t>
      </w:r>
      <w:r>
        <w:rPr>
          <w:rtl w:val="true"/>
        </w:rPr>
        <w:t xml:space="preserve">, </w:t>
      </w:r>
      <w:r>
        <w:rPr>
          <w:rtl w:val="true"/>
        </w:rPr>
        <w:t>ניסיון לפריצה</w:t>
      </w:r>
      <w:r>
        <w:rPr>
          <w:rtl w:val="true"/>
        </w:rPr>
        <w:t xml:space="preserve">, </w:t>
      </w:r>
      <w:r>
        <w:rPr>
          <w:rtl w:val="true"/>
        </w:rPr>
        <w:t>בהחזקת מכשירי פריצה ונדון בין היתר למאסר בפועל של שלושה חודשים</w:t>
      </w:r>
      <w:r>
        <w:rPr>
          <w:rtl w:val="true"/>
        </w:rPr>
        <w:t xml:space="preserve">; </w:t>
      </w:r>
      <w:r>
        <w:rPr>
          <w:rtl w:val="true"/>
        </w:rPr>
        <w:t xml:space="preserve">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הורשע בעבירות סחיטה בכוח</w:t>
      </w:r>
      <w:r>
        <w:rPr>
          <w:rtl w:val="true"/>
        </w:rPr>
        <w:t xml:space="preserve">, </w:t>
      </w:r>
      <w:r>
        <w:rPr>
          <w:rtl w:val="true"/>
        </w:rPr>
        <w:t>תקיפה סתם</w:t>
      </w:r>
      <w:r>
        <w:rPr>
          <w:rtl w:val="true"/>
        </w:rPr>
        <w:t xml:space="preserve">, </w:t>
      </w:r>
      <w:r>
        <w:rPr>
          <w:rtl w:val="true"/>
        </w:rPr>
        <w:t>שוד מזוין וסחיטה באיומים ונדון בין היתר למאסר בפועל של שנה ושישה חודשים</w:t>
      </w:r>
      <w:r>
        <w:rPr>
          <w:rtl w:val="true"/>
        </w:rPr>
        <w:t xml:space="preserve">; </w:t>
      </w:r>
      <w:r>
        <w:rPr>
          <w:rtl w:val="true"/>
        </w:rPr>
        <w:t xml:space="preserve">בשנת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הורשע בעבירות התפרצות וגניבה ונדון בין היתר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הורשע בעבירות שוד והדחה בחקירה ונדון בין היתר למאסר בפועל 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פניו אפוא</w:t>
      </w:r>
      <w:r>
        <w:rPr>
          <w:rtl w:val="true"/>
        </w:rPr>
        <w:t xml:space="preserve">, </w:t>
      </w:r>
      <w:r>
        <w:rPr>
          <w:rtl w:val="true"/>
        </w:rPr>
        <w:t>המערער הולך וחזק בהתנהגותו הפלילית האלימה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בענייננו זולת חזרתו מהערעור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הוא לא הביע חרטה או הודה במעשיו בשום שלב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יש להתחשב בזיקה מסוימת הקיימת בין האלימות שנלוותה לשתי העבירות</w:t>
      </w:r>
      <w:r>
        <w:rPr>
          <w:rtl w:val="true"/>
        </w:rPr>
        <w:t xml:space="preserve">. </w:t>
      </w:r>
      <w:r>
        <w:rPr>
          <w:rtl w:val="true"/>
        </w:rPr>
        <w:t>זאת בשים לב לכך שאותם מעשי אלימות אשר גרמו למותה של המנוחה</w:t>
      </w:r>
      <w:r>
        <w:rPr>
          <w:rtl w:val="true"/>
        </w:rPr>
        <w:t xml:space="preserve">, </w:t>
      </w:r>
      <w:r>
        <w:rPr>
          <w:rtl w:val="true"/>
        </w:rPr>
        <w:t>ביניהם השימוש בסכין</w:t>
      </w:r>
      <w:r>
        <w:rPr>
          <w:rtl w:val="true"/>
        </w:rPr>
        <w:t xml:space="preserve">, </w:t>
      </w:r>
      <w:r>
        <w:rPr>
          <w:rtl w:val="true"/>
        </w:rPr>
        <w:t>יוחסו למערער גם בעבירת הרצח וגם במסגרת הנסיבות המחמירות שנלוו לעבירת האינוס</w:t>
      </w:r>
      <w:r>
        <w:rPr>
          <w:rtl w:val="true"/>
        </w:rPr>
        <w:t xml:space="preserve">. </w:t>
      </w:r>
      <w:r>
        <w:rPr>
          <w:rtl w:val="true"/>
        </w:rPr>
        <w:t>כך בית המשפט גם ייחס את סימני המאבק שנמצאו על גופתה של המנוחה ל</w:t>
      </w:r>
      <w:r>
        <w:rPr>
          <w:rtl w:val="true"/>
        </w:rPr>
        <w:t>"</w:t>
      </w:r>
      <w:r>
        <w:rPr>
          <w:rtl w:val="true"/>
        </w:rPr>
        <w:t>פצעי הגנה</w:t>
      </w:r>
      <w:r>
        <w:rPr>
          <w:rtl w:val="true"/>
        </w:rPr>
        <w:t xml:space="preserve">", </w:t>
      </w:r>
      <w:r>
        <w:rPr>
          <w:rtl w:val="true"/>
        </w:rPr>
        <w:t>הן למעשה הרצח והן למעשה האינוס וזאת מבלי להבחין בין השניים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מבלי שיש בכך כדי להפחית מחומרתם של אותם מעשים</w:t>
      </w:r>
      <w:r>
        <w:rPr>
          <w:rtl w:val="true"/>
        </w:rPr>
        <w:t xml:space="preserve">, </w:t>
      </w:r>
      <w:r>
        <w:rPr>
          <w:rtl w:val="true"/>
        </w:rPr>
        <w:t>מצאנו לנכון להורות ולו במקצת על חפיפה מסוימת של העונשים שהוטלו על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זאת באופן שבו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מתוך העונש שהושת עליו בגין מעשה האינוס</w:t>
      </w:r>
      <w:r>
        <w:rPr>
          <w:rtl w:val="true"/>
        </w:rPr>
        <w:t xml:space="preserve">, </w:t>
      </w:r>
      <w:r>
        <w:rPr>
          <w:rtl w:val="true"/>
        </w:rPr>
        <w:t>יישא המערער בחופף למאסר העולם שהושת עליו בגין מעשה הרצח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בחומרתן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לפי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שחרור על תנאי</w:t>
      </w:r>
      <w:r>
        <w:rPr>
          <w:rtl w:val="true"/>
        </w:rPr>
        <w:t xml:space="preserve">, </w:t>
      </w:r>
      <w:r>
        <w:rPr>
          <w:rtl w:val="true"/>
        </w:rPr>
        <w:t>ועדת שחרורים מיוחדת רשאית להמליץ לנשיא המדינה לקצוב את עונשו של מי שנגזר עליו עונש מאסר עולם</w:t>
      </w:r>
      <w:r>
        <w:rPr>
          <w:rtl w:val="true"/>
        </w:rPr>
        <w:t xml:space="preserve">, </w:t>
      </w:r>
      <w:r>
        <w:rPr>
          <w:rtl w:val="true"/>
        </w:rPr>
        <w:t xml:space="preserve">לאחר שחלפו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לפחות מתחילת המאסר</w:t>
      </w:r>
      <w:r>
        <w:rPr>
          <w:rtl w:val="true"/>
        </w:rPr>
        <w:t xml:space="preserve">, </w:t>
      </w:r>
      <w:r>
        <w:rPr>
          <w:rtl w:val="true"/>
        </w:rPr>
        <w:t>ובלבד שהתקופה שתמליץ לקצוב לא תפחת 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תוקן החוק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) </w:t>
      </w:r>
      <w:r>
        <w:rPr>
          <w:rtl w:val="true"/>
        </w:rPr>
        <w:t xml:space="preserve">במסגרתו נחקק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שנוסחו כדלהלן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big-number"/>
          <w:rFonts w:cs="FrankRuehl" w:ascii="Century" w:hAnsi="Century"/>
          <w:sz w:val="22"/>
          <w:szCs w:val="28"/>
        </w:rPr>
        <w:t>30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שהרשיע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ברצח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רשאי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לקבוע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לעניין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המלצה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לקציבת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עונש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מאסר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עולם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שאותו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ביצע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המעשה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בנסיבות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חריגות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בחומרתן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קבע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יחולו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29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בשינויים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אלה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: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1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ועדת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שחרורים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מיוחדת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תמליץ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להקל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בעונשו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האסיר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בטרם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חלפו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לפחות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15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מהיום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החל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לשאת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מאסרו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ובלבד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שהתקופה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שתמליץ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לקצוב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תפחת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40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;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בסעיפים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קטנים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במקום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30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"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יקראו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40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".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ab/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כלומר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מי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שבית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קבע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בעניינו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ביצע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רצח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בנסיבות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חריגות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בחומרתן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ועדת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השחרורים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המיוחדת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תמליץ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הקלה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בעונשו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בטרם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חלוף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15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שנים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מראשית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מאסרו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ותקופת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המאסר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עליה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תמליץ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תפחת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מ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40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Style w:val="default"/>
          <w:rFonts w:ascii="Century" w:hAnsi="Century" w:cs="Century"/>
          <w:sz w:val="22"/>
          <w:szCs w:val="28"/>
        </w:rPr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התיקון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לחוק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נועד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לחול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מקרה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רצח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הגם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שכל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רצח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חמור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וראו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דברי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ההסבר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להצעת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hyperlink r:id="rId53"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שחרור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על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תנאי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ממאסר</w:t>
        </w:r>
      </w:hyperlink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תיקון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מס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' </w:t>
      </w:r>
      <w:r>
        <w:rPr>
          <w:rStyle w:val="default"/>
          <w:rFonts w:cs="FrankRuehl" w:ascii="Century" w:hAnsi="Century"/>
          <w:sz w:val="22"/>
          <w:szCs w:val="28"/>
        </w:rPr>
        <w:t>14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 (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אסיר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עולם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שהורשע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ברצח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חריג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בחומרתו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),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התשע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2014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).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מדובר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אך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במקרים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המוגדרים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כחריגים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כאכזריים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שיש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בהם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מרובי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קורבנות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וראו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דוגמאות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שהועלו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בדיון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שהתקיים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בכנסת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התיקון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FrankRuehl"/>
          <w:sz w:val="22"/>
          <w:sz w:val="22"/>
          <w:szCs w:val="28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פרוטוקול מס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208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30.6.2014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בוועדת החוקה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חוק ומשפט של הכנסת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תחולתו של הסעיף נדונה עד עתה בבית משפט זה רק בהזדמנויות בודדות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נאמר כי מצד אחד יש ליישם את הסעיף במשורה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מצד שני הצטברות של מספר רכיבים בעלי חומרה יתרה איננה תנאי להפעלת הסעיף </w:t>
      </w:r>
      <w:r>
        <w:rPr>
          <w:rFonts w:cs="Century" w:ascii="Century" w:hAnsi="Century"/>
          <w:rtl w:val="true"/>
        </w:rPr>
        <w:t>(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7899/16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חאשיה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16.10.2018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חאשיה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hyperlink r:id="rId5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גנאמה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השחרורים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המיוחדת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22.05.2016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>במקרים שנדונו עד כה דובר במעשה טרור שנעשה במקום הומה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הרוצח התכוון לבצע טבח אכזרי רב נפגעים או במקרה אכזרי במיוחד של חטיפה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ביצוע מעשים מיניים קשים ורצח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על האמור</w:t>
      </w:r>
      <w:r>
        <w:rPr>
          <w:rtl w:val="true"/>
        </w:rPr>
        <w:t xml:space="preserve">, </w:t>
      </w:r>
      <w:r>
        <w:rPr>
          <w:rtl w:val="true"/>
        </w:rPr>
        <w:t xml:space="preserve">סקירה של פסיקות בתי המשפט המחוזיים מגלה מספר מקרים נוספים שנכנסו בגדרי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עבירות רצח שביצעו הורים בילדיהם באכזריות קיצונית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9248-07-14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5.6.2016</w:t>
      </w:r>
      <w:r>
        <w:rPr>
          <w:rtl w:val="true"/>
        </w:rPr>
        <w:t xml:space="preserve">), </w:t>
      </w:r>
      <w:r>
        <w:rPr>
          <w:rtl w:val="true"/>
        </w:rPr>
        <w:t>שדן באב שרצח באכזריות את שני ילדיו על ידי שיסוף גרונם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53758-07-13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אמטיראת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15.12.2015</w:t>
      </w:r>
      <w:r>
        <w:rPr>
          <w:rtl w:val="true"/>
        </w:rPr>
        <w:t xml:space="preserve">), </w:t>
      </w:r>
      <w:r>
        <w:rPr>
          <w:rtl w:val="true"/>
        </w:rPr>
        <w:t>שדן באב שרצח את שתי בנותיו הפעוטות בחניקה ולאחר מכן תלה אותן</w:t>
      </w:r>
      <w:r>
        <w:rPr>
          <w:rtl w:val="true"/>
        </w:rPr>
        <w:t xml:space="preserve">); </w:t>
      </w:r>
      <w:r>
        <w:rPr>
          <w:rtl w:val="true"/>
        </w:rPr>
        <w:t>ולמשל</w:t>
      </w:r>
      <w:r>
        <w:rPr>
          <w:rtl w:val="true"/>
        </w:rPr>
        <w:t xml:space="preserve">, </w:t>
      </w:r>
      <w:r>
        <w:rPr>
          <w:rtl w:val="true"/>
        </w:rPr>
        <w:t>מקרי רצח אכזריים במיוחד של קורבנות תמימים שנקלעו בדרכם של העבריינים</w:t>
      </w:r>
      <w:r>
        <w:rPr>
          <w:rtl w:val="true"/>
        </w:rPr>
        <w:t xml:space="preserve">, </w:t>
      </w:r>
      <w:r>
        <w:rPr>
          <w:rtl w:val="true"/>
        </w:rPr>
        <w:t xml:space="preserve">לעיתים לאחר תקיפות מיניות ברוטאליות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28279-11-14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29.4.2019</w:t>
      </w:r>
      <w:r>
        <w:rPr>
          <w:rtl w:val="true"/>
        </w:rPr>
        <w:t xml:space="preserve">), </w:t>
      </w:r>
      <w:r>
        <w:rPr>
          <w:rtl w:val="true"/>
        </w:rPr>
        <w:t>שדן ברצח נערה לאחר שעברה תקיפה והתעללות מינית ברוטאלית</w:t>
      </w:r>
      <w:r>
        <w:rPr>
          <w:rtl w:val="true"/>
        </w:rPr>
        <w:t xml:space="preserve">; </w:t>
      </w:r>
      <w:hyperlink r:id="rId6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6482-07-14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שאכר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19.11.2017</w:t>
      </w:r>
      <w:r>
        <w:rPr>
          <w:rtl w:val="true"/>
        </w:rPr>
        <w:t xml:space="preserve">), </w:t>
      </w:r>
      <w:r>
        <w:rPr>
          <w:rtl w:val="true"/>
        </w:rPr>
        <w:t>שדן ברצח צעירה שבוצע לאחר אונס והתעללות מינית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ובדומה לנסיבות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חאשיה</w:t>
      </w:r>
      <w:r>
        <w:rPr>
          <w:rtl w:val="true"/>
        </w:rPr>
        <w:t xml:space="preserve">, </w:t>
      </w:r>
      <w:r>
        <w:rPr>
          <w:rtl w:val="true"/>
        </w:rPr>
        <w:t xml:space="preserve">הוחל הסעיף בעבר במקרים מסוימים גם במעשי רצח שהתרחשו כחלק מפעולת טרור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23881-12-15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28.11.2016</w:t>
      </w:r>
      <w:r>
        <w:rPr>
          <w:rtl w:val="true"/>
        </w:rPr>
        <w:t xml:space="preserve">), </w:t>
      </w:r>
      <w:r>
        <w:rPr>
          <w:rtl w:val="true"/>
        </w:rPr>
        <w:t xml:space="preserve">שדן ברצח שני קרבנות בעת פיגוע בבניין </w:t>
      </w:r>
      <w:r>
        <w:rPr>
          <w:rtl w:val="true"/>
        </w:rPr>
        <w:t>"</w:t>
      </w:r>
      <w:r>
        <w:rPr>
          <w:rtl w:val="true"/>
        </w:rPr>
        <w:t>פנורמה</w:t>
      </w:r>
      <w:r>
        <w:rPr>
          <w:rtl w:val="true"/>
        </w:rPr>
        <w:t xml:space="preserve">" </w:t>
      </w:r>
      <w:r>
        <w:rPr>
          <w:rtl w:val="true"/>
        </w:rPr>
        <w:t>בתל אביב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6256-07-16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מחאמרה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29.11.2017</w:t>
      </w:r>
      <w:r>
        <w:rPr>
          <w:rtl w:val="true"/>
        </w:rPr>
        <w:t xml:space="preserve">), </w:t>
      </w:r>
      <w:r>
        <w:rPr>
          <w:rtl w:val="true"/>
        </w:rPr>
        <w:t xml:space="preserve">שדן בפיגוע ירי שהתרחש במתחם </w:t>
      </w:r>
      <w:r>
        <w:rPr>
          <w:rtl w:val="true"/>
        </w:rPr>
        <w:t>"</w:t>
      </w:r>
      <w:r>
        <w:rPr>
          <w:rtl w:val="true"/>
        </w:rPr>
        <w:t>שרונה</w:t>
      </w:r>
      <w:r>
        <w:rPr>
          <w:rtl w:val="true"/>
        </w:rPr>
        <w:t xml:space="preserve">" </w:t>
      </w:r>
      <w:r>
        <w:rPr>
          <w:rtl w:val="true"/>
        </w:rPr>
        <w:t>בתל אביב בו נהרגו שלושה קרבנות</w:t>
      </w:r>
      <w:r>
        <w:rPr>
          <w:rtl w:val="true"/>
        </w:rPr>
        <w:t>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נוכח הוראת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המחילה הסדר זהה לזה </w:t>
      </w:r>
      <w:hyperlink r:id="rId65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 שחרור על תנאי על מי שנידון בעבירת טרור למאסר עולם</w:t>
      </w:r>
      <w:r>
        <w:rPr>
          <w:rtl w:val="true"/>
        </w:rPr>
        <w:t xml:space="preserve">, </w:t>
      </w:r>
      <w:r>
        <w:rPr>
          <w:rtl w:val="true"/>
        </w:rPr>
        <w:t xml:space="preserve">אין עוד צורך בשימוש </w:t>
      </w:r>
      <w:hyperlink r:id="rId6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 האמור בעבירות טרור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ספק כי כל מקרה יבחן בהתאם לנסיבותיו ואין לקבוע מסגרת נוקשה של קטגוריות עליהן יחול הסעיף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ניתן למנות כאמור נסיבות חריגות בחומרתן המצדיקות עיכוב עיתוי המלצת ועדת השחרורים והגבלת תקופת קציבת עונש מאסר עולם</w:t>
      </w:r>
      <w:r>
        <w:rPr>
          <w:rtl w:val="true"/>
        </w:rPr>
        <w:t xml:space="preserve">: </w:t>
      </w:r>
      <w:r>
        <w:rPr>
          <w:rtl w:val="true"/>
        </w:rPr>
        <w:t>אלימות וברוטאליות חריגות במיוחד</w:t>
      </w:r>
      <w:r>
        <w:rPr>
          <w:rtl w:val="true"/>
        </w:rPr>
        <w:t xml:space="preserve">; </w:t>
      </w:r>
      <w:r>
        <w:rPr>
          <w:rtl w:val="true"/>
        </w:rPr>
        <w:t>אכזריות קיצונית והתעללות נפשית ופיזית של הנאשם בקורבן</w:t>
      </w:r>
      <w:r>
        <w:rPr>
          <w:rtl w:val="true"/>
        </w:rPr>
        <w:t xml:space="preserve">; </w:t>
      </w:r>
      <w:r>
        <w:rPr>
          <w:rtl w:val="true"/>
        </w:rPr>
        <w:t>ביצוע רצח על ידי קרובו של הקורבן</w:t>
      </w:r>
      <w:r>
        <w:rPr>
          <w:rtl w:val="true"/>
        </w:rPr>
        <w:t xml:space="preserve">; </w:t>
      </w:r>
      <w:r>
        <w:rPr>
          <w:rtl w:val="true"/>
        </w:rPr>
        <w:t>רצח או ניסיון רצח של קורבנות רבים</w:t>
      </w:r>
      <w:r>
        <w:rPr>
          <w:rtl w:val="true"/>
        </w:rPr>
        <w:t xml:space="preserve">; </w:t>
      </w:r>
      <w:r>
        <w:rPr>
          <w:rtl w:val="true"/>
        </w:rPr>
        <w:t>היות הקורבנות צעירים או היותם חסרי ישע</w:t>
      </w:r>
      <w:r>
        <w:rPr>
          <w:rtl w:val="true"/>
        </w:rPr>
        <w:t xml:space="preserve">; </w:t>
      </w:r>
      <w:r>
        <w:rPr>
          <w:rtl w:val="true"/>
        </w:rPr>
        <w:t xml:space="preserve">תקיפה </w:t>
      </w:r>
      <w:r>
        <w:rPr>
          <w:rtl w:val="true"/>
        </w:rPr>
        <w:t>(</w:t>
      </w:r>
      <w:r>
        <w:rPr>
          <w:rtl w:val="true"/>
        </w:rPr>
        <w:t>ובכלל זה תקיפה מינית</w:t>
      </w:r>
      <w:r>
        <w:rPr>
          <w:rtl w:val="true"/>
        </w:rPr>
        <w:t xml:space="preserve">) </w:t>
      </w:r>
      <w:r>
        <w:rPr>
          <w:rtl w:val="true"/>
        </w:rPr>
        <w:t>ברוטאלית שקדמה לרצח</w:t>
      </w:r>
      <w:r>
        <w:rPr>
          <w:rtl w:val="true"/>
        </w:rPr>
        <w:t xml:space="preserve">. </w:t>
      </w:r>
      <w:r>
        <w:rPr>
          <w:rtl w:val="true"/>
        </w:rPr>
        <w:t>למותר לציין כי אין מדובר ברשימה סגורה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במאמר מוסגר יצוין כי אך לאחרונה נכנס לתוקף 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נוספה העבירה </w:t>
      </w:r>
      <w:hyperlink r:id="rId68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אשר כותרתו </w:t>
      </w:r>
      <w:r>
        <w:rPr>
          <w:rtl w:val="true"/>
        </w:rPr>
        <w:t>"</w:t>
      </w:r>
      <w:r>
        <w:rPr>
          <w:rtl w:val="true"/>
        </w:rPr>
        <w:t>רצח בנסיבות מחמירות</w:t>
      </w:r>
      <w:r>
        <w:rPr>
          <w:rtl w:val="true"/>
        </w:rPr>
        <w:t xml:space="preserve">". </w:t>
      </w:r>
      <w:r>
        <w:rPr>
          <w:rtl w:val="true"/>
        </w:rPr>
        <w:t xml:space="preserve">הסעיף מונה נסיבות שבהתקיימותן העונש שעל בית משפט להשית על נאשם מורשע הינו </w:t>
      </w:r>
      <w:r>
        <w:rPr>
          <w:rtl w:val="true"/>
        </w:rPr>
        <w:t>"</w:t>
      </w:r>
      <w:r>
        <w:rPr>
          <w:rtl w:val="true"/>
        </w:rPr>
        <w:t>מאסר עולם ועונש זה בלבד</w:t>
      </w:r>
      <w:r>
        <w:rPr>
          <w:rtl w:val="true"/>
        </w:rPr>
        <w:t xml:space="preserve">". </w:t>
      </w:r>
      <w:r>
        <w:rPr>
          <w:rtl w:val="true"/>
        </w:rPr>
        <w:t xml:space="preserve">היחס בין </w:t>
      </w:r>
      <w:r>
        <w:rPr>
          <w:rFonts w:ascii="Century" w:hAnsi="Century" w:cs="Century"/>
          <w:sz w:val="22"/>
          <w:sz w:val="22"/>
          <w:rtl w:val="true"/>
        </w:rPr>
        <w:t>הרשעה</w:t>
      </w:r>
      <w:r>
        <w:rPr>
          <w:rtl w:val="true"/>
        </w:rPr>
        <w:t xml:space="preserve"> לפי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בגין </w:t>
      </w:r>
      <w:r>
        <w:rPr>
          <w:rtl w:val="true"/>
        </w:rPr>
        <w:t>"</w:t>
      </w:r>
      <w:r>
        <w:rPr>
          <w:rtl w:val="true"/>
        </w:rPr>
        <w:t>רצח בנסיבות מחמירות</w:t>
      </w:r>
      <w:r>
        <w:rPr>
          <w:rtl w:val="true"/>
        </w:rPr>
        <w:t xml:space="preserve">", </w:t>
      </w:r>
      <w:r>
        <w:rPr>
          <w:rtl w:val="true"/>
        </w:rPr>
        <w:t xml:space="preserve">לבין קביעה בגזר הדין לפי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 שחרור על תנאי שהרצח בוצע </w:t>
      </w:r>
      <w:r>
        <w:rPr>
          <w:rtl w:val="true"/>
        </w:rPr>
        <w:t>"</w:t>
      </w:r>
      <w:r>
        <w:rPr>
          <w:rtl w:val="true"/>
        </w:rPr>
        <w:t>בנסיבות חריגות בחומרתן</w:t>
      </w:r>
      <w:r>
        <w:rPr>
          <w:rtl w:val="true"/>
        </w:rPr>
        <w:t xml:space="preserve">" </w:t>
      </w:r>
      <w:r>
        <w:rPr>
          <w:rtl w:val="true"/>
        </w:rPr>
        <w:t>טרם נדון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נדמה כי ניתן ללמוד על אודות נסיבות חמורות של רצח בעיני המחוקק מאלה המפורטות </w:t>
      </w:r>
      <w:hyperlink r:id="rId7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גם לעניין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 שחרור על תנאי</w:t>
      </w:r>
      <w:r>
        <w:rPr>
          <w:rtl w:val="true"/>
        </w:rPr>
        <w:t xml:space="preserve">. </w:t>
      </w:r>
      <w:r>
        <w:rPr>
          <w:rtl w:val="true"/>
        </w:rPr>
        <w:t xml:space="preserve">בין היתר פורטו נסיבות המהדהדות את המאפיינים שעלו מפסיקת בתי המשפט עד כה בקביעה לפי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, </w:t>
      </w:r>
      <w:r>
        <w:rPr>
          <w:rtl w:val="true"/>
        </w:rPr>
        <w:t>כפי שתואר לעיל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 xml:space="preserve">המעשה נעשה באכזריות מיוחדת או תוך התעללות גופנית או נפשית בקורבן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; </w:t>
      </w:r>
      <w:r>
        <w:rPr>
          <w:rtl w:val="true"/>
        </w:rPr>
        <w:t>הקורבן חסר ישע</w:t>
      </w:r>
      <w:r>
        <w:rPr>
          <w:rtl w:val="true"/>
        </w:rPr>
        <w:t xml:space="preserve">, </w:t>
      </w:r>
      <w:r>
        <w:rPr>
          <w:rtl w:val="true"/>
        </w:rPr>
        <w:t xml:space="preserve">קטין שטרם מלאו לו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שנים או קטין שעובר העבירה אחראי עליו </w:t>
      </w:r>
      <w:r>
        <w:rPr>
          <w:rtl w:val="true"/>
        </w:rPr>
        <w:t>(</w:t>
      </w:r>
      <w:hyperlink r:id="rId77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המעשים אותם ביצע המערער במנוחה הם מהחמורים והמזעזעים שאפשר להיתקל בהם</w:t>
      </w:r>
      <w:r>
        <w:rPr>
          <w:rtl w:val="true"/>
        </w:rPr>
        <w:t xml:space="preserve">. </w:t>
      </w:r>
      <w:r>
        <w:rPr>
          <w:rtl w:val="true"/>
        </w:rPr>
        <w:t>המערער תקף קורבן אקראי</w:t>
      </w:r>
      <w:r>
        <w:rPr>
          <w:rtl w:val="true"/>
        </w:rPr>
        <w:t xml:space="preserve">, </w:t>
      </w:r>
      <w:r>
        <w:rPr>
          <w:rtl w:val="true"/>
        </w:rPr>
        <w:t>ביצע בה עבירות מין ורצח אותה באלימות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לאחר מותה של המנוחה המערער אפשר לכלבתו להשחית את גופתה</w:t>
      </w:r>
      <w:r>
        <w:rPr>
          <w:rtl w:val="true"/>
        </w:rPr>
        <w:t xml:space="preserve">, </w:t>
      </w:r>
      <w:r>
        <w:rPr>
          <w:rtl w:val="true"/>
        </w:rPr>
        <w:t>וניסה בעצמו לבתר אותה באמצעות מסור</w:t>
      </w:r>
      <w:r>
        <w:rPr>
          <w:rtl w:val="true"/>
        </w:rPr>
        <w:t xml:space="preserve">, </w:t>
      </w:r>
      <w:r>
        <w:rPr>
          <w:rtl w:val="true"/>
        </w:rPr>
        <w:t>הכול בשוויון נפש מצמרר ותוך רמיסת כל זכר לכבודה של המנוחה ולאנושיותה</w:t>
      </w:r>
      <w:r>
        <w:rPr>
          <w:rtl w:val="true"/>
        </w:rPr>
        <w:t xml:space="preserve">. </w:t>
      </w:r>
      <w:r>
        <w:rPr>
          <w:rtl w:val="true"/>
        </w:rPr>
        <w:t>הברוטאליות הרבה של מעשיו של המערער שפגעו בערכים החברתיים היסודיים ביותר של החברה</w:t>
      </w:r>
      <w:r>
        <w:rPr>
          <w:rtl w:val="true"/>
        </w:rPr>
        <w:t xml:space="preserve">, </w:t>
      </w:r>
      <w:r>
        <w:rPr>
          <w:rtl w:val="true"/>
        </w:rPr>
        <w:t>מגבשים ללא כל ספק חומרה חריגה ומיוחדת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בדין קבע בית המשפט המחוזי כי הרצח בוצע בנסיבות חריגות בחומרתן והחיל את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 שחרור על תנאי בהתאם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ולהפעלת</w:t>
      </w:r>
      <w:r>
        <w:rPr>
          <w:rFonts w:eastAsia="Arial TUR;Arial" w:cs="Arial TUR;Arial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tl w:val="true"/>
        </w:rPr>
        <w:t>: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והמזוויעים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בגופתה</w:t>
      </w:r>
      <w:r>
        <w:rPr>
          <w:rtl w:val="true"/>
        </w:rPr>
        <w:t xml:space="preserve">,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, </w:t>
      </w:r>
      <w:r>
        <w:rPr>
          <w:rtl w:val="true"/>
        </w:rPr>
        <w:t>ובדין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פלצות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לאכזריות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6.10.2019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18019000</w:t>
      </w:r>
      <w:r>
        <w:rPr>
          <w:sz w:val="16"/>
          <w:rtl w:val="true"/>
        </w:rPr>
        <w:t>_</w:t>
      </w:r>
      <w:r>
        <w:rPr>
          <w:sz w:val="16"/>
        </w:rPr>
        <w:t>N12.docx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</w:t>
      </w:r>
      <w:r>
        <w:rPr>
          <w:sz w:val="16"/>
          <w:sz w:val="16"/>
          <w:rtl w:val="true"/>
        </w:rPr>
        <w:t>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54678313-1900/18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2"/>
      <w:footerReference w:type="default" r:id="rId83"/>
      <w:type w:val="nextPage"/>
      <w:pgSz w:w="11906" w:h="16838"/>
      <w:pgMar w:left="1797" w:right="1797" w:gutter="0" w:header="567" w:top="1701" w:footer="397" w:bottom="156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1900/18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ילמה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80846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0.a.2" TargetMode="External"/><Relationship Id="rId5" Type="http://schemas.openxmlformats.org/officeDocument/2006/relationships/hyperlink" Target="http://www.nevo.co.il/law/70301/300.a.3" TargetMode="External"/><Relationship Id="rId6" Type="http://schemas.openxmlformats.org/officeDocument/2006/relationships/hyperlink" Target="http://www.nevo.co.il/law/70301/301a" TargetMode="External"/><Relationship Id="rId7" Type="http://schemas.openxmlformats.org/officeDocument/2006/relationships/hyperlink" Target="http://www.nevo.co.il/law/70301/345.a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b.3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5025" TargetMode="External"/><Relationship Id="rId12" Type="http://schemas.openxmlformats.org/officeDocument/2006/relationships/hyperlink" Target="http://www.nevo.co.il/law/75025/29" TargetMode="External"/><Relationship Id="rId13" Type="http://schemas.openxmlformats.org/officeDocument/2006/relationships/hyperlink" Target="http://www.nevo.co.il/law/75025/30b" TargetMode="External"/><Relationship Id="rId14" Type="http://schemas.openxmlformats.org/officeDocument/2006/relationships/hyperlink" Target="http://www.nevo.co.il/law/75025/30b.7" TargetMode="External"/><Relationship Id="rId15" Type="http://schemas.openxmlformats.org/officeDocument/2006/relationships/hyperlink" Target="http://www.nevo.co.il/law/75025/30b.8" TargetMode="External"/><Relationship Id="rId16" Type="http://schemas.openxmlformats.org/officeDocument/2006/relationships/hyperlink" Target="http://www.nevo.co.il/law/141771" TargetMode="External"/><Relationship Id="rId17" Type="http://schemas.openxmlformats.org/officeDocument/2006/relationships/hyperlink" Target="http://www.nevo.co.il/law/141771/40" TargetMode="External"/><Relationship Id="rId18" Type="http://schemas.openxmlformats.org/officeDocument/2006/relationships/hyperlink" Target="http://www.nevo.co.il/case/18808462" TargetMode="External"/><Relationship Id="rId19" Type="http://schemas.openxmlformats.org/officeDocument/2006/relationships/hyperlink" Target="http://www.nevo.co.il/law/70301/300.a.3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345.b.3" TargetMode="External"/><Relationship Id="rId25" Type="http://schemas.openxmlformats.org/officeDocument/2006/relationships/hyperlink" Target="http://www.nevo.co.il/law/75025/30b" TargetMode="External"/><Relationship Id="rId26" Type="http://schemas.openxmlformats.org/officeDocument/2006/relationships/hyperlink" Target="http://www.nevo.co.il/law/75025" TargetMode="External"/><Relationship Id="rId27" Type="http://schemas.openxmlformats.org/officeDocument/2006/relationships/hyperlink" Target="http://www.nevo.co.il/law/75025/30b" TargetMode="External"/><Relationship Id="rId28" Type="http://schemas.openxmlformats.org/officeDocument/2006/relationships/hyperlink" Target="http://www.nevo.co.il/law/75025/30b" TargetMode="External"/><Relationship Id="rId29" Type="http://schemas.openxmlformats.org/officeDocument/2006/relationships/hyperlink" Target="http://www.nevo.co.il/law/75025/30b" TargetMode="External"/><Relationship Id="rId30" Type="http://schemas.openxmlformats.org/officeDocument/2006/relationships/hyperlink" Target="http://www.nevo.co.il/case/25305739" TargetMode="External"/><Relationship Id="rId31" Type="http://schemas.openxmlformats.org/officeDocument/2006/relationships/hyperlink" Target="http://www.nevo.co.il/case/25388533" TargetMode="External"/><Relationship Id="rId32" Type="http://schemas.openxmlformats.org/officeDocument/2006/relationships/hyperlink" Target="http://www.nevo.co.il/case/24263410" TargetMode="External"/><Relationship Id="rId33" Type="http://schemas.openxmlformats.org/officeDocument/2006/relationships/hyperlink" Target="http://www.nevo.co.il/law/70301/345.b.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45.a" TargetMode="External"/><Relationship Id="rId36" Type="http://schemas.openxmlformats.org/officeDocument/2006/relationships/hyperlink" Target="http://www.nevo.co.il/case/20010477" TargetMode="External"/><Relationship Id="rId37" Type="http://schemas.openxmlformats.org/officeDocument/2006/relationships/hyperlink" Target="http://www.nevo.co.il/case/10537746" TargetMode="External"/><Relationship Id="rId38" Type="http://schemas.openxmlformats.org/officeDocument/2006/relationships/hyperlink" Target="http://www.nevo.co.il/case/6159983" TargetMode="External"/><Relationship Id="rId39" Type="http://schemas.openxmlformats.org/officeDocument/2006/relationships/hyperlink" Target="http://www.nevo.co.il/case/20455747" TargetMode="External"/><Relationship Id="rId40" Type="http://schemas.openxmlformats.org/officeDocument/2006/relationships/hyperlink" Target="http://www.nevo.co.il/case/6074652" TargetMode="External"/><Relationship Id="rId41" Type="http://schemas.openxmlformats.org/officeDocument/2006/relationships/hyperlink" Target="http://www.nevo.co.il/law/70301/40jc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0798648" TargetMode="External"/><Relationship Id="rId44" Type="http://schemas.openxmlformats.org/officeDocument/2006/relationships/hyperlink" Target="http://www.nevo.co.il/case/16987316" TargetMode="External"/><Relationship Id="rId45" Type="http://schemas.openxmlformats.org/officeDocument/2006/relationships/hyperlink" Target="http://www.nevo.co.il/case/18654248" TargetMode="External"/><Relationship Id="rId46" Type="http://schemas.openxmlformats.org/officeDocument/2006/relationships/hyperlink" Target="http://www.nevo.co.il/case/5748035" TargetMode="External"/><Relationship Id="rId47" Type="http://schemas.openxmlformats.org/officeDocument/2006/relationships/hyperlink" Target="http://www.nevo.co.il/case/5571207" TargetMode="External"/><Relationship Id="rId48" Type="http://schemas.openxmlformats.org/officeDocument/2006/relationships/hyperlink" Target="http://www.nevo.co.il/case/6070684" TargetMode="External"/><Relationship Id="rId49" Type="http://schemas.openxmlformats.org/officeDocument/2006/relationships/hyperlink" Target="http://www.nevo.co.il/case/6133254" TargetMode="External"/><Relationship Id="rId50" Type="http://schemas.openxmlformats.org/officeDocument/2006/relationships/hyperlink" Target="http://www.nevo.co.il/law/75025/29" TargetMode="External"/><Relationship Id="rId51" Type="http://schemas.openxmlformats.org/officeDocument/2006/relationships/hyperlink" Target="http://www.nevo.co.il/law/75025" TargetMode="External"/><Relationship Id="rId52" Type="http://schemas.openxmlformats.org/officeDocument/2006/relationships/hyperlink" Target="http://www.nevo.co.il/law/75025/30b" TargetMode="External"/><Relationship Id="rId53" Type="http://schemas.openxmlformats.org/officeDocument/2006/relationships/hyperlink" Target="http://www.nevo.co.il/law/75025" TargetMode="External"/><Relationship Id="rId54" Type="http://schemas.openxmlformats.org/officeDocument/2006/relationships/hyperlink" Target="http://www.nevo.co.il/case/21490136" TargetMode="External"/><Relationship Id="rId55" Type="http://schemas.openxmlformats.org/officeDocument/2006/relationships/hyperlink" Target="http://www.nevo.co.il/case/21473498" TargetMode="External"/><Relationship Id="rId56" Type="http://schemas.openxmlformats.org/officeDocument/2006/relationships/hyperlink" Target="http://www.nevo.co.il/law/75025/30b" TargetMode="External"/><Relationship Id="rId57" Type="http://schemas.openxmlformats.org/officeDocument/2006/relationships/hyperlink" Target="http://www.nevo.co.il/case/17027849" TargetMode="External"/><Relationship Id="rId58" Type="http://schemas.openxmlformats.org/officeDocument/2006/relationships/hyperlink" Target="http://www.nevo.co.il/case/7818977" TargetMode="External"/><Relationship Id="rId59" Type="http://schemas.openxmlformats.org/officeDocument/2006/relationships/hyperlink" Target="http://www.nevo.co.il/case/18154236" TargetMode="External"/><Relationship Id="rId60" Type="http://schemas.openxmlformats.org/officeDocument/2006/relationships/hyperlink" Target="http://www.nevo.co.il/case/17024671" TargetMode="External"/><Relationship Id="rId61" Type="http://schemas.openxmlformats.org/officeDocument/2006/relationships/hyperlink" Target="http://www.nevo.co.il/case/20788926" TargetMode="External"/><Relationship Id="rId62" Type="http://schemas.openxmlformats.org/officeDocument/2006/relationships/hyperlink" Target="http://www.nevo.co.il/case/21897655" TargetMode="External"/><Relationship Id="rId63" Type="http://schemas.openxmlformats.org/officeDocument/2006/relationships/hyperlink" Target="http://www.nevo.co.il/law/141771/40" TargetMode="External"/><Relationship Id="rId64" Type="http://schemas.openxmlformats.org/officeDocument/2006/relationships/hyperlink" Target="http://www.nevo.co.il/law/141771" TargetMode="External"/><Relationship Id="rId65" Type="http://schemas.openxmlformats.org/officeDocument/2006/relationships/hyperlink" Target="http://www.nevo.co.il/law/75025/30b" TargetMode="External"/><Relationship Id="rId66" Type="http://schemas.openxmlformats.org/officeDocument/2006/relationships/hyperlink" Target="http://www.nevo.co.il/law/75025/30b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01a" TargetMode="External"/><Relationship Id="rId69" Type="http://schemas.openxmlformats.org/officeDocument/2006/relationships/hyperlink" Target="http://www.nevo.co.il/law/70301/301a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5025/30b" TargetMode="External"/><Relationship Id="rId72" Type="http://schemas.openxmlformats.org/officeDocument/2006/relationships/hyperlink" Target="http://www.nevo.co.il/law/70301/301a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5025/30b" TargetMode="External"/><Relationship Id="rId75" Type="http://schemas.openxmlformats.org/officeDocument/2006/relationships/hyperlink" Target="http://www.nevo.co.il/law/75025/30b" TargetMode="External"/><Relationship Id="rId76" Type="http://schemas.openxmlformats.org/officeDocument/2006/relationships/hyperlink" Target="http://www.nevo.co.il/law/75025/30b.7" TargetMode="External"/><Relationship Id="rId77" Type="http://schemas.openxmlformats.org/officeDocument/2006/relationships/hyperlink" Target="http://www.nevo.co.il/law/75025/30b.8" TargetMode="External"/><Relationship Id="rId78" Type="http://schemas.openxmlformats.org/officeDocument/2006/relationships/hyperlink" Target="http://www.nevo.co.il/law/75025/30b" TargetMode="External"/><Relationship Id="rId79" Type="http://schemas.openxmlformats.org/officeDocument/2006/relationships/hyperlink" Target="http://www.nevo.co.il/law/75025/30b" TargetMode="External"/><Relationship Id="rId80" Type="http://schemas.openxmlformats.org/officeDocument/2006/relationships/hyperlink" Target="http://supreme.court.gov.il/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2020-01-16T11:36:00Z</dcterms:created>
  <dc:creator>h4</dc:creator>
  <dc:description/>
  <cp:keywords/>
  <dc:language>en-IL</dc:language>
  <cp:lastModifiedBy>yafit</cp:lastModifiedBy>
  <cp:lastPrinted>2019-10-06T12:03:00Z</cp:lastPrinted>
  <dcterms:modified xsi:type="dcterms:W3CDTF">2020-01-16T11:36:00Z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אברהם ילמה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18808462:2;25305739;25388533;24263410;20010477;10537746;6159983;20455747;6074652;20798648;16987316;18654248;5748035;5571207;6070684;6133254;21490136;21473498;17027849;7818977;18154236;17024671;20788926;21897655</vt:lpwstr>
  </property>
  <property fmtid="{D5CDD505-2E9C-101B-9397-08002B2CF9AE}" pid="9" name="CITY">
    <vt:lpwstr/>
  </property>
  <property fmtid="{D5CDD505-2E9C-101B-9397-08002B2CF9AE}" pid="10" name="DATE">
    <vt:lpwstr>20191006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פוגלמן;ע' ברון;ד' מינץ</vt:lpwstr>
  </property>
  <property fmtid="{D5CDD505-2E9C-101B-9397-08002B2CF9AE}" pid="14" name="LAWLISTTMP1">
    <vt:lpwstr>70301/300.a.3;300.a.2;345.a.1;345.b.3:2;345.a;40jc;301a:3</vt:lpwstr>
  </property>
  <property fmtid="{D5CDD505-2E9C-101B-9397-08002B2CF9AE}" pid="15" name="LAWLISTTMP2">
    <vt:lpwstr>75025/030b:13;029;030b.7;030b.8</vt:lpwstr>
  </property>
  <property fmtid="{D5CDD505-2E9C-101B-9397-08002B2CF9AE}" pid="16" name="LAWLISTTMP3">
    <vt:lpwstr>141771/040</vt:lpwstr>
  </property>
  <property fmtid="{D5CDD505-2E9C-101B-9397-08002B2CF9AE}" pid="17" name="LAWYER">
    <vt:lpwstr>טל (אדיר) כהן;טל ענר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בתי סוהר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77;77;77;77;15</vt:lpwstr>
  </property>
  <property fmtid="{D5CDD505-2E9C-101B-9397-08002B2CF9AE}" pid="39" name="NOSE21">
    <vt:lpwstr>עבירת הרצח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אסירים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12455;1446;1446;1446;345</vt:lpwstr>
  </property>
  <property fmtid="{D5CDD505-2E9C-101B-9397-08002B2CF9AE}" pid="50" name="NOSE31">
    <vt:lpwstr>רצח חריג בחומרתו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מין</vt:lpwstr>
  </property>
  <property fmtid="{D5CDD505-2E9C-101B-9397-08002B2CF9AE}" pid="53" name="NOSE33">
    <vt:lpwstr>מדיניות ענישה: שיקולים לחומרה</vt:lpwstr>
  </property>
  <property fmtid="{D5CDD505-2E9C-101B-9397-08002B2CF9AE}" pid="54" name="NOSE34">
    <vt:lpwstr>עונשים חופפים</vt:lpwstr>
  </property>
  <property fmtid="{D5CDD505-2E9C-101B-9397-08002B2CF9AE}" pid="55" name="NOSE35">
    <vt:lpwstr>שחרור על תנאי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18042;8988;8995;9001;2824</vt:lpwstr>
  </property>
  <property fmtid="{D5CDD505-2E9C-101B-9397-08002B2CF9AE}" pid="61" name="PADIDATE">
    <vt:lpwstr>20191007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1900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410120191006</vt:lpwstr>
  </property>
  <property fmtid="{D5CDD505-2E9C-101B-9397-08002B2CF9AE}" pid="71" name="TYPE_N_DATE">
    <vt:lpwstr>41020191006</vt:lpwstr>
  </property>
  <property fmtid="{D5CDD505-2E9C-101B-9397-08002B2CF9AE}" pid="72" name="VOLUME">
    <vt:lpwstr/>
  </property>
  <property fmtid="{D5CDD505-2E9C-101B-9397-08002B2CF9AE}" pid="73" name="WORDNUMPAGES">
    <vt:lpwstr>13</vt:lpwstr>
  </property>
</Properties>
</file>