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1901/19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אסולין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31.01.2019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4415-02-18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קובע כי יש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לקבוע את מתחם הענישה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נדרשת זהירות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רוצה לומר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אינו קובע מתחם במובן הפורמלי שנקבע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לשם קבלת מידע והקשר לעונש שראוי לקבוע בהסדר טווח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לכן יש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לקבוע נוהל למקרים שבהם התביעה מציגה את העונש בעקבות הסדר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מתפקידה להסביר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ולו בתמצית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היו שיקוליה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זה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יתן את המשקל הראוי להסדר ולמידה שבה עליו לתת דעתו למתחם העונש הראוי ולתיקון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הסדר טיעון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 נגד חומרת העונש שנגזר על המערער – </w:t>
      </w:r>
      <w:r>
        <w:rPr>
          <w:rFonts w:cs="Times New Roman" w:ascii="Times New Roman" w:hAnsi="Times New Roman"/>
          <w:spacing w:val="0"/>
          <w:sz w:val="24"/>
          <w:szCs w:val="26"/>
        </w:rPr>
        <w:t>54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עונשים נלוים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שהוטלו על המערער בעקבות הרשעתו על פי 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עבירות של ייבוא סם מסוכן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קשירת קשר לביצוע פשע והחזקת סם מסוכן שלא לצריכה עצמית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הוסכם כי המדינה תעתור לעונש מאסר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60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 הסנגור יטען לעונש באופן חופשי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קבע בגזר 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טווח הענישה 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נע לשיטתו בין </w:t>
      </w:r>
      <w:r>
        <w:rPr>
          <w:rFonts w:cs="Times New Roman" w:ascii="Times New Roman" w:hAnsi="Times New Roman"/>
          <w:spacing w:val="0"/>
          <w:sz w:val="24"/>
          <w:szCs w:val="26"/>
        </w:rPr>
        <w:t>54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90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מתייחס למצב של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 שמדובר בעניין שכיח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השאלה האם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רשאי לקבוע את מתחם הענישה חרף קיומו של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והאם ראוי שיעשה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לקבוע את מתחם הענישה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נדרשת זהירות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רוצה לומר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אינו קובע מתחם במובן הפורמלי שנקבע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לשם קבלת מידע והקשר לעונש שראוי לקבוע בהסדר טווח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 כזה עשוי לסייע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לקבוע את המתחם בצורה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הטעם לכך הוא קיומן של סיבות מגוונות שיכולות להוביל להחלטת המדינה להגיע להסדר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לדוגמא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 שבו המדינה מסכימה להסדר טיעון בשל שיקולים ראייתיים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נכון יותר להעניק משקל להודיה ולהסדר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אומר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חייב לקבל את ההסדר באופן מוחלט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העונש בתוך המתחם עשוי להיות פחות חשוב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הוא עדיין בעל משקל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 נוסף הוא הרצון למנוע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עדות נפגעת עבירת מין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 הצד האחר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ישנם הסדרי טיעון שתיאורם ככאלה עשוי להטעות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 שבו מתברר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התביעה מבקשת את העונש הראוי לשיטתה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קשר להסדר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 כזה יש יותר מקום לכך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ישקול את העונש 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ועדיין – ההסדר הוא הסדר בעל משקל לעניין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הקושי המצוי בהקשר זה הוא העדר תקשורת בין התביעה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לא הסבירה את הנימוק לתקופה שביקשה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היא הציגה את העונש הראוי לשיטתה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שמא ניתן משקל לשיקול מרכזי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סבור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נכון לקבוע נוהל למקרים שבהם התביעה מציגה את העונש בעקבות הסדר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מתפקידה להסביר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ולו בתמצית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היו שיקוליה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העונש לו טענה אינו אלא העונש הראוי מבחינת המעשה והעושה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מדובר בהסדר טיעון או הסדר טווח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מסירת מידע כזה תסייע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להבין את טיב ההסדר ואת נימוקיו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שמדובר בענישה שאינה מתאימה בהכרח לעונש 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תיטיב התביעה לנמק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בקיצור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טעמיה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זה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יתן את המשקל הראוי להסדר ולמידה שבה עליו לתת דעתו למתחם העונש הראוי ולתיקון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למקרה הקונקרטי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העובדות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המעשה והעושה העונש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60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שאותו ביקשה התביעה בערכאה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הוא עונש ראוי – איננו מחמיר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לשקול גם כי מדובר בהסדר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מצא לנכון לגזור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54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במקום </w:t>
      </w:r>
      <w:r>
        <w:rPr>
          <w:rFonts w:cs="Times New Roman" w:ascii="Times New Roman" w:hAnsi="Times New Roman"/>
          <w:spacing w:val="0"/>
          <w:sz w:val="24"/>
          <w:szCs w:val="26"/>
        </w:rPr>
        <w:t>60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ניתן היה לגזור עונש מעט קל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מדובר בטעות המצדיקה התערבות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ערכאת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  <w:szCs w:val="24"/>
          <w:u w:val="single"/>
        </w:rPr>
      </w:pPr>
      <w:r>
        <w:rPr>
          <w:rFonts w:cs="FrankRuehl" w:ascii="FrankRuehl" w:hAnsi="FrankRuehl"/>
          <w:sz w:val="28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11"/>
        <w:numPr>
          <w:ilvl w:val="0"/>
          <w:numId w:val="1"/>
        </w:numPr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מונח לפנינו ערעור נגד חומרת העונש שנגזר על המערער – </w:t>
      </w:r>
      <w:r>
        <w:rPr>
          <w:sz w:val="28"/>
          <w:szCs w:val="28"/>
        </w:rPr>
        <w:t>54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 בפועל בניכוי ימי 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 מותנה וקנס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הערעור מופנה נגד אורך תקופת המאסר 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rtl w:val="true"/>
        </w:rPr>
        <w:t xml:space="preserve">           </w:t>
      </w:r>
      <w:r>
        <w:rPr>
          <w:rFonts w:ascii="FrankRuehl" w:hAnsi="FrankRuehl"/>
          <w:sz w:val="28"/>
          <w:sz w:val="28"/>
          <w:rtl w:val="true"/>
        </w:rPr>
        <w:t>המערער הורשע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על פי הודאתו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בביצוע עבירות של ייבוא סם מסוכן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קשירת קשר לביצוע פשע והחזקת סם מסוכן שלא לצריכה עצמית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סיפור המעשה הוא זה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 xml:space="preserve">המערער ואדם נוסף קשרו קשר לייבא סם מסוכן מסוג </w:t>
      </w:r>
      <w:r>
        <w:rPr>
          <w:rFonts w:cs="FrankRuehl" w:ascii="FrankRuehl" w:hAnsi="FrankRuehl"/>
          <w:sz w:val="28"/>
        </w:rPr>
        <w:t>MDMA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מגרמניה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באמצעות דואר ישראל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המערער הזמין באמצעות פרטי הזהות של האחר חבילה המכילה כעשרה קילוגרמים של טבליות סם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ואסף את החבילה באמצעות תעודת הזהות של האחר מסניף הדואר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במסגרת הסדר הטיעון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הוסכם כי המדינה תעתור לעונש מאסר לתקופה של </w:t>
      </w:r>
      <w:r>
        <w:rPr>
          <w:rFonts w:cs="FrankRuehl" w:ascii="FrankRuehl" w:hAnsi="FrankRuehl"/>
          <w:sz w:val="28"/>
        </w:rPr>
        <w:t>60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ואילו הסנגור יטען לעונש באופן חופשי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11"/>
        <w:numPr>
          <w:ilvl w:val="0"/>
          <w:numId w:val="1"/>
        </w:numPr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מקרה זה מעורר סוגיה כללית שראוי לתת עליה את הדעת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אמנם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 שיוסבר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הסוגיה מאבדת מכוח השפעתה על התוצאה כאן לנוכח הנסיבות והטענות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 הואיל והיא מתעוררת לא פעם – יש מקום להבהירה</w:t>
      </w:r>
      <w:r>
        <w:rPr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rtl w:val="true"/>
        </w:rPr>
        <w:t xml:space="preserve">           </w:t>
      </w:r>
      <w:r>
        <w:rPr>
          <w:rFonts w:ascii="FrankRuehl" w:hAnsi="FrankRuehl"/>
          <w:sz w:val="28"/>
          <w:sz w:val="28"/>
          <w:rtl w:val="true"/>
        </w:rPr>
        <w:t>בית משפט קמא קבע בגזר דינו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בין היתר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את טווח הענישה הראוי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אשר נע לשיטתו בין </w:t>
      </w:r>
      <w:r>
        <w:rPr>
          <w:rFonts w:cs="FrankRuehl" w:ascii="FrankRuehl" w:hAnsi="FrankRuehl"/>
          <w:sz w:val="28"/>
        </w:rPr>
        <w:t>54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90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הקושי נוגע לקשר שבין הסדר טיעון למתחם הענישה הראוי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כאמור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המדינה עתרה לעונש של </w:t>
      </w:r>
      <w:r>
        <w:rPr>
          <w:rFonts w:cs="FrankRuehl" w:ascii="FrankRuehl" w:hAnsi="FrankRuehl"/>
          <w:sz w:val="28"/>
        </w:rPr>
        <w:t>60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בהקשר זה יוזכר כי תיקון </w:t>
      </w:r>
      <w:r>
        <w:rPr>
          <w:rFonts w:cs="FrankRuehl" w:ascii="FrankRuehl" w:hAnsi="FrankRuehl"/>
          <w:sz w:val="28"/>
        </w:rPr>
        <w:t>113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hyperlink r:id="rId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התשל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ז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1977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אינו מתייחס למצב של הסדר טיעון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למרות שמדובר בעניין שכיח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מכאן השאלה האם בית המשפט רשאי לקבוע את מתחם הענישה חרף קיומו של הסדר טיעון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והאם ראוי שיעשה כן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כשלעצמי סבורני כי יש להשיב על כך בחיוב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אולם נדרשת זהירות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רוצה לומר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בית המשפט אינו קובע מתחם במובן הפורמלי שנקבע בתיקון </w:t>
      </w:r>
      <w:r>
        <w:rPr>
          <w:rFonts w:cs="FrankRuehl" w:ascii="FrankRuehl" w:hAnsi="FrankRuehl"/>
          <w:sz w:val="28"/>
        </w:rPr>
        <w:t>113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אלא לשם קבלת </w:t>
      </w:r>
      <w:r>
        <w:rPr>
          <w:rFonts w:ascii="FrankRuehl" w:hAnsi="FrankRuehl"/>
          <w:sz w:val="28"/>
          <w:sz w:val="28"/>
          <w:rtl w:val="true"/>
        </w:rPr>
        <w:t>מידע והקשר</w:t>
      </w:r>
      <w:r>
        <w:rPr>
          <w:rFonts w:ascii="FrankRuehl" w:hAnsi="FrankRuehl"/>
          <w:sz w:val="28"/>
          <w:sz w:val="28"/>
          <w:rtl w:val="true"/>
        </w:rPr>
        <w:t xml:space="preserve"> לעונש </w:t>
      </w:r>
      <w:r>
        <w:rPr>
          <w:rFonts w:ascii="FrankRuehl" w:hAnsi="FrankRuehl"/>
          <w:sz w:val="28"/>
          <w:sz w:val="28"/>
          <w:rtl w:val="true"/>
        </w:rPr>
        <w:t>שראוי</w:t>
      </w:r>
      <w:r>
        <w:rPr>
          <w:rFonts w:ascii="FrankRuehl" w:hAnsi="FrankRuehl"/>
          <w:sz w:val="28"/>
          <w:sz w:val="28"/>
          <w:rtl w:val="true"/>
        </w:rPr>
        <w:t xml:space="preserve"> לקבוע בהסדר טווח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מתחם כזה עשוי לסייע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ברם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על בית המשפט לקבוע את המתחם בצורה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רכה</w:t>
      </w:r>
      <w:r>
        <w:rPr>
          <w:rFonts w:cs="FrankRuehl" w:ascii="FrankRuehl" w:hAnsi="FrankRuehl"/>
          <w:sz w:val="28"/>
          <w:rtl w:val="true"/>
        </w:rPr>
        <w:t xml:space="preserve">". </w:t>
      </w:r>
      <w:r>
        <w:rPr>
          <w:rFonts w:ascii="FrankRuehl" w:hAnsi="FrankRuehl"/>
          <w:sz w:val="28"/>
          <w:sz w:val="28"/>
          <w:rtl w:val="true"/>
        </w:rPr>
        <w:t>הטעם לכך הוא קיומן של סיבות מגוונות שיכולות להוביל להחלטת המדינה להגיע להסדר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טול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לדוגמא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מקרה שבו המדינה מסכימה להסדר טיעון בשל שיקולים ראייתיים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במצב כזה נכון יותר להעניק משקל להודיה ולהסדר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אין זה אומר שבית המשפט חייב לקבל את ההסדר באופן מוחלט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אך העונש בתוך המתחם עשוי להיות פחות חשוב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גם אם הוא עדיין בעל משקל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שיקול נוסף הוא הרצון למנוע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למשל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את עדות נפגעת עבירת מין בבית המשפט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rtl w:val="true"/>
        </w:rPr>
        <w:t xml:space="preserve">           </w:t>
      </w:r>
      <w:r>
        <w:rPr>
          <w:rFonts w:ascii="FrankRuehl" w:hAnsi="FrankRuehl"/>
          <w:sz w:val="28"/>
          <w:sz w:val="28"/>
          <w:rtl w:val="true"/>
        </w:rPr>
        <w:t>מן הצד האחר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ישנם הסדרי טיעון שתיאורם ככאלה עשוי להטעות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למשל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מקרה שבו מתברר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כפי שכאן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כי התביעה מבקשת את העונש הראוי לשיטתה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ללא קשר להסדר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במצב כזה יש יותר מקום לכך שבית המשפט ישקול את העונש הראוי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ועדיין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ההסדר הוא הסדר בעל משקל לעניין העונש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הקושי המצוי בהקשר זה הוא העדר תקשורת בין התביעה לבית המשפט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המדינה לא הסבירה את הנימוק לתקופה שביקשה במקרנו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מה הנחה את התביעה בעתירתה לעונש</w:t>
      </w:r>
      <w:r>
        <w:rPr>
          <w:rFonts w:cs="FrankRuehl" w:ascii="FrankRuehl" w:hAnsi="FrankRuehl"/>
          <w:sz w:val="28"/>
          <w:rtl w:val="true"/>
        </w:rPr>
        <w:t xml:space="preserve">? </w:t>
      </w:r>
      <w:r>
        <w:rPr>
          <w:rFonts w:ascii="FrankRuehl" w:hAnsi="FrankRuehl"/>
          <w:sz w:val="28"/>
          <w:sz w:val="28"/>
          <w:rtl w:val="true"/>
        </w:rPr>
        <w:t>האם היא הציגה את העונש הראוי לשיטתה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או שמא ניתן משקל לשיקול מרכזי אחר</w:t>
      </w:r>
      <w:r>
        <w:rPr>
          <w:rFonts w:cs="FrankRuehl" w:ascii="FrankRuehl" w:hAnsi="FrankRuehl"/>
          <w:sz w:val="28"/>
          <w:rtl w:val="true"/>
        </w:rPr>
        <w:t xml:space="preserve">?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rtl w:val="true"/>
        </w:rPr>
        <w:t xml:space="preserve">          </w:t>
      </w: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על סמך האמור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נכון לקבוע נוהל למקרים שבהם התביעה מציגה את העונש בעקבות הסדר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מתפקידה להסביר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ולו בתמצית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מה היו שיקוליה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האם העונש לו טענה אינו אלא העונש הראוי מבחינת המעשה והעושה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גם אם מדובר בהסדר טיעון או הסדר טווח</w:t>
      </w:r>
      <w:r>
        <w:rPr>
          <w:rFonts w:cs="FrankRuehl" w:ascii="FrankRuehl" w:hAnsi="FrankRuehl"/>
          <w:sz w:val="28"/>
          <w:rtl w:val="true"/>
        </w:rPr>
        <w:t xml:space="preserve">? </w:t>
      </w:r>
      <w:r>
        <w:rPr>
          <w:rFonts w:ascii="FrankRuehl" w:hAnsi="FrankRuehl"/>
          <w:sz w:val="28"/>
          <w:sz w:val="28"/>
          <w:rtl w:val="true"/>
        </w:rPr>
        <w:t>מסירת מידע כזה תסייע לבית המשפט להבין את טיב ההסדר ואת נימוקיו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ככל שמדובר בענישה שאינה מתאימה בהכרח לעונש הראוי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תיטיב התביעה לנמק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גם בקיצור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את טעמיה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באופן זה בית המשפט יתן את המשקל הראוי להסדר ולמידה שבה עליו לתת דעתו למתחם העונש הראוי ולתיקון </w:t>
      </w:r>
      <w:r>
        <w:rPr>
          <w:rFonts w:cs="FrankRuehl" w:ascii="FrankRuehl" w:hAnsi="FrankRuehl"/>
          <w:sz w:val="28"/>
        </w:rPr>
        <w:t>113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11"/>
        <w:numPr>
          <w:ilvl w:val="0"/>
          <w:numId w:val="1"/>
        </w:numPr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אשר למקרה הקונקרטי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הסנגור טען בהגינותו כי ההסדר כולל טיעונים של התביעה לעונש הראוי בעיניה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בהמשך טען בצורה מלאה והציג את עמדתו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כשהמסגרת ברורה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אפשר לחזור לשאלה שמתעוררת בערעור – האם עונש המאסר בפועל חמור מדי</w:t>
      </w:r>
      <w:r>
        <w:rPr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  <w:t xml:space="preserve">           </w:t>
      </w:r>
      <w:r>
        <w:rPr>
          <w:rFonts w:ascii="FrankRuehl" w:hAnsi="FrankRuehl"/>
          <w:sz w:val="28"/>
          <w:sz w:val="28"/>
          <w:rtl w:val="true"/>
        </w:rPr>
        <w:t>בהינתן העובדות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לרבות ייבוא סמים מחוץ לארץ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סוג הסמים – </w:t>
      </w:r>
      <w:r>
        <w:rPr>
          <w:rFonts w:cs="FrankRuehl" w:ascii="FrankRuehl" w:hAnsi="FrankRuehl"/>
          <w:sz w:val="28"/>
        </w:rPr>
        <w:t>MDMA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 xml:space="preserve">– </w:t>
      </w:r>
      <w:r>
        <w:rPr>
          <w:rFonts w:ascii="FrankRuehl" w:hAnsi="FrankRuehl"/>
          <w:sz w:val="28"/>
          <w:sz w:val="28"/>
          <w:rtl w:val="true"/>
        </w:rPr>
        <w:t>וכמות של כ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25,000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טבליות במשקל כולל של עשרה קילוגרמים – יש לתת ביטוי לערך המוגן של ניהול מלחמה עיקשת נגד השימוש בסמים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על הנזק שנגרם עקב כך לכל שכבות החברה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צוין כי המערער נעדר הרשעות קודמות והודה במעשיו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שירות המבחן הביע את העמדה לפיה המערער אינו מאופיין בדפוסי התנהגות עבריינית מושרשים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להשלמת התמונה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קצינת המבחן הסבירה כי המערער לא מיצה את האפשרויות הטיפוליות שעומדות לפניו במסגרת מאסרו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אם כי צוין שיתכן שהוא החל להשתלב בטיפול בתקופה האחרונה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בגדר תחילת דרך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כך או 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בנסיבות המעשה והעושה העונש של </w:t>
      </w:r>
      <w:r>
        <w:rPr>
          <w:rFonts w:cs="FrankRuehl" w:ascii="FrankRuehl" w:hAnsi="FrankRuehl"/>
          <w:sz w:val="28"/>
        </w:rPr>
        <w:t>60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שאותו ביקשה התביעה בערכאה קמא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אף אם הוא עונש ראוי – איננו מחמיר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ושוב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יש לשקול גם כי מדובר בהסדר טיעון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על רקע זה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בית המשפט מצא לנכון לגזור על המערער </w:t>
      </w:r>
      <w:r>
        <w:rPr>
          <w:rFonts w:cs="FrankRuehl" w:ascii="FrankRuehl" w:hAnsi="FrankRuehl"/>
          <w:sz w:val="28"/>
        </w:rPr>
        <w:t>54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חודשים במקום </w:t>
      </w:r>
      <w:r>
        <w:rPr>
          <w:rFonts w:cs="FrankRuehl" w:ascii="FrankRuehl" w:hAnsi="FrankRuehl"/>
          <w:sz w:val="28"/>
        </w:rPr>
        <w:t>60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גם אם ניתן היה לגזור עונש מעט קל יותר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לא מדובר בטעות המצדיקה את התערבותנו בערעור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11"/>
        <w:numPr>
          <w:ilvl w:val="0"/>
          <w:numId w:val="1"/>
        </w:numPr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הערעור נדחה</w:t>
      </w:r>
      <w:r>
        <w:rPr>
          <w:sz w:val="28"/>
          <w:szCs w:val="28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ניתן היום</w:t>
      </w:r>
      <w:r>
        <w:rPr>
          <w:rFonts w:cs="FrankRuehl" w:ascii="FrankRuehl" w:hAnsi="FrankRuehl"/>
          <w:sz w:val="28"/>
          <w:rtl w:val="true"/>
        </w:rPr>
        <w:t>, ‏</w:t>
      </w:r>
      <w:r>
        <w:rPr>
          <w:rFonts w:ascii="FrankRuehl" w:hAnsi="FrankRuehl"/>
          <w:sz w:val="28"/>
          <w:sz w:val="28"/>
          <w:rtl w:val="true"/>
        </w:rPr>
        <w:t>ח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ascii="FrankRuehl" w:hAnsi="FrankRuehl"/>
          <w:sz w:val="28"/>
          <w:sz w:val="28"/>
          <w:rtl w:val="true"/>
        </w:rPr>
        <w:t>בסיון התש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ף </w:t>
      </w:r>
      <w:r>
        <w:rPr>
          <w:rFonts w:cs="FrankRuehl" w:ascii="FrankRuehl" w:hAnsi="FrankRuehl"/>
          <w:sz w:val="28"/>
          <w:rtl w:val="true"/>
        </w:rPr>
        <w:t>(‏</w:t>
      </w:r>
      <w:r>
        <w:rPr>
          <w:rFonts w:cs="FrankRuehl" w:ascii="FrankRuehl" w:hAnsi="FrankRuehl"/>
          <w:sz w:val="28"/>
        </w:rPr>
        <w:t>31.5.2020</w:t>
      </w:r>
      <w:r>
        <w:rPr>
          <w:rFonts w:cs="FrankRuehl" w:ascii="FrankRuehl" w:hAnsi="FrankRuehl"/>
          <w:sz w:val="28"/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19019010</w:t>
      </w:r>
      <w:r>
        <w:rPr>
          <w:sz w:val="16"/>
          <w:rtl w:val="true"/>
        </w:rPr>
        <w:t>_</w:t>
      </w:r>
      <w:r>
        <w:rPr>
          <w:sz w:val="16"/>
        </w:rPr>
        <w:t>Z01.docx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54678313-1901/19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1901/19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שמעון אסולין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49"/>
        </w:tabs>
        <w:ind w:start="1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i w:val="false"/>
        <w:shadow w:val="false"/>
        <w:u w:val="none"/>
        <w:b w:val="false"/>
        <w:kern w:val="0"/>
        <w:iCs w:val="false"/>
        <w:bCs w:val="false"/>
        <w:em w:val="none"/>
        <w:vanish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kern w:val="0"/>
      <w:position w:val="0"/>
      <w:sz w:val="24"/>
      <w:u w:val="non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1">
    <w:name w:val="סגנון1 תו"/>
    <w:qFormat/>
    <w:rPr>
      <w:rFonts w:ascii="FrankRuehl" w:hAnsi="FrankRuehl" w:cs="FrankRuehl"/>
      <w:spacing w:val="10"/>
    </w:rPr>
  </w:style>
  <w:style w:type="character" w:styleId="Ruller4">
    <w:name w:val="Ruller4 תו"/>
    <w:qFormat/>
    <w:rPr>
      <w:rFonts w:ascii="Arial TUR;Arial Unicode MS" w:hAnsi="Arial TUR;Arial Unicode MS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 Unicode MS" w:hAnsi="Arial TUR;Arial Unicode MS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11">
    <w:name w:val="סגנון1"/>
    <w:basedOn w:val="Normal"/>
    <w:qFormat/>
    <w:pPr>
      <w:numPr>
        <w:ilvl w:val="0"/>
        <w:numId w:val="1"/>
      </w:numPr>
      <w:spacing w:lineRule="auto" w:line="360"/>
      <w:ind w:hanging="0" w:start="0" w:end="0"/>
      <w:jc w:val="both"/>
      <w:textAlignment w:val="auto"/>
    </w:pPr>
    <w:rPr>
      <w:rFonts w:ascii="FrankRuehl" w:hAnsi="FrankRuehl" w:cs="FrankRuehl"/>
      <w:spacing w:val="10"/>
      <w:szCs w:val="20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60295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supreme.court.gov.il/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2020-06-02T07:51:00Z</dcterms:created>
  <dc:creator>h4</dc:creator>
  <dc:description/>
  <cp:keywords/>
  <dc:language>en-IL</dc:language>
  <cp:lastModifiedBy>orly</cp:lastModifiedBy>
  <cp:lastPrinted>2020-05-31T09:06:00Z</cp:lastPrinted>
  <dcterms:modified xsi:type="dcterms:W3CDTF">2020-06-02T07:51:00Z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שמעון אסולין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23602959</vt:lpwstr>
  </property>
  <property fmtid="{D5CDD505-2E9C-101B-9397-08002B2CF9AE}" pid="9" name="CITY">
    <vt:lpwstr/>
  </property>
  <property fmtid="{D5CDD505-2E9C-101B-9397-08002B2CF9AE}" pid="10" name="DATE">
    <vt:lpwstr>20200531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הנדל;נ' סולברג;ד' מינץ</vt:lpwstr>
  </property>
  <property fmtid="{D5CDD505-2E9C-101B-9397-08002B2CF9AE}" pid="14" name="LAWLISTTMP1">
    <vt:lpwstr>70301</vt:lpwstr>
  </property>
  <property fmtid="{D5CDD505-2E9C-101B-9397-08002B2CF9AE}" pid="15" name="LAWYER">
    <vt:lpwstr>אופיר טישלר;ירום הלוי;שירות המבחן למבוגרים עו#ס 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הסדר טיעון</vt:lpwstr>
  </property>
  <property fmtid="{D5CDD505-2E9C-101B-9397-08002B2CF9AE}" pid="49" name="NOSE310">
    <vt:lpwstr/>
  </property>
  <property fmtid="{D5CDD505-2E9C-101B-9397-08002B2CF9AE}" pid="50" name="NOSE32">
    <vt:lpwstr>מתחם הענישה</vt:lpwstr>
  </property>
  <property fmtid="{D5CDD505-2E9C-101B-9397-08002B2CF9AE}" pid="51" name="NOSE33">
    <vt:lpwstr>תיקון 113</vt:lpwstr>
  </property>
  <property fmtid="{D5CDD505-2E9C-101B-9397-08002B2CF9AE}" pid="52" name="NOSE34">
    <vt:lpwstr>התערבות ערכאת הערעור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15822;14985;15240;8978</vt:lpwstr>
  </property>
  <property fmtid="{D5CDD505-2E9C-101B-9397-08002B2CF9AE}" pid="59" name="PADIDATE">
    <vt:lpwstr>20200602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1901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410120200531</vt:lpwstr>
  </property>
  <property fmtid="{D5CDD505-2E9C-101B-9397-08002B2CF9AE}" pid="69" name="TYPE_N_DATE">
    <vt:lpwstr>41020200531</vt:lpwstr>
  </property>
  <property fmtid="{D5CDD505-2E9C-101B-9397-08002B2CF9AE}" pid="70" name="VOLUME">
    <vt:lpwstr/>
  </property>
  <property fmtid="{D5CDD505-2E9C-101B-9397-08002B2CF9AE}" pid="71" name="WORDNUMPAGES">
    <vt:lpwstr>5</vt:lpwstr>
  </property>
</Properties>
</file>