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1925/23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2207/23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2"/>
        <w:gridCol w:w="5102"/>
      </w:tblGrid>
      <w:tr>
        <w:trPr>
          <w:trHeight w:val="287" w:hRule="atLeast"/>
        </w:trPr>
        <w:tc>
          <w:tcPr>
            <w:tcW w:w="3262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0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6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0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6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0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2"/>
        <w:gridCol w:w="5102"/>
      </w:tblGrid>
      <w:tr>
        <w:trPr>
          <w:trHeight w:val="287" w:hRule="atLeast"/>
        </w:trPr>
        <w:tc>
          <w:tcPr>
            <w:tcW w:w="3262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1925/23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0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0"/>
        <w:gridCol w:w="5083"/>
      </w:tblGrid>
      <w:tr>
        <w:trPr/>
        <w:tc>
          <w:tcPr>
            <w:tcW w:w="328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08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2"/>
        <w:gridCol w:w="5102"/>
      </w:tblGrid>
      <w:tr>
        <w:trPr>
          <w:trHeight w:val="287" w:hRule="atLeast"/>
        </w:trPr>
        <w:tc>
          <w:tcPr>
            <w:tcW w:w="3262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1925/23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0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חמזה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הדוואן</w:t>
            </w:r>
          </w:p>
        </w:tc>
      </w:tr>
      <w:tr>
        <w:trPr>
          <w:trHeight w:val="287" w:hRule="atLeast"/>
        </w:trPr>
        <w:tc>
          <w:tcPr>
            <w:tcW w:w="326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2207/23</w:t>
            </w:r>
            <w:r>
              <w:rPr>
                <w:rFonts w:cs="David" w:ascii="David" w:hAnsi="David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המשיבה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2207/23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0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עגלוני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עגלוני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31228-01-22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hyperlink r:id="rId3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64179-01-22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תמר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22.3.2023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9"/>
        <w:gridCol w:w="5094"/>
      </w:tblGrid>
      <w:tr>
        <w:trPr/>
        <w:tc>
          <w:tcPr>
            <w:tcW w:w="3269" w:type="dxa"/>
            <w:tcBorders/>
          </w:tcPr>
          <w:p>
            <w:pPr>
              <w:pStyle w:val="BodyRuller1"/>
              <w:ind w:end="0"/>
              <w:jc w:val="both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1925/23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2207/23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1925/23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1925/23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2207/23</w:t>
            </w:r>
            <w:r>
              <w:rPr>
                <w:rtl w:val="true"/>
              </w:rPr>
              <w:t>:</w:t>
            </w:r>
          </w:p>
        </w:tc>
        <w:tc>
          <w:tcPr>
            <w:tcW w:w="509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מירי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קולומבוס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מאזן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איוב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צמל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152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הפסיקה שבה והדגישה את חומרתן של עבירות שעניינן הכנה ויידוי של בקבוקי תבערה ואבנים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כאשר הן נעשות כחלק מהתפרעות המונים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 כוחות הביטחון ומתוך מניע אידיאולוגי או לאומני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הודגש הצורך לנקוט במדיניות ענישה מרתיעה כלפי עבירות מסוג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גם אם יש מקום לשקול החמרה נוספת ברף הענישה – במובן זה שיינתן ביטוי משמעותי יותר למקרים בהם עבירות כגון דא עולות כדי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לעשות כן באופן הדרגתי ומבוקר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 אבנים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 בקבוקי תבערה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טרור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 על רקע אידיאולוגי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במידת העונש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המשיבים הורשעו בעבירות של התפרעות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מעשה טרור של חבלה בכוונה מחמירה וכן ייצור נשק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 חמזה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ופעולה בנשק למטרת טרור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 יוסף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סמך הודאותיהם במסגרת הסדרי טיעון שלא כללו הסכמות לעניין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חמזה נגזרו </w:t>
      </w:r>
      <w:r>
        <w:rPr>
          <w:rFonts w:cs="Times New Roman" w:ascii="Times New Roman" w:hAnsi="Times New Roman"/>
          <w:spacing w:val="0"/>
          <w:sz w:val="24"/>
          <w:szCs w:val="26"/>
        </w:rPr>
        <w:t>26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בפועל ועל יוסף הושתו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משיגה על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משיג על חומרת 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הערעורים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עמנו כי אין דרכה של ערכאת הערעור להתערב בעונש שגזרה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במקרים חריגים שבהם נפלה טעות מהותית בפסק הדין או כאשר העונש חורג באופן קיצוני ממדיניות הענישה הנוהגת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דנן אינו נופל לגדר אותם 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צורך להכביר מילים על אודות חומרת מעשי המשיבים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הפסיקה שבה והדגישה את חומרתן של עבירות שעניינן הכנה ויידוי של בקבוקי תבערה ואבנים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כאשר הן נעשות כחלק מהתפרעות המונים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 כוחות הביטחון ומתוך מניע אידיאולוגי או לאומני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במיוחד כאשר מדובר בעבירות שבוצעו במהלך מבצע שומר החומות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הודגש הצורך לנקוט במדיניות ענישה מרתיעה כלפי עבירות מסוג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לשיטת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עונשם של המשיבים מקל עמם יתר על המידה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בעיקר בשים לב להרשעתם בעבירות שעלו כדי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יובהר כי אין לקבל את טענת חמזה לפיה אין ליתן משקל של ממש להרשעתו במעשי טרור הואיל ואין ראיות ממשיות המעידות כי פעל ממניע לאומני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המשיבים הודו בכתב אישום מתוקן לפיו ביצעו את המיוחס להם מתוך מניע לאומני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אידיאולוגי ובמטרה לעורר פחד או בהלה בציבור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ואין מקום לאפשר לחמזה לנסות ולטשטש זאת כחלק ממעין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מקצה שיפורים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הקלה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  <w:highlight w:val="yellow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עיקר טענות המדינה נעוץ בכך שייחוס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מהווה מעין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נסיבה מחמירה אינהרנטית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המובילה להחמרת הענישה עד כדי כפל העונש הקבוע בגין אותה עבירה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לא יותר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ובנוסף – מכיוון 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רוב מעשי טרור כרוכים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מניה וביה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בקיומו של מניע לאומני או אידיאולוגי – במקרים אלה יש ככלל להעדיף את שיקולי ההרתעה ושמירה על שלום הציבור וביטחונו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פני שיקולים אחרים הקשורים בנסיבות אישיות ושיקולי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כאשר יש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להעניק משקל נכבד מהרגיל לשיקול מסוים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בכך כדי לערער מושכלות יסוד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מלאכת גזירת הדין היא לעולם אינדיבידואלית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מלאכה קשה הדורשת לאזן בין מגוון שיקולים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הפעלת שיקול דעת רחב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הערכאה השיפוטית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במקרים כגון דא נדרש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לגזור את הדין בשים לב לכל השיקולים הרלוונטיים בכל מקרה ומקרה לפי נסיבותיו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נימצא מאיינים את שיקול הדעת הרחב המסור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לפי </w:t>
      </w:r>
      <w:hyperlink r:id="rId14"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>סימן א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  <w:rtl w:val="true"/>
          </w:rPr>
          <w:t>'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</w:rPr>
          <w:t>1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מעיון בגזר הדין עולה כי כך עשה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שציין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מהסוג הנדון קיים מנעד רחב של עונשים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לטיב המעשה ולנסיבותיו האישיות של העושה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כשהמגמה בשנים האחרונות היא לעבר החמרה בענישה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העונשים שהוטלו על המשיבים הם על הצד הנמוך ביחס לעבירות בהן הורשעו ולנסיבות ביצוען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אילו היה נדרש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כאן בעצמו לגזור את דינם מלכתחילה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ייתכן שהיה משית עונשים חמורים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יש בעונשים שהושתו עליהם משום סטייה קיצונית מרמת הענישה הנוהגת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שמצדיק את התערבות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ולראיה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נדמה שגם המדינה בעצמה התקשתה לבסס טענתה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 בפסיקה מתאימה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הובאו מספר מקרים בהם הושתו עונשים חמורים משמעותית בגין מעשים ועבירות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מדובר במקרים שונים מאוד מהמקרה דנן בנסיבותיהם ובחומרתם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הפנתה גם לעניינו של נג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שגם לקח חלק באירועים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עליו הושתו </w:t>
      </w:r>
      <w:r>
        <w:rPr>
          <w:rFonts w:cs="Times New Roman" w:ascii="Times New Roman" w:hAnsi="Times New Roman"/>
          <w:spacing w:val="0"/>
          <w:sz w:val="24"/>
          <w:szCs w:val="26"/>
        </w:rPr>
        <w:t>36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וטענה כי המדובר בפער ניכר ברמת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עמד על ההבחנות שבין המקרים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טעמיו מקובלים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ישנם מקרים אחרים לא מעטים – לרבות מקרים שהתרחשו במהלך שומר החומות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וכאלה שכללו עבירות שעלו לכדי מעשה טרור – שמהם ניתן ללמוד כי אין המדובר בסטייה כה ניכרת מרמת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בשים לב לנסיבות המקרה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ובפרט כאשר מדובר באירוע בודד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עניינם של המשיבים בא לפתח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שנה לאחר עניין אבו זינה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וחלוף הזמן מאפשר הסתכלות נוספת על מדיניות הענישה בעבירות מן הסוג שבנדון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התלבט אפוא אם אין מקום להיעתר לערעור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גם אם יש מקום לשקול החמרה נוספת ברף הענישה אשר נקבע בפסיקתנו מן העת האחרונה – במובן זה שיינתן ביטוי משמעותי יותר למקרים בהם עבירות כגון דא עולות כדי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לעשות כן באופן הדרגתי ומבוקר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זהו המקרה המתאים לעשות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29.1.2023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בעניינם של המשיבים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1925/23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המשיבים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ניתן בשני תיקים מאוחדים</w:t>
      </w:r>
      <w:r>
        <w:rPr>
          <w:rFonts w:cs="Century" w:ascii="Century" w:hAnsi="Century"/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31228-01-22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בעניינו של המשיב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חמזה</w:t>
      </w:r>
      <w:r>
        <w:rPr>
          <w:rFonts w:cs="Century" w:ascii="Century" w:hAnsi="Century"/>
          <w:rtl w:val="true"/>
        </w:rPr>
        <w:t xml:space="preserve">), </w:t>
      </w:r>
      <w:r>
        <w:rPr>
          <w:rtl w:val="true"/>
        </w:rPr>
        <w:t>ו</w:t>
      </w:r>
      <w:hyperlink r:id="rId1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64179-01-22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בעניינו של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2207/23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ובגדרו הושתו על המשיבים </w:t>
      </w:r>
      <w:r>
        <w:rPr/>
        <w:t>26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לריצוי </w:t>
      </w:r>
      <w:r>
        <w:rPr>
          <w:rtl w:val="true"/>
        </w:rPr>
        <w:t>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מאסרים על תנאי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משיגה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ויוסף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מעשה טרור של חבלה בכוונה מחמירה לפי </w:t>
      </w:r>
      <w:hyperlink r:id="rId1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329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ביחד עם </w:t>
      </w:r>
      <w:hyperlink r:id="rId2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המאבק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בטרור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התשע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cs="Century" w:ascii="Century" w:hAnsi="Century"/>
            <w:color w:val="0000FF"/>
            <w:u w:val="single"/>
          </w:rPr>
          <w:t>2016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בטרור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וכן ייצור נשק לפי </w:t>
      </w:r>
      <w:hyperlink r:id="rId2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חמזה בלבד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ופעולה בנשק למטרת טרור לפי </w:t>
      </w:r>
      <w:hyperlink r:id="rId2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המאבק בטרור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יוסף בלבד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מתוקנים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ואלה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המתוקנים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הימים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>".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באותה העת התרחשו ברחבי הארץ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ובירושלים בפרט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מעשי אלימות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הפרות סדר והתפרעויות על רקע לאומני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גזעני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כלפי אוכלוסייה אזרחית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והן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והביטחון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18.5.2021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color w:val="FF0000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האחרים</w:t>
      </w:r>
      <w:r>
        <w:rPr>
          <w:rFonts w:cs="Century" w:ascii="Century" w:hAnsi="Century"/>
          <w:rtl w:val="true"/>
        </w:rPr>
        <w:t xml:space="preserve">)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שועפאט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המחנה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ושם הכינו עשרות בקבוקי תבערה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לגבי יוסף צוין כי הכין שלושה בקבוקי תבערה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ביחד עם אחר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אותו יום התפתחו הפרות סדר משמעותיות נגד כוחות הביטחון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בסמוך למחסום המשטרתי שבכניסה למחנה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המחסום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המשיבים והאחרים עלו לגג של מכולה הסמוכה למחסום כשהם נושאים עמם שישה מבקבוקי התבערה שהכינו מוקדם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להשתתף בהתפרעות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בעודם על גג המכולה הם יידו אבנים ואת בקבוקי התבערה לעבר השוטרים שעמדו מתחת ל</w:t>
      </w:r>
      <w:r>
        <w:rPr>
          <w:rFonts w:ascii="FrankRuehl" w:hAnsi="FrankRuehl"/>
          <w:rtl w:val="true"/>
        </w:rPr>
        <w:t>ְ</w:t>
      </w:r>
      <w:r>
        <w:rPr>
          <w:rFonts w:ascii="Century" w:hAnsi="Century" w:cs="Century"/>
          <w:rtl w:val="true"/>
        </w:rPr>
        <w:t>גג בסמוך למחסום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במרחק של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מטרים מהם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 המשיבים יידו מספר אבנים לעבר השוטרים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ויוסף יידה בקבוק תבערה אחד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שהשוטרים החלו להשתמש באמצעים לפיזור הפגנות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ירדו המשיבים והאחרים מהגג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ומיד לאחר מכן עלו חמזה והאחרים לגג קרוב אחר והמשיכו ליידות משם אבנים לעבר כוחות הביטחון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משהבחינו כי שוטרים הגיעו בסמוך אליהם וכי אחד מהם החל לטפס אל הגג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השליכו חמזה ואחד האחרים חתיכות של אבני שיש לעבר השוטר שעמד מתחתם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אחת מאותן חתיכות אבן פגעה בשוטר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2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וההליכים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אוחדו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ascii="Century" w:hAnsi="Century" w:cs="Century"/>
          <w:rtl w:val="true"/>
        </w:rPr>
        <w:t xml:space="preserve"> יוחסה לו עבירה של ייצור נשק לפי </w:t>
      </w:r>
      <w:hyperlink r:id="rId2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בכתב האישום יוחס לו אישום נוסף בגין אירוע אחר שהתרחש כמה ימים קודם 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במסגרתו השתתף בעימותים עם כוחות הביטחון במחסום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ובתוך כך יידה לעברם אבנים 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לעברם זיקוק שאותו קיבל מאחר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והכל ממרחק של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מטרים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ההליך בעניינו של נג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אר התנהל בפני מותב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הוא הורשע לפי הודאתו בכתב אישום 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ונידון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בפועל לצד עונשים נלווים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31216-01-22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נגאר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19.10.2022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וכן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8167/22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שלטון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 xml:space="preserve">;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;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מהתפרעות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מאורגנת</w:t>
      </w:r>
      <w:r>
        <w:rPr>
          <w:rtl w:val="true"/>
        </w:rPr>
        <w:t xml:space="preserve">;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; </w:t>
      </w:r>
      <w:r>
        <w:rPr>
          <w:rtl w:val="true"/>
        </w:rPr>
        <w:t>ומתוך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שבמעשיהם</w:t>
      </w:r>
      <w:r>
        <w:rPr>
          <w:rtl w:val="true"/>
        </w:rPr>
        <w:t xml:space="preserve">;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מחתיכות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שהשליכו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בשוטר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נפצע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וחתיכות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>.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8-6</w:t>
      </w:r>
      <w:r>
        <w:rPr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/>
        <w:t>7-4.5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הדרגתי</w:t>
      </w:r>
      <w:r>
        <w:rPr>
          <w:rtl w:val="true"/>
        </w:rPr>
        <w:t>".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הנעדרים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צוינו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חמזה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מהתארגנות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והושלכו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ונמשכו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היסחפות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>,</w:t>
      </w:r>
      <w:r>
        <w:rPr>
          <w:color w:val="FF0000"/>
          <w:rtl w:val="true"/>
        </w:rPr>
        <w:t xml:space="preserve"> </w:t>
      </w:r>
      <w:r>
        <w:rPr>
          <w:rtl w:val="true"/>
        </w:rPr>
        <w:t>ולהחמרה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שחומרתם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>.</w:t>
      </w:r>
    </w:p>
    <w:p>
      <w:pPr>
        <w:pStyle w:val="Ruller41"/>
        <w:ind w:firstLine="72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יוסף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",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הייתה</w:t>
      </w:r>
      <w:r>
        <w:rPr>
          <w:rtl w:val="true"/>
        </w:rPr>
        <w:t xml:space="preserve">] </w:t>
      </w:r>
      <w:r>
        <w:rPr>
          <w:rtl w:val="true"/>
        </w:rPr>
        <w:t>מצומצמת</w:t>
      </w:r>
      <w:r>
        <w:rPr>
          <w:rtl w:val="true"/>
        </w:rPr>
        <w:t xml:space="preserve">";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ולאחרים</w:t>
      </w:r>
      <w:r>
        <w:rPr>
          <w:rtl w:val="true"/>
        </w:rPr>
        <w:t xml:space="preserve">, </w:t>
      </w:r>
      <w:r>
        <w:rPr>
          <w:rtl w:val="true"/>
        </w:rPr>
        <w:t>יוסף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המכולה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ארגון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התבטאות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-</w:t>
      </w:r>
      <w:r>
        <w:rPr>
          <w:rtl w:val="true"/>
        </w:rPr>
        <w:t>אידיאולוגי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מיני רבים</w:t>
      </w:r>
      <w:r>
        <w:rPr>
          <w:rFonts w:cs="Century" w:ascii="Century" w:hAnsi="Century"/>
          <w:rtl w:val="true"/>
        </w:rPr>
        <w:t xml:space="preserve">, 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5796/22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21.5.2023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שהניחו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;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ואבנים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מהתפרעות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המונים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;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2201/23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 שם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20.6.2023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ערדאת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 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25.7.2022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ערדאת</w:t>
      </w:r>
      <w:r>
        <w:rPr>
          <w:rtl w:val="true"/>
        </w:rPr>
        <w:t>);</w:t>
      </w:r>
      <w:r>
        <w:rPr>
          <w:rFonts w:cs="Century" w:ascii="Century" w:hAnsi="Century"/>
          <w:rtl w:val="true"/>
        </w:rPr>
        <w:t xml:space="preserve"> 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292/22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29.5.2022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חליל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901/22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 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24.02.2022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2390/17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מרזיק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28.12.2017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מרזיק</w:t>
      </w:r>
      <w:r>
        <w:rPr>
          <w:rFonts w:cs="Century" w:ascii="Century" w:hAnsi="Century"/>
          <w:rtl w:val="true"/>
        </w:rPr>
        <w:t xml:space="preserve">); 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2337/13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קואסמה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16.9.2013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".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-</w:t>
      </w:r>
      <w:r>
        <w:rPr>
          <w:rtl w:val="true"/>
        </w:rPr>
        <w:t>אידיאולוגי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ולטשטש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מקצה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שיפורים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7848/22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אנסארי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2.5.2023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3793/18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3.5.2020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3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3793/18</w:t>
        </w:r>
      </w:hyperlink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שייחוס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אינהרנטית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1466/20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22.7.2020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)) </w:t>
      </w:r>
      <w:r>
        <w:rPr>
          <w:rtl w:val="true"/>
        </w:rPr>
        <w:t>המובילה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2090/22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29.5.2022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4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2090/22</w:t>
        </w:r>
      </w:hyperlink>
      <w:r>
        <w:rPr>
          <w:rtl w:val="true"/>
        </w:rPr>
        <w:t xml:space="preserve">)); </w:t>
      </w:r>
      <w:r>
        <w:rPr>
          <w:rtl w:val="true"/>
        </w:rPr>
        <w:t>ובנוסף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כרוכים</w:t>
      </w:r>
      <w:r>
        <w:rPr>
          <w:rtl w:val="true"/>
        </w:rPr>
        <w:t xml:space="preserve">, </w:t>
      </w:r>
      <w:r>
        <w:rPr>
          <w:rtl w:val="true"/>
        </w:rPr>
        <w:t>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וביה</w:t>
      </w:r>
      <w:r>
        <w:rPr>
          <w:rtl w:val="true"/>
        </w:rPr>
        <w:t xml:space="preserve">, </w:t>
      </w:r>
      <w:r>
        <w:rPr>
          <w:rtl w:val="true"/>
        </w:rPr>
        <w:t>בקיומו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) </w:t>
      </w:r>
      <w:r>
        <w:rPr>
          <w:rFonts w:cs="Times New Roman" w:ascii="Times New Roman" w:hAnsi="Times New Roman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להעדיף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שיקולי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ההרתעה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ושמירה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הציבור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וביטחונו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שיקולים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אחרים הקשורים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אישיות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ושיקולי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8114/22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ראזם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30.1.2023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ראזם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5633/22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ascii="Century" w:hAnsi="Century" w:cs="Century"/>
          <w:rtl w:val="true"/>
        </w:rPr>
        <w:t xml:space="preserve">קאות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28.11.2022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hyperlink r:id="rId4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3793/18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</w:t>
      </w:r>
      <w:r>
        <w:rPr>
          <w:rFonts w:ascii="Century" w:hAnsi="Century" w:cs="Century"/>
          <w:rtl w:val="true"/>
        </w:rPr>
        <w:t>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46-45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מושכלות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: </w:t>
      </w:r>
      <w:r>
        <w:rPr>
          <w:rtl w:val="true"/>
        </w:rPr>
        <w:t>מלאכת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; </w:t>
      </w:r>
      <w:r>
        <w:rPr>
          <w:rtl w:val="true"/>
        </w:rPr>
        <w:t>מלאכה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8653/22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22.6.2023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6132/21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26.3.2019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7006/14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23.3.2015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;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נימצא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1">
        <w:r>
          <w:rPr>
            <w:rStyle w:val="Hyperlink"/>
            <w:rtl w:val="true"/>
          </w:rPr>
          <w:t>סימן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8.9.2017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6861/16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15.2.2017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7517/15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עביד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15.3.2016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עביד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ניקולקין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14-13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28.5.2023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highlight w:val="yellow"/>
        </w:rPr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;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;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; </w:t>
      </w:r>
      <w:r>
        <w:rPr>
          <w:rtl w:val="true"/>
        </w:rPr>
        <w:t>ובהתחשב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>" (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התממש</w:t>
      </w:r>
      <w:r>
        <w:rPr>
          <w:rtl w:val="true"/>
        </w:rPr>
        <w:t xml:space="preserve">");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לעברם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ולהתרשמותו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והבלתי</w:t>
      </w:r>
      <w:r>
        <w:rPr>
          <w:rtl w:val="true"/>
        </w:rPr>
        <w:t>-</w:t>
      </w:r>
      <w:r>
        <w:rPr>
          <w:rtl w:val="true"/>
        </w:rPr>
        <w:t>אמצעית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ואמיתית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, "</w:t>
      </w:r>
      <w:r>
        <w:rPr>
          <w:rFonts w:ascii="FrankRuehl" w:hAnsi="FrankRuehl"/>
          <w:sz w:val="28"/>
          <w:sz w:val="28"/>
          <w:rtl w:val="true"/>
        </w:rPr>
        <w:t>בעבירות מהסוג הנדון בהליך שלפנינו קיים מנעד רחב של עונשים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בהתאם לטיבו של המעשה ולנסיבותיו האישיות של העושה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כשהמגמה בשנים האחרונות היא לעבר החמרה בענישה</w:t>
      </w:r>
      <w:r>
        <w:rPr>
          <w:rFonts w:cs="FrankRuehl" w:ascii="FrankRuehl" w:hAnsi="FrankRuehl"/>
          <w:sz w:val="28"/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מרזיק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;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5300/16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נגאר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8.1.2017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5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5300/16</w:t>
        </w:r>
      </w:hyperlink>
      <w:r>
        <w:rPr>
          <w:rtl w:val="true"/>
        </w:rPr>
        <w:t xml:space="preserve">); </w:t>
      </w:r>
      <w:r>
        <w:rPr>
          <w:rtl w:val="true"/>
        </w:rPr>
        <w:t>ו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החמרת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12-11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ראזם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19-18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אכחד</w:t>
      </w:r>
      <w:r>
        <w:rPr>
          <w:rtl w:val="true"/>
        </w:rPr>
        <w:t xml:space="preserve">;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קיצונית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טענתה</w:t>
      </w:r>
      <w:r>
        <w:rPr>
          <w:rtl w:val="true"/>
        </w:rPr>
        <w:t>-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ובחומרתם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26.10.2017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hyperlink r:id="rId6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5300/16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הואשמו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31.7.2016</w:t>
      </w:r>
      <w:r>
        <w:rPr>
          <w:rtl w:val="true"/>
        </w:rPr>
        <w:t xml:space="preserve">)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שחומרתם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התפרעויות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שלצדה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פרחאן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25.5.2015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tl w:val="true"/>
        </w:rPr>
        <w:t xml:space="preserve">: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;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; </w:t>
      </w:r>
      <w:r>
        <w:rPr>
          <w:rtl w:val="true"/>
        </w:rPr>
        <w:t>ואחד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מבקבוקי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שלבש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הפעלת מאסר מותנה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19.3.2020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הוחמר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>יה</w:t>
      </w:r>
      <w:r>
        <w:rPr>
          <w:rtl w:val="true"/>
        </w:rPr>
        <w:t>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).</w:t>
      </w:r>
      <w:r>
        <w:rPr>
          <w:color w:val="FF0000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Fonts w:eastAsia="Arial TUR" w:cs="Arial TUR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; </w:t>
      </w:r>
      <w:r>
        <w:rPr>
          <w:rtl w:val="true"/>
        </w:rPr>
        <w:t>טעמיו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בעיקרם</w:t>
      </w:r>
      <w:r>
        <w:rPr>
          <w:rtl w:val="true"/>
        </w:rPr>
        <w:t xml:space="preserve">, </w:t>
      </w:r>
      <w:r>
        <w:rPr>
          <w:rtl w:val="true"/>
        </w:rPr>
        <w:t>ואיני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ישנם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 xml:space="preserve">, </w:t>
      </w:r>
      <w:r>
        <w:rPr>
          <w:rtl w:val="true"/>
        </w:rPr>
        <w:t>וכאלה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חליל</w:t>
      </w:r>
      <w:r>
        <w:rPr>
          <w:rFonts w:cs="Century" w:ascii="Century" w:hAnsi="Century"/>
          <w:rtl w:val="true"/>
        </w:rPr>
        <w:t>;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ראזם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/>
        <w:t>7-6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;</w:t>
      </w:r>
      <w:r>
        <w:rPr>
          <w:color w:val="FF0000"/>
          <w:rtl w:val="true"/>
        </w:rPr>
        <w:t xml:space="preserve"> </w:t>
      </w:r>
      <w:hyperlink r:id="rId6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2090/22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;</w:t>
        </w:r>
      </w:hyperlink>
      <w:r>
        <w:rPr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1806/17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דארי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29.5.2017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21.4.2016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עביד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6600/15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13.3.2016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קואסמה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16.9.2013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ול</w:t>
      </w:r>
      <w:hyperlink r:id="rId6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258/17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סלאח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10.8.2017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27.7.2022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זינה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ולחומר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אי</w:t>
      </w:r>
      <w:r>
        <w:rPr>
          <w:rtl w:val="true"/>
        </w:rPr>
        <w:t>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; </w:t>
      </w:r>
      <w:r>
        <w:rPr>
          <w:color w:val="000000"/>
          <w:rtl w:val="true"/>
        </w:rPr>
        <w:t>בהתחשב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המעשה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והעושה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ובשים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לב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לעקרון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ולפיו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ערכאת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הערעור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אינה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ממצה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color w:val="000000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הנוהגת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זינה</w:t>
      </w:r>
      <w:r>
        <w:rPr>
          <w:rtl w:val="true"/>
        </w:rPr>
        <w:t xml:space="preserve">, </w:t>
      </w:r>
      <w:r>
        <w:rPr>
          <w:rtl w:val="true"/>
        </w:rPr>
        <w:t>וחלוף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הסתכלות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התלבטנו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" </w:t>
      </w:r>
      <w:r>
        <w:rPr>
          <w:rFonts w:cs="Times New Roman" w:ascii="Times New Roman" w:hAnsi="Times New Roman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הדרגתי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1382/19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22.1.2020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ומכל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ודינו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בשולי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חמזה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שיוסף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לחמזה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].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המוכרות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16" w:name="Start_Write"/>
            <w:bookmarkStart w:id="17" w:name="Start_Write"/>
            <w:bookmarkEnd w:id="17"/>
          </w:p>
        </w:tc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ד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מינץ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eastAsia="Arial TUR" w:cs="Arial TUR"/>
          <w:sz w:val="22"/>
        </w:rPr>
      </w:pPr>
      <w:r>
        <w:rPr>
          <w:rFonts w:eastAsia="Arial TUR" w:cs="Arial TUR" w:ascii="Arial TUR" w:hAnsi="Arial TUR"/>
          <w:sz w:val="22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ח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כבוב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eastAsia="Arial TUR" w:cs="Arial TUR" w:ascii="Arial TUR" w:hAnsi="Arial TUR"/>
          <w:sz w:val="22"/>
          <w:rtl w:val="true"/>
        </w:rPr>
        <w:t xml:space="preserve"> 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bookmarkStart w:id="18" w:name="Nitan"/>
      <w:r>
        <w:rPr>
          <w:rFonts w:eastAsia="Arial TUR" w:cs="Arial TUR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 ‏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(‏</w:t>
      </w:r>
      <w:r>
        <w:rPr>
          <w:rFonts w:cs="FrankRuehl" w:ascii="Arial TUR" w:hAnsi="Arial TUR"/>
          <w:spacing w:val="10"/>
          <w:sz w:val="22"/>
          <w:szCs w:val="28"/>
        </w:rPr>
        <w:t>7.8.2023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bookmarkEnd w:id="18"/>
    </w:p>
    <w:p>
      <w:pPr>
        <w:pStyle w:val="Ruller41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23019250</w:t>
      </w:r>
      <w:r>
        <w:rPr>
          <w:sz w:val="16"/>
          <w:rtl w:val="true"/>
        </w:rPr>
        <w:t>_</w:t>
      </w:r>
      <w:r>
        <w:rPr>
          <w:sz w:val="16"/>
        </w:rPr>
        <w:t>E01.docx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54678313-1925/23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4"/>
      <w:footerReference w:type="default" r:id="rId7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1925/23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חמזה אבו הדוואן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246308" TargetMode="External"/><Relationship Id="rId3" Type="http://schemas.openxmlformats.org/officeDocument/2006/relationships/hyperlink" Target="http://www.nevo.co.il/case/28246308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52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/a1S" TargetMode="External"/><Relationship Id="rId9" Type="http://schemas.openxmlformats.org/officeDocument/2006/relationships/hyperlink" Target="http://www.nevo.co.il/law/141771" TargetMode="External"/><Relationship Id="rId10" Type="http://schemas.openxmlformats.org/officeDocument/2006/relationships/hyperlink" Target="http://www.nevo.co.il/law/141771/2.a" TargetMode="External"/><Relationship Id="rId11" Type="http://schemas.openxmlformats.org/officeDocument/2006/relationships/hyperlink" Target="http://www.nevo.co.il/law/141771/30.a" TargetMode="External"/><Relationship Id="rId12" Type="http://schemas.openxmlformats.org/officeDocument/2006/relationships/hyperlink" Target="http://www.nevo.co.il/law/141771/37" TargetMode="External"/><Relationship Id="rId13" Type="http://schemas.openxmlformats.org/officeDocument/2006/relationships/hyperlink" Target="http://www.nevo.co.il/law/141771/37.a" TargetMode="External"/><Relationship Id="rId14" Type="http://schemas.openxmlformats.org/officeDocument/2006/relationships/hyperlink" Target="http://www.nevo.co.il/law/70301/a1S" TargetMode="External"/><Relationship Id="rId15" Type="http://schemas.openxmlformats.org/officeDocument/2006/relationships/hyperlink" Target="http://www.nevo.co.il/case/28246308" TargetMode="External"/><Relationship Id="rId16" Type="http://schemas.openxmlformats.org/officeDocument/2006/relationships/hyperlink" Target="http://www.nevo.co.il/case/28246308" TargetMode="External"/><Relationship Id="rId17" Type="http://schemas.openxmlformats.org/officeDocument/2006/relationships/hyperlink" Target="http://www.nevo.co.il/law/70301/15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29.a.2" TargetMode="External"/><Relationship Id="rId20" Type="http://schemas.openxmlformats.org/officeDocument/2006/relationships/hyperlink" Target="http://www.nevo.co.il/law/141771/37" TargetMode="External"/><Relationship Id="rId21" Type="http://schemas.openxmlformats.org/officeDocument/2006/relationships/hyperlink" Target="http://www.nevo.co.il/law/141771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141771/30.a" TargetMode="External"/><Relationship Id="rId24" Type="http://schemas.openxmlformats.org/officeDocument/2006/relationships/hyperlink" Target="http://www.nevo.co.il/law/70301/144.b2" TargetMode="External"/><Relationship Id="rId25" Type="http://schemas.openxmlformats.org/officeDocument/2006/relationships/hyperlink" Target="http://www.nevo.co.il/case/28246295" TargetMode="External"/><Relationship Id="rId26" Type="http://schemas.openxmlformats.org/officeDocument/2006/relationships/hyperlink" Target="http://www.nevo.co.il/case/29181056" TargetMode="External"/><Relationship Id="rId27" Type="http://schemas.openxmlformats.org/officeDocument/2006/relationships/hyperlink" Target="http://www.nevo.co.il/law/141771/2.a" TargetMode="External"/><Relationship Id="rId28" Type="http://schemas.openxmlformats.org/officeDocument/2006/relationships/hyperlink" Target="http://www.nevo.co.il/law/141771/37" TargetMode="External"/><Relationship Id="rId29" Type="http://schemas.openxmlformats.org/officeDocument/2006/relationships/hyperlink" Target="http://www.nevo.co.il/case/28912789" TargetMode="External"/><Relationship Id="rId30" Type="http://schemas.openxmlformats.org/officeDocument/2006/relationships/hyperlink" Target="http://www.nevo.co.il/case/29490950" TargetMode="External"/><Relationship Id="rId31" Type="http://schemas.openxmlformats.org/officeDocument/2006/relationships/hyperlink" Target="http://www.nevo.co.il/case/28752891" TargetMode="External"/><Relationship Id="rId32" Type="http://schemas.openxmlformats.org/officeDocument/2006/relationships/hyperlink" Target="http://www.nevo.co.il/case/28243256" TargetMode="External"/><Relationship Id="rId33" Type="http://schemas.openxmlformats.org/officeDocument/2006/relationships/hyperlink" Target="http://www.nevo.co.il/case/28296934" TargetMode="External"/><Relationship Id="rId34" Type="http://schemas.openxmlformats.org/officeDocument/2006/relationships/hyperlink" Target="http://www.nevo.co.il/case/22401477" TargetMode="External"/><Relationship Id="rId35" Type="http://schemas.openxmlformats.org/officeDocument/2006/relationships/hyperlink" Target="http://www.nevo.co.il/case/6859579" TargetMode="External"/><Relationship Id="rId36" Type="http://schemas.openxmlformats.org/officeDocument/2006/relationships/hyperlink" Target="http://www.nevo.co.il/case/29145070" TargetMode="External"/><Relationship Id="rId37" Type="http://schemas.openxmlformats.org/officeDocument/2006/relationships/hyperlink" Target="http://www.nevo.co.il/case/24263086" TargetMode="External"/><Relationship Id="rId38" Type="http://schemas.openxmlformats.org/officeDocument/2006/relationships/hyperlink" Target="http://www.nevo.co.il/case/24263086" TargetMode="External"/><Relationship Id="rId39" Type="http://schemas.openxmlformats.org/officeDocument/2006/relationships/hyperlink" Target="http://www.nevo.co.il/case/26489415" TargetMode="External"/><Relationship Id="rId40" Type="http://schemas.openxmlformats.org/officeDocument/2006/relationships/hyperlink" Target="http://www.nevo.co.il/law/141771/37.a" TargetMode="External"/><Relationship Id="rId41" Type="http://schemas.openxmlformats.org/officeDocument/2006/relationships/hyperlink" Target="http://www.nevo.co.il/case/28429424" TargetMode="External"/><Relationship Id="rId42" Type="http://schemas.openxmlformats.org/officeDocument/2006/relationships/hyperlink" Target="http://www.nevo.co.il/case/28429424" TargetMode="External"/><Relationship Id="rId43" Type="http://schemas.openxmlformats.org/officeDocument/2006/relationships/hyperlink" Target="http://www.nevo.co.il/law/141771/2.a" TargetMode="External"/><Relationship Id="rId44" Type="http://schemas.openxmlformats.org/officeDocument/2006/relationships/hyperlink" Target="http://www.nevo.co.il/case/29173557" TargetMode="External"/><Relationship Id="rId45" Type="http://schemas.openxmlformats.org/officeDocument/2006/relationships/hyperlink" Target="http://www.nevo.co.il/case/28889052" TargetMode="External"/><Relationship Id="rId46" Type="http://schemas.openxmlformats.org/officeDocument/2006/relationships/hyperlink" Target="http://www.nevo.co.il/case/24263086" TargetMode="External"/><Relationship Id="rId47" Type="http://schemas.openxmlformats.org/officeDocument/2006/relationships/hyperlink" Target="http://www.nevo.co.il/case/29223917" TargetMode="External"/><Relationship Id="rId48" Type="http://schemas.openxmlformats.org/officeDocument/2006/relationships/hyperlink" Target="http://www.nevo.co.il/case/27922116" TargetMode="External"/><Relationship Id="rId49" Type="http://schemas.openxmlformats.org/officeDocument/2006/relationships/hyperlink" Target="http://www.nevo.co.il/case/22849834" TargetMode="External"/><Relationship Id="rId50" Type="http://schemas.openxmlformats.org/officeDocument/2006/relationships/hyperlink" Target="http://www.nevo.co.il/case/18107456" TargetMode="External"/><Relationship Id="rId51" Type="http://schemas.openxmlformats.org/officeDocument/2006/relationships/hyperlink" Target="http://www.nevo.co.il/law/70301/a1S" TargetMode="External"/><Relationship Id="rId52" Type="http://schemas.openxmlformats.org/officeDocument/2006/relationships/hyperlink" Target="http://www.nevo.co.il/case/21474587" TargetMode="External"/><Relationship Id="rId53" Type="http://schemas.openxmlformats.org/officeDocument/2006/relationships/hyperlink" Target="http://www.nevo.co.il/case/22303556" TargetMode="External"/><Relationship Id="rId54" Type="http://schemas.openxmlformats.org/officeDocument/2006/relationships/hyperlink" Target="http://www.nevo.co.il/case/20888243" TargetMode="External"/><Relationship Id="rId55" Type="http://schemas.openxmlformats.org/officeDocument/2006/relationships/hyperlink" Target="http://www.nevo.co.il/case/28358114" TargetMode="External"/><Relationship Id="rId56" Type="http://schemas.openxmlformats.org/officeDocument/2006/relationships/hyperlink" Target="http://www.nevo.co.il/case/21474168" TargetMode="External"/><Relationship Id="rId57" Type="http://schemas.openxmlformats.org/officeDocument/2006/relationships/hyperlink" Target="http://www.nevo.co.il/case/21476010" TargetMode="External"/><Relationship Id="rId58" Type="http://schemas.openxmlformats.org/officeDocument/2006/relationships/hyperlink" Target="http://www.nevo.co.il/case/21476010" TargetMode="External"/><Relationship Id="rId59" Type="http://schemas.openxmlformats.org/officeDocument/2006/relationships/hyperlink" Target="http://www.nevo.co.il/case/21771420" TargetMode="External"/><Relationship Id="rId60" Type="http://schemas.openxmlformats.org/officeDocument/2006/relationships/hyperlink" Target="http://www.nevo.co.il/case/21476010" TargetMode="External"/><Relationship Id="rId61" Type="http://schemas.openxmlformats.org/officeDocument/2006/relationships/hyperlink" Target="http://www.nevo.co.il/case/21474812" TargetMode="External"/><Relationship Id="rId62" Type="http://schemas.openxmlformats.org/officeDocument/2006/relationships/hyperlink" Target="http://www.nevo.co.il/case/13104258" TargetMode="External"/><Relationship Id="rId63" Type="http://schemas.openxmlformats.org/officeDocument/2006/relationships/hyperlink" Target="http://www.nevo.co.il/case/26489414" TargetMode="External"/><Relationship Id="rId64" Type="http://schemas.openxmlformats.org/officeDocument/2006/relationships/hyperlink" Target="http://www.nevo.co.il/case/28429424" TargetMode="External"/><Relationship Id="rId65" Type="http://schemas.openxmlformats.org/officeDocument/2006/relationships/hyperlink" Target="http://www.nevo.co.il/case/22275567" TargetMode="External"/><Relationship Id="rId66" Type="http://schemas.openxmlformats.org/officeDocument/2006/relationships/hyperlink" Target="http://www.nevo.co.il/case/21472291" TargetMode="External"/><Relationship Id="rId67" Type="http://schemas.openxmlformats.org/officeDocument/2006/relationships/hyperlink" Target="http://www.nevo.co.il/case/20625423" TargetMode="External"/><Relationship Id="rId68" Type="http://schemas.openxmlformats.org/officeDocument/2006/relationships/hyperlink" Target="http://www.nevo.co.il/case/6859579" TargetMode="External"/><Relationship Id="rId69" Type="http://schemas.openxmlformats.org/officeDocument/2006/relationships/hyperlink" Target="http://www.nevo.co.il/case/22303605" TargetMode="External"/><Relationship Id="rId70" Type="http://schemas.openxmlformats.org/officeDocument/2006/relationships/hyperlink" Target="http://www.nevo.co.il/case/28217264" TargetMode="External"/><Relationship Id="rId71" Type="http://schemas.openxmlformats.org/officeDocument/2006/relationships/hyperlink" Target="http://www.nevo.co.il/case/25475821" TargetMode="External"/><Relationship Id="rId72" Type="http://schemas.openxmlformats.org/officeDocument/2006/relationships/hyperlink" Target="https://supreme.court.gov.il/" TargetMode="External"/><Relationship Id="rId73" Type="http://schemas.openxmlformats.org/officeDocument/2006/relationships/hyperlink" Target="http://www.nevo.co.il/advertisements/nevo-100.doc" TargetMode="External"/><Relationship Id="rId74" Type="http://schemas.openxmlformats.org/officeDocument/2006/relationships/header" Target="header1.xml"/><Relationship Id="rId75" Type="http://schemas.openxmlformats.org/officeDocument/2006/relationships/footer" Target="footer1.xml"/><Relationship Id="rId76" Type="http://schemas.openxmlformats.org/officeDocument/2006/relationships/numbering" Target="numbering.xml"/><Relationship Id="rId77" Type="http://schemas.openxmlformats.org/officeDocument/2006/relationships/fontTable" Target="fontTable.xml"/><Relationship Id="rId78" Type="http://schemas.openxmlformats.org/officeDocument/2006/relationships/settings" Target="settings.xml"/><Relationship Id="rId7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2023-08-08T13:42:00Z</dcterms:created>
  <dc:creator>h4</dc:creator>
  <dc:description/>
  <cp:keywords/>
  <dc:language>en-IL</dc:language>
  <cp:lastModifiedBy>h1</cp:lastModifiedBy>
  <cp:lastPrinted>2023-08-07T12:02:00Z</cp:lastPrinted>
  <dcterms:modified xsi:type="dcterms:W3CDTF">2023-08-08T13:42:00Z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חמזה אבו הדוואן;יוסף עגלוני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28246308:4;28246295;29181056;28912789;29490950;28752891;28243256;28296934;22401477;6859579:2;29145070;24263086:3;26489415;28429424:3;29173557;28889052;29223917;27922116;22849834;18107456;21474587;22303556;20888243;28358114;21474168;21476010:3;21771420</vt:lpwstr>
  </property>
  <property fmtid="{D5CDD505-2E9C-101B-9397-08002B2CF9AE}" pid="9" name="CASESLISTTMP2">
    <vt:lpwstr>21474812;13104258;26489414;22275567;21472291;20625423;22303605;28217264;25475821</vt:lpwstr>
  </property>
  <property fmtid="{D5CDD505-2E9C-101B-9397-08002B2CF9AE}" pid="10" name="CITY">
    <vt:lpwstr/>
  </property>
  <property fmtid="{D5CDD505-2E9C-101B-9397-08002B2CF9AE}" pid="11" name="DATE">
    <vt:lpwstr>20230807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עמית;ד' מינץ;ח' כבוב</vt:lpwstr>
  </property>
  <property fmtid="{D5CDD505-2E9C-101B-9397-08002B2CF9AE}" pid="15" name="LAWLISTTMP1">
    <vt:lpwstr>70301/152;329.a.2;144.b2:2;a1S</vt:lpwstr>
  </property>
  <property fmtid="{D5CDD505-2E9C-101B-9397-08002B2CF9AE}" pid="16" name="LAWLISTTMP2">
    <vt:lpwstr>141771/037:2;030.a;002.a:2;037.a</vt:lpwstr>
  </property>
  <property fmtid="{D5CDD505-2E9C-101B-9397-08002B2CF9AE}" pid="17" name="LAWYER">
    <vt:lpwstr>מירי קולומבוס;מאזן איוב;לאה צמל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דיון פלילי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77;77;77;77;18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ערעור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1446;1446;1446;1446;504</vt:lpwstr>
  </property>
  <property fmtid="{D5CDD505-2E9C-101B-9397-08002B2CF9AE}" pid="50" name="NOSE31">
    <vt:lpwstr>מדיניות ענישה: יידוי אבנים</vt:lpwstr>
  </property>
  <property fmtid="{D5CDD505-2E9C-101B-9397-08002B2CF9AE}" pid="51" name="NOSE310">
    <vt:lpwstr/>
  </property>
  <property fmtid="{D5CDD505-2E9C-101B-9397-08002B2CF9AE}" pid="52" name="NOSE32">
    <vt:lpwstr>מדיניות ענישה: יידוי בקבוקי תבערה</vt:lpwstr>
  </property>
  <property fmtid="{D5CDD505-2E9C-101B-9397-08002B2CF9AE}" pid="53" name="NOSE33">
    <vt:lpwstr>מדיניות ענישה: מעשה טרור</vt:lpwstr>
  </property>
  <property fmtid="{D5CDD505-2E9C-101B-9397-08002B2CF9AE}" pid="54" name="NOSE34">
    <vt:lpwstr>מדיניות ענישה: עבירות אלימות על רקע אידיאולוגי</vt:lpwstr>
  </property>
  <property fmtid="{D5CDD505-2E9C-101B-9397-08002B2CF9AE}" pid="55" name="NOSE35">
    <vt:lpwstr>אי-התערבות במידת העונש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16102;15301;18497;17645;17039</vt:lpwstr>
  </property>
  <property fmtid="{D5CDD505-2E9C-101B-9397-08002B2CF9AE}" pid="61" name="PADIDATE">
    <vt:lpwstr>20230808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1925;2207</vt:lpwstr>
  </property>
  <property fmtid="{D5CDD505-2E9C-101B-9397-08002B2CF9AE}" pid="67" name="PROCYEAR">
    <vt:lpwstr>23;23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410120230807</vt:lpwstr>
  </property>
  <property fmtid="{D5CDD505-2E9C-101B-9397-08002B2CF9AE}" pid="71" name="TYPE_N_DATE">
    <vt:lpwstr>41020230807</vt:lpwstr>
  </property>
  <property fmtid="{D5CDD505-2E9C-101B-9397-08002B2CF9AE}" pid="72" name="VOLUME">
    <vt:lpwstr/>
  </property>
  <property fmtid="{D5CDD505-2E9C-101B-9397-08002B2CF9AE}" pid="73" name="WORDNUMPAGES">
    <vt:lpwstr>12</vt:lpwstr>
  </property>
</Properties>
</file>