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1938/23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Ruller3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יפו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56318-02-22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Fonts w:cs="David"/>
                <w:spacing w:val="0"/>
                <w:szCs w:val="24"/>
                <w:rtl w:val="true"/>
              </w:rPr>
              <w:t>[</w:t>
            </w:r>
            <w:r>
              <w:rPr>
                <w:rFonts w:cs="David"/>
                <w:spacing w:val="0"/>
                <w:szCs w:val="24"/>
                <w:rtl w:val="true"/>
              </w:rPr>
              <w:t>פורסם</w:t>
            </w:r>
            <w:r>
              <w:rPr>
                <w:rFonts w:cs="Times New Roman"/>
                <w:spacing w:val="0"/>
                <w:szCs w:val="24"/>
                <w:rtl w:val="true"/>
              </w:rPr>
              <w:t xml:space="preserve"> </w:t>
            </w:r>
            <w:r>
              <w:rPr>
                <w:rFonts w:cs="David"/>
                <w:spacing w:val="0"/>
                <w:szCs w:val="24"/>
                <w:rtl w:val="true"/>
              </w:rPr>
              <w:t>בנבו</w:t>
            </w:r>
            <w:r>
              <w:rPr>
                <w:rFonts w:cs="David"/>
                <w:spacing w:val="0"/>
                <w:szCs w:val="24"/>
                <w:rtl w:val="true"/>
              </w:rPr>
              <w:t xml:space="preserve">]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8.2.2023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נויטל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והשופטות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חיימוביץ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ביבי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06.12.2023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הסיוע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למגמת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ברפורמה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הועלתה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בתכלית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פרשייה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רצח באדישות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המערער עונש של </w:t>
      </w:r>
      <w:r>
        <w:rPr>
          <w:rFonts w:cs="Times New Roman" w:ascii="Times New Roman" w:hAnsi="Times New Roman"/>
          <w:spacing w:val="0"/>
          <w:szCs w:val="26"/>
        </w:rPr>
        <w:t>18.5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בכלל זה הפעלת עונש מאסר מותנה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נסוב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מתמקד בערעורו בהשוואה לעונש שהושת על 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ערכאת הערעור תיטה שלא להתערב בעונש שהושת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בהם ניכרת חריגה ממשית מרמת הענישה הנוהגת או הראויה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עסקינן במקרה שעניינו קביעת ועיצוב מדיניות הענישה בראי הרפורמה בעבירות ההמתה – מתחם התערבותו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רחב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ששק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שיפוטי רחב חיוני במלאכת גזירת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גם חשיבות רבה לכך ששיקול הדעת השיפוטי הרחב לא יוביל לענישה שונה במקרים דומים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חשש זה קיים ביתר שאת כאשר מדובר בעבירת הרצח הבסיסית – ולו מאחר שעבירה זו נושאת עמה עונש מרבי של מאסר עולם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מכאן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שטווח הענישה בגדרה עלול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בהעדר התוויית מדיניות ענישה סדורה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להיות רחב באופן בלתי רצוי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המקרה דנן אינו נמנה עם המקרים החריגים המצדיקים התערבות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ונדמה כי לכך אף הסכים ב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 המערער אשר שם את יהבו במהלך טיעוניו על פער הענישה שבין המערער לנאשם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;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עבירת הרצח היא מן העבירות החמורות ביותר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ואף לאחר הרפורמה בעבירות ההמתה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עבירת הרצח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שנייה בחומרתה רק לעבירת הרצח בנסיבות מחמירות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מבין השינויים המשמעותיים שחוללה הרפורמה בעבירות ההמתה הוא מיקומו ב</w:t>
      </w:r>
      <w:hyperlink r:id="rId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מעשה המתה שנעשה ביסוד נפשי של אדישות </w:t>
      </w:r>
      <w:r>
        <w:rPr>
          <w:rFonts w:cs="Times New Roman" w:ascii="Times New Roman" w:hAnsi="Times New Roman"/>
          <w:spacing w:val="0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Cs w:val="26"/>
          <w:rtl w:val="true"/>
        </w:rPr>
        <w:t>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וממוקם תחת 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מעשה המתה ביסוד נפשי של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זה ביקש המחוקק לבטא הן מגמת החמרה ערכית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נורמטיבית המגולמת בתיוגו של הממית האדיש – כרוצח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מגמת החמרה בענישה כאשר העונש המרבי בגין מעשה המתה באדישות הוא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למדיניות הענישה שהתעצבה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החמרה ערכית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נורמטיבית ועונשית שמבטאת הרפורמה בעבירת ההמתה ביחס למעשי המתה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לתת ביטוי גם דנן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מסכת האירועים המתוארת בכתב האישום המתוקן חושפת את חומרת המעשה ומחדדת את אכזריות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עובר לאירוע ההמתה המערער נכח במסעדה כשהתגלע ויכוח על מה בכך בין חברו הנאשם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שמע את דברי האיום של חברו כלפי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ומשהמנוח סרב להיעתר לבקשתו להתלוות אליו אל מחוץ למסעדה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הובילו ביחד עם 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ליציאה מהמסעדה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ובהמשך שלף סכין ודקר את המנוח במטרה ברורה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לפגוע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הסתפק בדקירה אחת בחזה בצד שמאל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המשיך לדקור אותו שוב ושוב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דקירות נוספות בחלקים שונים בגופו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כשהוא מודע לאפשרות שכתוצאה מהדקירות יקפד המנוח את חייו תוך שהוא שווה נפש לאפשרות גרימת 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כאשר המנוח נפל על הרצפה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חלף בסמוך אליו מבלי לעשות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חבר לחבריו והתיישב באחד משולחנות המסעדה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המנוח נרצח על לא עוול בכפו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רצח באשר הוא מגלם אובדן חיים בלתי מוצדק ופגיעה במשפחה שלמה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רצח המנוח נושא חומרה יתרה במיוחד מאחר שמדובר בוויכוח סתמי על דבר של מה בכך שהוביל למותו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הצטברות הנסיבות מלמדת ביתר שאת על טיב אדישות המערער לרצח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בעודו מתייחס בשוויון נפש מוחלט לאפשרות שמעשיו יובילו לתוצאה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אדישות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והולמת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המעניקה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והיחיד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במלאכת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החשיבות שבענישה מחמירה ומרתיעה נובעת לא רק מחומרת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מנסיבות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שבא לידי ביטוי בשוּרה של פסקי דין שעניינם עבירות ההמתה לאחר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כשבפרט ביחס לעבירת הרצח באדישות חלה מדיניות ענישה מחמירה – וראו קפוסטין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גריפאת ודישלבסקי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לשלושת מקרים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הוחמר בערעור באופן מדוד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בתחילת יישום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בכלל זה למסגרת העונשית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בהלכה שלפיה ערכאת הערעור אינה ממצה את מלוא חומרת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ואלמלא כן היה נגזר עונש חמור עוד יותר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כללי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הבטחת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פרשייה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שמדרג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פרשייה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להשוואה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באדישות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סגור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אומץ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רוצה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ההקבלה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18.5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המתוקן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יוחסה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יוחסה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בתכלית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פרשייה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והמשפחתיות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בהודאתו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ובלקיחת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חזרתו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למוטב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מאמציו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למוטב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הובילו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שיפוטי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הפושטות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ברחובותינו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ומסכנות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גלומה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מתבצעות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תוקפים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הנישאת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נשלפת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וננעצת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אכפתיות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קורבנו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bookmarkStart w:id="13" w:name="Start_Write"/>
      <w:bookmarkStart w:id="14" w:name="Writer_Name"/>
      <w:bookmarkEnd w:id="13"/>
      <w:bookmarkEnd w:id="14"/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דוד בלאי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 xml:space="preserve">הורשע </w:t>
      </w:r>
      <w:r>
        <w:rPr>
          <w:rFonts w:ascii="Century" w:hAnsi="Century" w:cs="Century"/>
          <w:sz w:val="22"/>
          <w:sz w:val="22"/>
          <w:rtl w:val="true"/>
        </w:rPr>
        <w:t>ברצח באדישות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של משה אלמיהו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); </w:t>
      </w:r>
      <w:r>
        <w:rPr>
          <w:rtl w:val="true"/>
        </w:rPr>
        <w:t>בגין מעשיו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בתל אביב </w:t>
      </w:r>
      <w:r>
        <w:rPr>
          <w:rtl w:val="true"/>
        </w:rPr>
        <w:t>(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ביבי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56318-02-22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8.2.2023</w:t>
      </w:r>
      <w:r>
        <w:rPr>
          <w:rtl w:val="true"/>
        </w:rPr>
        <w:t xml:space="preserve">, </w:t>
      </w:r>
      <w:r>
        <w:rPr>
          <w:rtl w:val="true"/>
        </w:rPr>
        <w:t xml:space="preserve">גזר על המערער עונש של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בכלל זה הפעלת עונש מאסר מותנה לצד ענישה נלווית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ערעור המערער נסוב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בתקופה הרלוונטית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בין המערער לבין נאשם נוסף בשם טשלה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tl w:val="true"/>
        </w:rPr>
        <w:t>שררו יחסי חברות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"/>
        <w:ind w:end="0"/>
        <w:jc w:val="both"/>
        <w:rPr/>
      </w:pPr>
      <w:r>
        <w:rPr>
          <w:color w:val="0070C0"/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/>
        <w:t>.</w:t>
      </w:r>
      <w:r>
        <w:rPr/>
        <w:t>2</w:t>
      </w:r>
      <w:r>
        <w:rPr/>
        <w:t>.20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ובניו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החשמונאים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ascii="FrankRuehl" w:hAnsi="FrankRuehl"/>
          <w:rtl w:val="true"/>
        </w:rPr>
        <w:t>ָ</w:t>
      </w:r>
      <w:r>
        <w:rPr>
          <w:rtl w:val="true"/>
        </w:rPr>
        <w:t>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המסעדה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הוויכוח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"/>
        <w:ind w:end="0"/>
        <w:jc w:val="both"/>
        <w:rPr/>
      </w:pPr>
      <w:r>
        <w:rPr>
          <w:color w:val="0070C0"/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להרגיעו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>...</w:t>
      </w:r>
      <w:r>
        <w:rPr>
          <w:rtl w:val="true"/>
        </w:rPr>
        <w:t>ויהיה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". </w:t>
      </w:r>
      <w:r>
        <w:rPr>
          <w:rtl w:val="true"/>
        </w:rPr>
        <w:t>משהמנוח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המזרחית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"/>
        <w:ind w:end="0"/>
        <w:jc w:val="both"/>
        <w:rPr/>
      </w:pPr>
      <w:r>
        <w:rPr>
          <w:color w:val="0070C0"/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"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וחמש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הריצפה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התרומם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כתוצאה ממעשיו של המערער נגרמו למנוח פצעי דקירה</w:t>
      </w:r>
      <w:r>
        <w:rPr>
          <w:rtl w:val="true"/>
        </w:rPr>
        <w:t xml:space="preserve">, </w:t>
      </w:r>
      <w:r>
        <w:rPr>
          <w:rtl w:val="true"/>
        </w:rPr>
        <w:t>ביניהם פצע דקירה בבטן</w:t>
      </w:r>
      <w:r>
        <w:rPr>
          <w:rtl w:val="true"/>
        </w:rPr>
        <w:t xml:space="preserve">, </w:t>
      </w:r>
      <w:r>
        <w:rPr>
          <w:rtl w:val="true"/>
        </w:rPr>
        <w:t>שני פצעי חתך שטחיים באמת שמאל</w:t>
      </w:r>
      <w:r>
        <w:rPr>
          <w:rtl w:val="true"/>
        </w:rPr>
        <w:t xml:space="preserve">, </w:t>
      </w:r>
      <w:r>
        <w:rPr>
          <w:rtl w:val="true"/>
        </w:rPr>
        <w:t xml:space="preserve">שני פצעי חתך בירך הימנית ופצע דקירה של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בחזה שגרם לאבדן דם ולכשל לבבי</w:t>
      </w:r>
      <w:r>
        <w:rPr>
          <w:rtl w:val="true"/>
        </w:rPr>
        <w:t xml:space="preserve">. </w:t>
      </w:r>
      <w:r>
        <w:rPr>
          <w:rtl w:val="true"/>
        </w:rPr>
        <w:t>כעבור מספר שעות נפטר המנוח כתוצאה מהדקירות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האמור</w:t>
      </w:r>
      <w:r>
        <w:rPr>
          <w:rtl w:val="true"/>
        </w:rPr>
        <w:t xml:space="preserve">, </w:t>
      </w:r>
      <w:r>
        <w:rPr>
          <w:rtl w:val="true"/>
        </w:rPr>
        <w:t xml:space="preserve">למערער יוחסה תחילה עבירת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בכוונה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color w:val="0070C0"/>
          <w:spacing w:val="0"/>
          <w:szCs w:val="24"/>
        </w:rPr>
      </w:pPr>
      <w:r>
        <w:rPr>
          <w:rFonts w:cs="Miriam" w:ascii="Century" w:hAnsi="Century"/>
          <w:b/>
          <w:color w:val="0070C0"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על פי הודאתו בעבירה שיוחסה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רצח </w:t>
      </w:r>
      <w:r>
        <w:rPr>
          <w:rtl w:val="true"/>
        </w:rPr>
        <w:t>(</w:t>
      </w:r>
      <w:r>
        <w:rPr>
          <w:rtl w:val="true"/>
        </w:rPr>
        <w:t>באדישות</w:t>
      </w:r>
      <w:r>
        <w:rPr>
          <w:rtl w:val="true"/>
        </w:rPr>
        <w:t xml:space="preserve">), </w:t>
      </w:r>
      <w:r>
        <w:rPr>
          <w:rtl w:val="true"/>
        </w:rPr>
        <w:t>זאת לאחר הליך גישור ובמסגרת הסדר טיעון אשר לא כלל הסכמה לעניין העונש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הטיעון 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הושגה הסכמה עונשית ולפיה בית המשפט יתבקש לגזור עליו עונש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בגין עבירות לפי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">
        <w:r>
          <w:rPr>
            <w:rStyle w:val="Hyperlink"/>
          </w:rPr>
          <w:t>333</w:t>
        </w:r>
      </w:hyperlink>
      <w:r>
        <w:rPr>
          <w:rtl w:val="true"/>
        </w:rPr>
        <w:t xml:space="preserve">  </w:t>
      </w:r>
      <w:r>
        <w:rPr>
          <w:rtl w:val="true"/>
        </w:rPr>
        <w:t xml:space="preserve">בנסיבות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 איומים וחבלה חמורה בנסיבות מחמירות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222222"/>
        </w:rPr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עמד על השינוי שהוחל ברפורמה בעבירות ההמתה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)) </w:t>
      </w:r>
      <w:r>
        <w:rPr>
          <w:rtl w:val="true"/>
        </w:rPr>
        <w:t>ביחס למעשה המתה אשר בוצע ביסוד נפשי של אדישות</w:t>
      </w:r>
      <w:r>
        <w:rPr>
          <w:rtl w:val="true"/>
        </w:rPr>
        <w:t>. (</w:t>
      </w: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1464/21</w:t>
        </w:r>
      </w:hyperlink>
      <w:r>
        <w:rPr>
          <w:rFonts w:cs="FrankRuehl" w:ascii="FrankRuehl" w:hAnsi="FrankRuehl"/>
          <w:color w:val="222222"/>
          <w:rtl w:val="true"/>
        </w:rPr>
        <w:t xml:space="preserve"> </w:t>
      </w:r>
      <w:r>
        <w:rPr>
          <w:rFonts w:ascii="Miriam" w:hAnsi="Miriam" w:cs="Miriam"/>
          <w:color w:val="222222"/>
          <w:szCs w:val="24"/>
          <w:rtl w:val="true"/>
        </w:rPr>
        <w:t>קפוסטין</w:t>
      </w:r>
      <w:r>
        <w:rPr>
          <w:rFonts w:ascii="FrankRuehl" w:hAnsi="FrankRuehl" w:cs="FrankRuehl"/>
          <w:color w:val="222222"/>
          <w:szCs w:val="24"/>
          <w:rtl w:val="true"/>
        </w:rPr>
        <w:t xml:space="preserve"> </w:t>
      </w:r>
      <w:r>
        <w:rPr>
          <w:rFonts w:ascii="Miriam" w:hAnsi="Miriam" w:cs="Miriam"/>
          <w:color w:val="222222"/>
          <w:szCs w:val="24"/>
          <w:rtl w:val="true"/>
        </w:rPr>
        <w:t>נ</w:t>
      </w:r>
      <w:r>
        <w:rPr>
          <w:rFonts w:cs="Miriam" w:ascii="Miriam" w:hAnsi="Miriam"/>
          <w:color w:val="222222"/>
          <w:szCs w:val="24"/>
          <w:rtl w:val="true"/>
        </w:rPr>
        <w:t xml:space="preserve">' </w:t>
      </w:r>
      <w:r>
        <w:rPr>
          <w:rFonts w:ascii="Miriam" w:hAnsi="Miriam" w:cs="Miriam"/>
          <w:color w:val="222222"/>
          <w:szCs w:val="24"/>
          <w:rtl w:val="true"/>
        </w:rPr>
        <w:t>מדינת ישראל</w:t>
      </w:r>
      <w:r>
        <w:rPr>
          <w:rFonts w:ascii="FrankRuehl" w:hAnsi="FrankRuehl" w:cs="FrankRuehl"/>
          <w:color w:val="222222"/>
          <w:rtl w:val="true"/>
        </w:rPr>
        <w:t xml:space="preserve"> </w:t>
      </w:r>
      <w:r>
        <w:rPr>
          <w:rFonts w:cs="FrankRuehl" w:ascii="FrankRuehl" w:hAnsi="FrankRuehl"/>
          <w:color w:val="222222"/>
          <w:rtl w:val="true"/>
        </w:rPr>
        <w:t xml:space="preserve">, </w:t>
      </w:r>
      <w:r>
        <w:rPr>
          <w:rFonts w:ascii="FrankRuehl" w:hAnsi="FrankRuehl" w:cs="FrankRuehl"/>
          <w:color w:val="222222"/>
          <w:rtl w:val="true"/>
        </w:rPr>
        <w:t xml:space="preserve">פסקה </w:t>
      </w:r>
      <w:r>
        <w:rPr>
          <w:rFonts w:cs="FrankRuehl" w:ascii="FrankRuehl" w:hAnsi="FrankRuehl"/>
          <w:color w:val="222222"/>
        </w:rPr>
        <w:t>45</w:t>
      </w:r>
      <w:r>
        <w:rPr>
          <w:rFonts w:cs="FrankRuehl" w:ascii="FrankRuehl" w:hAnsi="FrankRuehl"/>
          <w:color w:val="2222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222222"/>
          <w:rtl w:val="true"/>
        </w:rPr>
        <w:t>(</w:t>
      </w:r>
      <w:r>
        <w:rPr>
          <w:rFonts w:cs="FrankRuehl" w:ascii="FrankRuehl" w:hAnsi="FrankRuehl"/>
          <w:color w:val="222222"/>
        </w:rPr>
        <w:t>11.9.2022</w:t>
      </w:r>
      <w:r>
        <w:rPr>
          <w:rFonts w:cs="FrankRuehl" w:ascii="FrankRuehl" w:hAnsi="FrankRuehl"/>
          <w:color w:val="222222"/>
          <w:rtl w:val="true"/>
        </w:rPr>
        <w:t xml:space="preserve">); </w:t>
      </w: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5806/22</w:t>
        </w:r>
      </w:hyperlink>
      <w:r>
        <w:rPr>
          <w:rFonts w:cs="FrankRuehl" w:ascii="FrankRuehl" w:hAnsi="FrankRuehl"/>
          <w:color w:val="222222"/>
          <w:rtl w:val="true"/>
        </w:rPr>
        <w:t xml:space="preserve"> </w:t>
      </w:r>
      <w:r>
        <w:rPr>
          <w:rFonts w:ascii="Miriam" w:hAnsi="Miriam" w:cs="Miriam"/>
          <w:color w:val="222222"/>
          <w:szCs w:val="24"/>
          <w:rtl w:val="true"/>
        </w:rPr>
        <w:t>מדינת ישראל נ</w:t>
      </w:r>
      <w:r>
        <w:rPr>
          <w:rFonts w:cs="Miriam" w:ascii="Miriam" w:hAnsi="Miriam"/>
          <w:color w:val="222222"/>
          <w:szCs w:val="24"/>
          <w:rtl w:val="true"/>
        </w:rPr>
        <w:t xml:space="preserve">' </w:t>
      </w:r>
      <w:r>
        <w:rPr>
          <w:rFonts w:ascii="Miriam" w:hAnsi="Miriam" w:cs="Miriam"/>
          <w:color w:val="222222"/>
          <w:szCs w:val="24"/>
          <w:rtl w:val="true"/>
        </w:rPr>
        <w:t>גריפאת</w:t>
      </w:r>
      <w:r>
        <w:rPr>
          <w:rFonts w:cs="FrankRuehl" w:ascii="FrankRuehl" w:hAnsi="FrankRuehl"/>
          <w:color w:val="222222"/>
          <w:rtl w:val="true"/>
        </w:rPr>
        <w:t xml:space="preserve">, </w:t>
      </w:r>
      <w:r>
        <w:rPr>
          <w:rFonts w:ascii="FrankRuehl" w:hAnsi="FrankRuehl" w:cs="FrankRuehl"/>
          <w:color w:val="222222"/>
          <w:rtl w:val="true"/>
        </w:rPr>
        <w:t xml:space="preserve">פסקאות </w:t>
      </w:r>
      <w:r>
        <w:rPr>
          <w:rFonts w:cs="FrankRuehl" w:ascii="FrankRuehl" w:hAnsi="FrankRuehl"/>
          <w:color w:val="222222"/>
        </w:rPr>
        <w:t>15-16</w:t>
      </w:r>
      <w:r>
        <w:rPr>
          <w:rFonts w:cs="FrankRuehl" w:ascii="FrankRuehl" w:hAnsi="FrankRuehl"/>
          <w:color w:val="2222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222222"/>
          <w:rtl w:val="true"/>
        </w:rPr>
        <w:t>(</w:t>
      </w:r>
      <w:r>
        <w:rPr>
          <w:rFonts w:cs="FrankRuehl" w:ascii="FrankRuehl" w:hAnsi="FrankRuehl"/>
          <w:color w:val="222222"/>
        </w:rPr>
        <w:t>20.11.2022</w:t>
      </w:r>
      <w:r>
        <w:rPr>
          <w:rFonts w:cs="FrankRuehl" w:ascii="FrankRuehl" w:hAnsi="FrankRuehl"/>
          <w:color w:val="222222"/>
          <w:rtl w:val="true"/>
        </w:rPr>
        <w:t>) (</w:t>
      </w:r>
      <w:r>
        <w:rPr>
          <w:rFonts w:ascii="FrankRuehl" w:hAnsi="FrankRuehl" w:cs="FrankRuehl"/>
          <w:color w:val="222222"/>
          <w:rtl w:val="true"/>
        </w:rPr>
        <w:t>להלן</w:t>
      </w:r>
      <w:r>
        <w:rPr>
          <w:rFonts w:cs="FrankRuehl" w:ascii="FrankRuehl" w:hAnsi="FrankRuehl"/>
          <w:color w:val="222222"/>
          <w:rtl w:val="true"/>
        </w:rPr>
        <w:t xml:space="preserve">: </w:t>
      </w:r>
      <w:r>
        <w:rPr>
          <w:rFonts w:ascii="FrankRuehl" w:hAnsi="FrankRuehl" w:cs="FrankRuehl"/>
          <w:color w:val="222222"/>
          <w:sz w:val="28"/>
          <w:sz w:val="28"/>
          <w:rtl w:val="true"/>
        </w:rPr>
        <w:t>עניין</w:t>
      </w:r>
      <w:r>
        <w:rPr>
          <w:rFonts w:ascii="Miriam" w:hAnsi="Miriam" w:cs="Miriam"/>
          <w:color w:val="222222"/>
          <w:szCs w:val="24"/>
          <w:rtl w:val="true"/>
        </w:rPr>
        <w:t xml:space="preserve"> גריפאת</w:t>
      </w:r>
      <w:r>
        <w:rPr>
          <w:rFonts w:cs="FrankRuehl" w:ascii="FrankRuehl" w:hAnsi="FrankRuehl"/>
          <w:color w:val="2222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70C0"/>
        </w:rPr>
      </w:pPr>
      <w:r>
        <w:rPr>
          <w:rFonts w:cs="FrankRuehl" w:ascii="FrankRuehl" w:hAnsi="FrankRuehl"/>
          <w:color w:val="0070C0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color w:val="0070C0"/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בהרחבה על הפסיקה שממנה ניתן להקיש למידת הענישה בתיק זה</w:t>
      </w:r>
      <w:r>
        <w:rPr>
          <w:rtl w:val="true"/>
        </w:rPr>
        <w:t xml:space="preserve">, </w:t>
      </w:r>
      <w:r>
        <w:rPr>
          <w:rtl w:val="true"/>
        </w:rPr>
        <w:t>תוך השוואה ואבחנה לנסיבות העבירה שביצע המערער ונסיבותיו שלו</w:t>
      </w:r>
      <w:r>
        <w:rPr>
          <w:rtl w:val="true"/>
        </w:rPr>
        <w:t xml:space="preserve">. </w:t>
      </w:r>
      <w:r>
        <w:rPr>
          <w:rtl w:val="true"/>
        </w:rPr>
        <w:t>הודגש כי המערער פגע במעשיו בערך העליון של החיים וקדושתם</w:t>
      </w:r>
      <w:r>
        <w:rPr>
          <w:rtl w:val="true"/>
        </w:rPr>
        <w:t xml:space="preserve">, </w:t>
      </w:r>
      <w:r>
        <w:rPr>
          <w:rtl w:val="true"/>
        </w:rPr>
        <w:t xml:space="preserve">ובמידה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בערכים החברתיים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לנסיבות ביצוע העבירה ביחס למערער צוין כי </w:t>
      </w:r>
      <w:r>
        <w:rPr>
          <w:rtl w:val="true"/>
        </w:rPr>
        <w:t>"</w:t>
      </w:r>
      <w:r>
        <w:rPr>
          <w:rtl w:val="true"/>
        </w:rPr>
        <w:t>בעוד המנוח עומד למול הנאשמים</w:t>
      </w:r>
      <w:r>
        <w:rPr>
          <w:rtl w:val="true"/>
        </w:rPr>
        <w:t>" (</w:t>
      </w:r>
      <w:r>
        <w:rPr>
          <w:rtl w:val="true"/>
        </w:rPr>
        <w:t xml:space="preserve">ולאחר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בתנועת ראש סימן למערער לתקוף את המנוח במטרה לגרום לו חבלה חמורה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שלף המערער סכין</w:t>
      </w:r>
      <w:r>
        <w:rPr>
          <w:rtl w:val="true"/>
        </w:rPr>
        <w:t xml:space="preserve">, </w:t>
      </w:r>
      <w:r>
        <w:rPr>
          <w:rtl w:val="true"/>
        </w:rPr>
        <w:t>אשר החזיק ברשותו</w:t>
      </w:r>
      <w:r>
        <w:rPr>
          <w:rtl w:val="true"/>
        </w:rPr>
        <w:t xml:space="preserve">, </w:t>
      </w:r>
      <w:r>
        <w:rPr>
          <w:rtl w:val="true"/>
        </w:rPr>
        <w:t>ודקר את המנוח דקירה אחת בחזה בצד שמאל</w:t>
      </w:r>
      <w:r>
        <w:rPr>
          <w:rtl w:val="true"/>
        </w:rPr>
        <w:t xml:space="preserve">, </w:t>
      </w:r>
      <w:r>
        <w:rPr>
          <w:rtl w:val="true"/>
        </w:rPr>
        <w:t>וחמש דקירות נוספות בחלקים שונים בגופו</w:t>
      </w:r>
      <w:r>
        <w:rPr>
          <w:rtl w:val="true"/>
        </w:rPr>
        <w:t xml:space="preserve">, </w:t>
      </w:r>
      <w:r>
        <w:rPr>
          <w:rtl w:val="true"/>
        </w:rPr>
        <w:t>שוב ושוב</w:t>
      </w:r>
      <w:r>
        <w:rPr>
          <w:rtl w:val="true"/>
        </w:rPr>
        <w:t xml:space="preserve">". </w:t>
      </w:r>
      <w:r>
        <w:rPr>
          <w:rtl w:val="true"/>
        </w:rPr>
        <w:t>עוד הוער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עשה את המעשים בעודו </w:t>
      </w:r>
      <w:r>
        <w:rPr>
          <w:rtl w:val="true"/>
        </w:rPr>
        <w:t>"</w:t>
      </w:r>
      <w:r>
        <w:rPr>
          <w:rtl w:val="true"/>
        </w:rPr>
        <w:t>מודע לאפשרות שכתוצאה מהדקירות יקפד המנוח את חייו וכשהוא שווה נפש אל מול תוצאה זו</w:t>
      </w:r>
      <w:r>
        <w:rPr>
          <w:rtl w:val="true"/>
        </w:rPr>
        <w:t xml:space="preserve">", </w:t>
      </w:r>
      <w:r>
        <w:rPr>
          <w:rtl w:val="true"/>
        </w:rPr>
        <w:t>משמע המערער הבין היטב את פשר מעשיו</w:t>
      </w:r>
      <w:r>
        <w:rPr>
          <w:rtl w:val="true"/>
        </w:rPr>
        <w:t xml:space="preserve">, </w:t>
      </w:r>
      <w:r>
        <w:rPr>
          <w:rtl w:val="true"/>
        </w:rPr>
        <w:t>את הפסול בהם ואת הנזק אשר עלול להיגרם</w:t>
      </w:r>
      <w:r>
        <w:rPr>
          <w:rtl w:val="true"/>
        </w:rPr>
        <w:t xml:space="preserve">, </w:t>
      </w:r>
      <w:r>
        <w:rPr>
          <w:rtl w:val="true"/>
        </w:rPr>
        <w:t>אולם הגיב לכך בשוויון נפש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 ניסה להגן על פניו באמצעות ידיו</w:t>
      </w:r>
      <w:r>
        <w:rPr>
          <w:rtl w:val="true"/>
        </w:rPr>
        <w:t xml:space="preserve">, </w:t>
      </w:r>
      <w:r>
        <w:rPr>
          <w:rtl w:val="true"/>
        </w:rPr>
        <w:t>אך כתוצאה מהתקיפה נפל על הריצפה מקץ מספר שניות בעוד המערער וחבריו עומדים בסמוך</w:t>
      </w:r>
      <w:r>
        <w:rPr>
          <w:rtl w:val="true"/>
        </w:rPr>
        <w:t xml:space="preserve">. </w:t>
      </w:r>
      <w:r>
        <w:rPr>
          <w:rtl w:val="true"/>
        </w:rPr>
        <w:t>בהמשך חלף המערער בסמוך למנוח אשר היה מוטל על רצפת המסעדה ולאחר מכן חבר לחבריו והתיישב באחד משולחנות המסעדה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עוד צוין בגזר הדין כי  אדישותו של המערער כלפי המנוח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tl w:val="true"/>
        </w:rPr>
        <w:t>, "</w:t>
      </w:r>
      <w:r>
        <w:rPr>
          <w:rtl w:val="true"/>
        </w:rPr>
        <w:t>זועקת</w:t>
      </w:r>
      <w:r>
        <w:rPr>
          <w:rtl w:val="true"/>
        </w:rPr>
        <w:t>". '</w:t>
      </w:r>
      <w:r>
        <w:rPr>
          <w:rtl w:val="true"/>
        </w:rPr>
        <w:t>כעולה מכתב האישום המתוקן נראה ש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tl w:val="true"/>
        </w:rPr>
        <w:t xml:space="preserve">) </w:t>
      </w:r>
      <w:r>
        <w:rPr>
          <w:rtl w:val="true"/>
        </w:rPr>
        <w:t>המערער לא סייע למנוח במצבו</w:t>
      </w:r>
      <w:r>
        <w:rPr>
          <w:rtl w:val="true"/>
        </w:rPr>
        <w:t xml:space="preserve">, </w:t>
      </w:r>
      <w:r>
        <w:rPr>
          <w:rtl w:val="true"/>
        </w:rPr>
        <w:t>כשהוא זה שדקר אותו</w:t>
      </w:r>
      <w:r>
        <w:rPr>
          <w:rtl w:val="true"/>
        </w:rPr>
        <w:t xml:space="preserve">, </w:t>
      </w:r>
      <w:r>
        <w:rPr>
          <w:rtl w:val="true"/>
        </w:rPr>
        <w:t>אלא כאמור חלף בסמוך לו</w:t>
      </w:r>
      <w:r>
        <w:rPr>
          <w:rtl w:val="true"/>
        </w:rPr>
        <w:t xml:space="preserve">, </w:t>
      </w:r>
      <w:r>
        <w:rPr>
          <w:rtl w:val="true"/>
        </w:rPr>
        <w:t>והתיישב במסעדה</w:t>
      </w:r>
      <w:r>
        <w:rPr>
          <w:rtl w:val="true"/>
        </w:rPr>
        <w:t xml:space="preserve">'. </w:t>
      </w:r>
      <w:r>
        <w:rPr>
          <w:rtl w:val="true"/>
        </w:rPr>
        <w:t>העבירה בוצעה אגב ויכוח סתמי על דבר של מה בכך</w:t>
      </w:r>
      <w:r>
        <w:rPr>
          <w:rtl w:val="true"/>
        </w:rPr>
        <w:t xml:space="preserve">, </w:t>
      </w:r>
      <w:r>
        <w:rPr>
          <w:rtl w:val="true"/>
        </w:rPr>
        <w:t>כשהמערער דקר את המנוח פעם אחר פעם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מכך המנוח נפטר והותיר אחריו ילדה כבת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ומשפחה שלעולם לא תחזור לשוב כפי שהייתה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 כי מתחם העונש ההולם את העבירה בה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נע בין 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עונשו של המערער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לזכות המערער בכך שעונש מאסר ממושך יפגע בו לנוכח נסיבות חייו הקשות</w:t>
      </w:r>
      <w:r>
        <w:rPr>
          <w:rtl w:val="true"/>
        </w:rPr>
        <w:t xml:space="preserve">; </w:t>
      </w:r>
      <w:r>
        <w:rPr>
          <w:rtl w:val="true"/>
        </w:rPr>
        <w:t xml:space="preserve">המערער כבן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 xml:space="preserve">גדל ללא אב אשר עזב את הבית כשהיה בן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הפסיק ללמוד בגיל צעיר ואימו דאגה לכל המשפחה והמערער סייע בפרנסה</w:t>
      </w:r>
      <w:r>
        <w:rPr>
          <w:rtl w:val="true"/>
        </w:rPr>
        <w:t xml:space="preserve">; </w:t>
      </w:r>
      <w:r>
        <w:rPr>
          <w:rtl w:val="true"/>
        </w:rPr>
        <w:t>כחודש אחרי שנעצר הוצתה דלת ביתם וכן נורו שלוש יריות בחלון הבית בשעה שאחיו ואחותו היו בחדר</w:t>
      </w:r>
      <w:r>
        <w:rPr>
          <w:rtl w:val="true"/>
        </w:rPr>
        <w:t xml:space="preserve">; </w:t>
      </w:r>
      <w:r>
        <w:rPr>
          <w:rtl w:val="true"/>
        </w:rPr>
        <w:t>מאז ומזה כשנה אחיו סובלים מחרדות</w:t>
      </w:r>
      <w:r>
        <w:rPr>
          <w:rtl w:val="true"/>
        </w:rPr>
        <w:t xml:space="preserve">, </w:t>
      </w:r>
      <w:r>
        <w:rPr>
          <w:rtl w:val="true"/>
        </w:rPr>
        <w:t>אימו עברה לגור אצל הסבתא והמשפחה מפוצלת</w:t>
      </w:r>
      <w:r>
        <w:rPr>
          <w:rtl w:val="true"/>
        </w:rPr>
        <w:t xml:space="preserve">; </w:t>
      </w:r>
      <w:r>
        <w:rPr>
          <w:rtl w:val="true"/>
        </w:rPr>
        <w:t>לקיחת אחריות מצדו על מעשיו</w:t>
      </w:r>
      <w:r>
        <w:rPr>
          <w:rtl w:val="true"/>
        </w:rPr>
        <w:t xml:space="preserve">; </w:t>
      </w:r>
      <w:r>
        <w:rPr>
          <w:rtl w:val="true"/>
        </w:rPr>
        <w:t>הודאתו במעשים והחיסכון בזמן שיפוטי כתוצאה מכך</w:t>
      </w:r>
      <w:r>
        <w:rPr>
          <w:rtl w:val="true"/>
        </w:rPr>
        <w:t xml:space="preserve">; </w:t>
      </w:r>
      <w:r>
        <w:rPr>
          <w:rtl w:val="true"/>
        </w:rPr>
        <w:t>בעברו הפלילי לחובתו וכן בצורך בהרתעה מפני תופעת ה</w:t>
      </w:r>
      <w:r>
        <w:rPr>
          <w:rtl w:val="true"/>
        </w:rPr>
        <w:t>'</w:t>
      </w:r>
      <w:r>
        <w:rPr>
          <w:rtl w:val="true"/>
        </w:rPr>
        <w:t>סכינאות</w:t>
      </w:r>
      <w:r>
        <w:rPr>
          <w:rtl w:val="true"/>
        </w:rPr>
        <w:t xml:space="preserve">'.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המחוזי התייחס לעקרון האחידות בענישה</w:t>
      </w:r>
      <w:r>
        <w:rPr>
          <w:rtl w:val="true"/>
        </w:rPr>
        <w:t xml:space="preserve">, </w:t>
      </w:r>
      <w:r>
        <w:rPr>
          <w:rtl w:val="true"/>
        </w:rPr>
        <w:t xml:space="preserve">תוך שציין כי במסגרת הסדר הטיעון הושגה הסכמה עונשית בין הצדדים 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לגבי רכיב המאסר</w:t>
      </w:r>
      <w:r>
        <w:rPr>
          <w:rtl w:val="true"/>
        </w:rPr>
        <w:t xml:space="preserve">; </w:t>
      </w:r>
      <w:r>
        <w:rPr>
          <w:rtl w:val="true"/>
        </w:rPr>
        <w:t>בהתאם לאחידות הענישה העונש שיוטל על המערער צריך להיות בהלימה לזה שייגזר על הנאשם אך זאת תוך</w:t>
      </w:r>
      <w:r>
        <w:rPr>
          <w:u w:val="single"/>
          <w:rtl w:val="true"/>
        </w:rPr>
        <w:t xml:space="preserve"> אבחנה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ההדגשה במקור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.)</w:t>
      </w:r>
      <w:r>
        <w:rPr>
          <w:rtl w:val="true"/>
        </w:rPr>
        <w:t xml:space="preserve"> </w:t>
      </w:r>
      <w:r>
        <w:rPr>
          <w:rtl w:val="true"/>
        </w:rPr>
        <w:t xml:space="preserve">לחומרה ולקולה מעניינו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תפקידו וחלקו היחסי בהתרחשות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 האמור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שהוטלו על הנאשם במסגרת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52600-05-20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כך ש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ירוצו במצטבר לעונש המאסר בפועל וחודשיים ירוצו בחופף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 לפי לא יעבור עבירה של אלימות פיזית נגד הגוף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לרבות ניסיון וזאת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בכך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ממאסרו לא יעבור עבירה של אלימות פיזית נגד הגוף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לרבות ניסיון וכן תשלום פיצוי בסך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והפעלת מאסר מותנה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באופן ש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ירוצו במצטבר לעונש שהוטל עליו 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 ירוצו בחופף לעונש זה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שממוקד ברכיב המאסר בפועל שהושת על המערער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גזר הדין החמיר עמו יתר על המידה ולא ניתן בו משקל ראוי למספר נסיבות ושיקולים רלוונטיים</w:t>
      </w:r>
      <w:r>
        <w:rPr>
          <w:rtl w:val="true"/>
        </w:rPr>
        <w:t xml:space="preserve">, </w:t>
      </w:r>
      <w:r>
        <w:rPr>
          <w:rtl w:val="true"/>
        </w:rPr>
        <w:t xml:space="preserve">בעיקר בהשוואה לעונש שהושת על נאשם </w:t>
      </w:r>
      <w:r>
        <w:rPr/>
        <w:t>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color w:val="0070C0"/>
          <w:spacing w:val="0"/>
          <w:sz w:val="22"/>
          <w:szCs w:val="24"/>
        </w:rPr>
      </w:pPr>
      <w:r>
        <w:rPr>
          <w:rFonts w:cs="Miriam" w:ascii="Century" w:hAnsi="Century"/>
          <w:b/>
          <w:color w:val="0070C0"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מתמקד בערעורו</w:t>
      </w:r>
      <w:r>
        <w:rPr>
          <w:rtl w:val="true"/>
        </w:rPr>
        <w:t xml:space="preserve">, </w:t>
      </w:r>
      <w:r>
        <w:rPr>
          <w:rtl w:val="true"/>
        </w:rPr>
        <w:t>וכך בדיון שהתקיים בפנינו</w:t>
      </w:r>
      <w:r>
        <w:rPr>
          <w:rtl w:val="true"/>
        </w:rPr>
        <w:t xml:space="preserve">, </w:t>
      </w:r>
      <w:r>
        <w:rPr>
          <w:rtl w:val="true"/>
        </w:rPr>
        <w:t xml:space="preserve">בהשוואה לעונש שהושת על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 במסגרת הסדר הטיעון</w:t>
      </w:r>
      <w:r>
        <w:rPr>
          <w:rtl w:val="true"/>
        </w:rPr>
        <w:t xml:space="preserve">, </w:t>
      </w:r>
      <w:r>
        <w:rPr>
          <w:rtl w:val="true"/>
        </w:rPr>
        <w:t>וטוען כי עונשו לא רק שחורג באופן בולט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 xml:space="preserve">אלא קיים פער </w:t>
      </w:r>
      <w:r>
        <w:rPr>
          <w:rtl w:val="true"/>
        </w:rPr>
        <w:t>'</w:t>
      </w:r>
      <w:r>
        <w:rPr>
          <w:rtl w:val="true"/>
        </w:rPr>
        <w:t>קיצוני ובלתי מידתי</w:t>
      </w:r>
      <w:r>
        <w:rPr>
          <w:rtl w:val="true"/>
        </w:rPr>
        <w:t xml:space="preserve">' </w:t>
      </w:r>
      <w:r>
        <w:rPr>
          <w:rtl w:val="true"/>
        </w:rPr>
        <w:t>בין העונשים שהוטלו על שניהם</w:t>
      </w:r>
      <w:r>
        <w:rPr>
          <w:rtl w:val="true"/>
        </w:rPr>
        <w:t xml:space="preserve">, </w:t>
      </w:r>
      <w:r>
        <w:rPr>
          <w:rtl w:val="true"/>
        </w:rPr>
        <w:t>גם בהינתן ההבדל בין חומרת העבירות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אלמלא התנהלותו של זה האחרון האירוע לא היה מתרחש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פעל על פי הוראותיו</w:t>
      </w:r>
      <w:r>
        <w:rPr>
          <w:rtl w:val="true"/>
        </w:rPr>
        <w:t xml:space="preserve">" </w:t>
      </w:r>
      <w:r>
        <w:rPr>
          <w:rtl w:val="true"/>
        </w:rPr>
        <w:t>וביצע את אשר ביקש ממנו לנוכח פער הגילים ביניהם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דקר את המנוח מספר דקירות ללא כל כוונה לגרום למותו</w:t>
      </w:r>
      <w:r>
        <w:rPr>
          <w:rtl w:val="true"/>
        </w:rPr>
        <w:t xml:space="preserve">, </w:t>
      </w:r>
      <w:r>
        <w:rPr>
          <w:rtl w:val="true"/>
        </w:rPr>
        <w:t>ולא בכדי שונה היסוד הנפשי אשר יוחס לו בכתב האישום המקורי מייסוד נפשי של כוונה לייסוד נפשי של רצח באדישות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לטענתו למעשה היה בבחינת </w:t>
      </w:r>
      <w:r>
        <w:rPr>
          <w:rtl w:val="true"/>
        </w:rPr>
        <w:t>'</w:t>
      </w:r>
      <w:r>
        <w:rPr>
          <w:rtl w:val="true"/>
        </w:rPr>
        <w:t>פקוד</w:t>
      </w:r>
      <w:r>
        <w:rPr>
          <w:rtl w:val="true"/>
        </w:rPr>
        <w:t xml:space="preserve">' </w:t>
      </w:r>
      <w:r>
        <w:rPr>
          <w:rtl w:val="true"/>
        </w:rPr>
        <w:t xml:space="preserve">אשר ביצע את שהנאשם </w:t>
      </w:r>
      <w:r>
        <w:rPr/>
        <w:t>1</w:t>
      </w:r>
      <w:r>
        <w:rPr>
          <w:rtl w:val="true"/>
        </w:rPr>
        <w:t xml:space="preserve"> '</w:t>
      </w:r>
      <w:r>
        <w:rPr>
          <w:rtl w:val="true"/>
        </w:rPr>
        <w:t>פקד</w:t>
      </w:r>
      <w:r>
        <w:rPr>
          <w:rtl w:val="true"/>
        </w:rPr>
        <w:t xml:space="preserve">'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0070C0"/>
        </w:rPr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color w:val="0070C0"/>
          <w:rtl w:val="true"/>
        </w:rPr>
        <w:tab/>
      </w:r>
      <w:r>
        <w:rPr>
          <w:rtl w:val="true"/>
        </w:rPr>
        <w:t xml:space="preserve">עוד נטען כי עיקרון אחידות הענישה לא הוחל בעניינו של המערער שכן אין </w:t>
      </w:r>
      <w:r>
        <w:rPr>
          <w:rtl w:val="true"/>
        </w:rPr>
        <w:t>"</w:t>
      </w:r>
      <w:r>
        <w:rPr>
          <w:rtl w:val="true"/>
        </w:rPr>
        <w:t xml:space="preserve">התאמה והשפעה לעונשו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מידת עונשו של המערער</w:t>
      </w:r>
      <w:r>
        <w:rPr>
          <w:rtl w:val="true"/>
        </w:rPr>
        <w:t xml:space="preserve">" </w:t>
      </w:r>
      <w:r>
        <w:rPr>
          <w:rtl w:val="true"/>
        </w:rPr>
        <w:t xml:space="preserve">שהיא </w:t>
      </w:r>
      <w:r>
        <w:rPr>
          <w:rtl w:val="true"/>
        </w:rPr>
        <w:t>"</w:t>
      </w:r>
      <w:r>
        <w:rPr>
          <w:rtl w:val="true"/>
        </w:rPr>
        <w:t>חסרת פרופורציה</w:t>
      </w:r>
      <w:r>
        <w:rPr>
          <w:rtl w:val="true"/>
        </w:rPr>
        <w:t xml:space="preserve">", </w:t>
      </w:r>
      <w:r>
        <w:rPr>
          <w:rtl w:val="true"/>
        </w:rPr>
        <w:t>כלשון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כי פגיעה בתחושת ההגינות והצדק יכולה אף להקים טענת הגנה מן הצדק</w:t>
      </w:r>
      <w:r>
        <w:rPr>
          <w:rtl w:val="true"/>
        </w:rPr>
        <w:t xml:space="preserve">, </w:t>
      </w:r>
      <w:r>
        <w:rPr>
          <w:rtl w:val="true"/>
        </w:rPr>
        <w:t xml:space="preserve">שיכולה להביא להפחתה בענישה כך שיש להקל </w:t>
      </w:r>
      <w:r>
        <w:rPr>
          <w:rtl w:val="true"/>
        </w:rPr>
        <w:t>'</w:t>
      </w:r>
      <w:r>
        <w:rPr>
          <w:rtl w:val="true"/>
        </w:rPr>
        <w:t>הקלה של ממש</w:t>
      </w:r>
      <w:r>
        <w:rPr>
          <w:rtl w:val="true"/>
        </w:rPr>
        <w:t xml:space="preserve">' </w:t>
      </w:r>
      <w:r>
        <w:rPr>
          <w:rtl w:val="true"/>
        </w:rPr>
        <w:t>בעונשו ולצמצם את פער הענישה בין השנים</w:t>
      </w:r>
      <w:r>
        <w:rPr>
          <w:rtl w:val="true"/>
        </w:rPr>
        <w:t xml:space="preserve">; </w:t>
      </w:r>
      <w:r>
        <w:rPr>
          <w:rtl w:val="true"/>
        </w:rPr>
        <w:t>כי יש לתת משקל רב יותר לכך שהעבירה בוצעה ללא תכנון מוקדם</w:t>
      </w:r>
      <w:r>
        <w:rPr>
          <w:rtl w:val="true"/>
        </w:rPr>
        <w:t xml:space="preserve">, </w:t>
      </w:r>
      <w:r>
        <w:rPr>
          <w:rtl w:val="true"/>
        </w:rPr>
        <w:t xml:space="preserve">אלא באופן ספונטני ובכך שהמערער לא היה מבצע את המעשה אלמלא </w:t>
      </w:r>
      <w:r>
        <w:rPr>
          <w:rtl w:val="true"/>
        </w:rPr>
        <w:t>'</w:t>
      </w:r>
      <w:r>
        <w:rPr>
          <w:rtl w:val="true"/>
        </w:rPr>
        <w:t>השפעה ניכרת ורחבה</w:t>
      </w:r>
      <w:r>
        <w:rPr>
          <w:rtl w:val="true"/>
        </w:rPr>
        <w:t xml:space="preserve">' </w:t>
      </w:r>
      <w:r>
        <w:rPr>
          <w:rtl w:val="true"/>
        </w:rPr>
        <w:t xml:space="preserve">מצד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ומורכבות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מאתיופיה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b/>
          <w:spacing w:val="0"/>
          <w:sz w:val="28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אינו חמור דיו</w:t>
      </w:r>
      <w:r>
        <w:rPr>
          <w:rtl w:val="true"/>
        </w:rPr>
        <w:t xml:space="preserve">; </w:t>
      </w:r>
      <w:r>
        <w:rPr>
          <w:rtl w:val="true"/>
        </w:rPr>
        <w:t>בת משפט זה במספר פסקי דין בעבירות המתה ברצח באדישות העלה את העונש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 ואלמלא הסדר הטיעון זה אמור היה להיות עונשו של 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כאשר גם בית המשפט המחוזי ציין כי ללא הסדר הטיעון היה נכון למקם את עונשו של המערער לא בסמוך לרף התחתון של מתחם העונש ההולם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אלא באמצע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;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 xml:space="preserve">קיים פער משמעותי בין המערער לנאשם </w:t>
      </w:r>
      <w:r>
        <w:rPr>
          <w:rFonts w:cs="FrankRuehl" w:ascii="FrankRuehl" w:hAnsi="FrankRuehl"/>
          <w:b/>
          <w:spacing w:val="0"/>
          <w:sz w:val="28"/>
        </w:rPr>
        <w:t>1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: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המערער הוא שבחר להגיע למסעדה עם סכין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לדקור ולא להכות את המנוח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 xml:space="preserve">דקירה אחת בחזה בצד שמאל ולאחריה עוד </w:t>
      </w:r>
      <w:r>
        <w:rPr>
          <w:rFonts w:cs="FrankRuehl" w:ascii="FrankRuehl" w:hAnsi="FrankRuehl"/>
          <w:b/>
          <w:spacing w:val="0"/>
          <w:sz w:val="28"/>
        </w:rPr>
        <w:t>5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דקירות נוספות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;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פעל מתוך ב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חיר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ה אישית שלו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איש לא אמר לו איפה לדקור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איש לא הנחה אותו לדקור וגם כשראה את המנוח מתבוסס בדמו על הרצפה לא עשה דבר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;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עסקינן באדישות ב</w:t>
      </w:r>
      <w:r>
        <w:rPr>
          <w:rFonts w:cs="FrankRuehl" w:ascii="FrankRuehl" w:hAnsi="FrankRuehl"/>
          <w:b/>
          <w:spacing w:val="0"/>
          <w:sz w:val="28"/>
          <w:rtl w:val="true"/>
        </w:rPr>
        <w:t>"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רמה מאוד גבוהה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"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ולוּ היה הסדר עונשו היה יכול להיות אף גבוה הרבה יותר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שבחנתי את טענות הצדדים ועיינתי במסמכים שהונחו בפנינו </w:t>
      </w:r>
      <w:r>
        <w:rPr>
          <w:rtl w:val="true"/>
        </w:rPr>
        <w:t>–</w:t>
      </w:r>
      <w:r>
        <w:rPr>
          <w:rtl w:val="true"/>
        </w:rPr>
        <w:t xml:space="preserve"> שוכנעתי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גם לחבריי לעשות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תיטה שלא להתערב בעו</w:t>
      </w:r>
      <w:r>
        <w:rPr>
          <w:rtl w:val="true"/>
        </w:rPr>
        <w:t>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 xml:space="preserve">ממשית מרמת הענישה הנוהגת או הראויה 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</w:t>
      </w:r>
      <w:r>
        <w:rPr/>
        <w:t>12</w:t>
      </w:r>
      <w:r>
        <w:rPr/>
        <w:t>.20</w:t>
      </w:r>
      <w:r>
        <w:rPr/>
        <w:t>18</w:t>
      </w:r>
      <w:r>
        <w:rPr>
          <w:rtl w:val="true"/>
        </w:rPr>
        <w:t xml:space="preserve">); </w:t>
      </w:r>
      <w:r>
        <w:rPr>
          <w:rtl w:val="true"/>
        </w:rPr>
        <w:t xml:space="preserve">ראו גם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.11.20</w:t>
      </w:r>
      <w:r>
        <w:rPr/>
        <w:t>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6</w:t>
      </w:r>
      <w:r>
        <w:rPr/>
        <w:t>.</w:t>
      </w:r>
      <w:r>
        <w:rPr/>
        <w:t>2</w:t>
      </w:r>
      <w:r>
        <w:rPr/>
        <w:t>.20</w:t>
      </w:r>
      <w:r>
        <w:rPr/>
        <w:t>19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</w:t>
      </w:r>
      <w:r>
        <w:rPr/>
        <w:t>.</w:t>
      </w:r>
      <w:r>
        <w:rPr/>
        <w:t>3.2021</w:t>
      </w:r>
      <w:r>
        <w:rPr>
          <w:rtl w:val="true"/>
        </w:rPr>
        <w:t>))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23.6.2022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shd w:fill="FFFFFF" w:val="clear"/>
        </w:rPr>
      </w:pPr>
      <w:r>
        <w:rPr>
          <w:rFonts w:eastAsia="Arial TUR" w:cs="Arial TUR"/>
          <w:color w:val="0070C0"/>
          <w:rtl w:val="true"/>
        </w:rPr>
        <w:t xml:space="preserve"> </w:t>
      </w:r>
      <w:r>
        <w:rPr>
          <w:color w:val="0070C0"/>
          <w:rtl w:val="true"/>
        </w:rPr>
        <w:tab/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>קיימת גם חשיבות רבה לכך ששיקול הדעת השיפוטי הרחב לא יוביל לענישה שונה במקרים דומים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 xml:space="preserve">[...] 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>לדידי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>חשש זה קיים ביתר שאת כאשר מדובר בעבירת הרצח הבסיסית – ולו מאחר שעבירה זו נושאת עמה עונש מרבי של מאסר עולם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 xml:space="preserve">. 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>מכאן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>שטווח הענישה בגדרה עלול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>בהעדר התוויית מדיניות ענישה סדורה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b/>
          <w:b/>
          <w:spacing w:val="0"/>
          <w:sz w:val="28"/>
          <w:sz w:val="28"/>
          <w:shd w:fill="FFFFFF" w:val="clear"/>
          <w:rtl w:val="true"/>
        </w:rPr>
        <w:t>להיות רחב באופן בלתי רצוי</w:t>
      </w:r>
      <w:r>
        <w:rPr>
          <w:rFonts w:cs="FrankRuehl" w:ascii="FrankRuehl" w:hAnsi="FrankRuehl"/>
          <w:b/>
          <w:spacing w:val="0"/>
          <w:sz w:val="28"/>
          <w:shd w:fill="FFFFFF" w:val="clear"/>
          <w:rtl w:val="true"/>
        </w:rPr>
        <w:t>"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cs="Century" w:ascii="Century" w:hAnsi="Century"/>
          <w:shd w:fill="FFFFFF" w:val="clear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</w:rPr>
          <w:t>1442/22</w:t>
        </w:r>
      </w:hyperlink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פסקה</w:t>
      </w:r>
      <w:r>
        <w:rPr>
          <w:rFonts w:ascii="Century" w:hAnsi="Century" w:cs="Century"/>
          <w:shd w:fill="FFFFFF" w:val="clear"/>
          <w:rtl w:val="true"/>
        </w:rPr>
        <w:t xml:space="preserve"> </w:t>
      </w:r>
      <w:r>
        <w:rPr>
          <w:rFonts w:cs="Century" w:ascii="Century" w:hAnsi="Century"/>
          <w:shd w:fill="FFFFFF" w:val="clear"/>
        </w:rPr>
        <w:t>14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hd w:fill="FFFFFF" w:val="clear"/>
          <w:rtl w:val="true"/>
        </w:rPr>
        <w:t>(</w:t>
      </w:r>
      <w:r>
        <w:rPr>
          <w:rFonts w:cs="Century" w:ascii="Century" w:hAnsi="Century"/>
          <w:shd w:fill="FFFFFF" w:val="clear"/>
        </w:rPr>
        <w:t>28.</w:t>
      </w:r>
      <w:r>
        <w:rPr>
          <w:rFonts w:cs="Century" w:ascii="Century" w:hAnsi="Century"/>
          <w:shd w:fill="FFFFFF" w:val="clear"/>
        </w:rPr>
        <w:t>5</w:t>
      </w:r>
      <w:r>
        <w:rPr>
          <w:rFonts w:cs="Century" w:ascii="Century" w:hAnsi="Century"/>
          <w:shd w:fill="FFFFFF" w:val="clear"/>
        </w:rPr>
        <w:t>.2023</w:t>
      </w:r>
      <w:r>
        <w:rPr>
          <w:rFonts w:cs="Century" w:ascii="Century" w:hAnsi="Century"/>
          <w:shd w:fill="FFFFFF" w:val="clear"/>
          <w:rtl w:val="true"/>
        </w:rPr>
        <w:t>))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shd w:fill="FFFFFF" w:val="clear"/>
        </w:rPr>
      </w:pP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ניכר כי המקרה שלפנינו אינו</w:t>
      </w:r>
      <w:r>
        <w:rPr>
          <w:shd w:fill="FFFFFF" w:val="clear"/>
          <w:rtl w:val="true"/>
        </w:rPr>
        <w:t xml:space="preserve"> נמנה עם המקרים החריגים הללו</w:t>
      </w:r>
      <w:r>
        <w:rPr>
          <w:shd w:fill="FFFFFF" w:val="clear"/>
          <w:rtl w:val="true"/>
        </w:rPr>
        <w:t xml:space="preserve"> המצדיקים את התערבות ערכאת הערעור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ונדמה כי לכך אף הסכים בא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 xml:space="preserve">כוח המערער אשר כאמור שם את יהבו במהלך טיעוניו על פער הענישה שבין המערער לנאשם </w:t>
      </w:r>
      <w:r>
        <w:rPr>
          <w:shd w:fill="FFFFFF" w:val="clear"/>
        </w:rPr>
        <w:t>1</w:t>
      </w:r>
      <w:r>
        <w:rPr>
          <w:shd w:fill="FFFFFF" w:val="clear"/>
          <w:rtl w:val="true"/>
        </w:rPr>
        <w:t>;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עבירת הרצח היא מן העבירות החמורות ביותר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ואף לאחר הרפורמה בעבירות ההמתה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עבירת הרצח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הבסיסית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 xml:space="preserve">שנייה בחומרתה רק לעבירת הרצח בנסיבות מחמירות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 xml:space="preserve">ראו לעניין זה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.12.2022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קאדר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מבין השינויים המשמעותיים שחוללה הרפורמה בעבירות ההמתה הוא מיקומו ב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של מעשה המתה אשר נעשה ביסוד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tl w:val="true"/>
        </w:rPr>
        <w:t xml:space="preserve">), </w:t>
      </w:r>
      <w:r>
        <w:rPr>
          <w:rtl w:val="true"/>
        </w:rPr>
        <w:t xml:space="preserve">וממוקם תחת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לצד מעשה המתה ביסוד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. </w:t>
      </w:r>
      <w:r>
        <w:rPr>
          <w:rtl w:val="true"/>
        </w:rPr>
        <w:t xml:space="preserve">באופן זה ביקש המחוקק לבטא הן מגמת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tl w:val="true"/>
        </w:rPr>
        <w:t xml:space="preserve"> ערכית</w:t>
      </w:r>
      <w:r>
        <w:rPr>
          <w:rtl w:val="true"/>
        </w:rPr>
        <w:t>-</w:t>
      </w:r>
      <w:r>
        <w:rPr>
          <w:rtl w:val="true"/>
        </w:rPr>
        <w:t xml:space="preserve">נורמטיבית המגולמת בתיוגו של הממית האדיש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כרוצח</w:t>
      </w:r>
      <w:r>
        <w:rPr>
          <w:rtl w:val="true"/>
        </w:rPr>
        <w:t xml:space="preserve">; </w:t>
      </w:r>
      <w:r>
        <w:rPr>
          <w:rtl w:val="true"/>
        </w:rPr>
        <w:t xml:space="preserve">הן מגמת החמרה בענישה כאשר העונש המרבי בגין מעשה המתה באדישות הוא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עם הזמן הלכה והתעצבה מדיניות הענישה הרצויה והנוהגת בעבירת רצח באדישות תוך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ועונשית</w:t>
      </w:r>
      <w:r>
        <w:rPr>
          <w:rtl w:val="true"/>
        </w:rPr>
        <w:t xml:space="preserve"> שמבטאת הרפורמה בעבירת ההמתה ביחס למעשי המתה באדישות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</w:t>
      </w:r>
      <w:r>
        <w:rPr/>
        <w:t>7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כך יש לתת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גם במקרה שלפנינו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מסכת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חושפת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ומחדדת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נכח במסעדה כאשר התגלע ויכוח על מה בכך בין חברו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 המנוח</w:t>
      </w:r>
      <w:r>
        <w:rPr>
          <w:rtl w:val="true"/>
        </w:rPr>
        <w:t xml:space="preserve">, </w:t>
      </w:r>
      <w:r>
        <w:rPr>
          <w:rtl w:val="true"/>
        </w:rPr>
        <w:t xml:space="preserve">שמע את דברי האיום של חברו כלפי המנוח לרבות משפט בנוסח </w:t>
      </w:r>
      <w:r>
        <w:rPr>
          <w:rtl w:val="true"/>
        </w:rPr>
        <w:t>"</w:t>
      </w:r>
      <w:r>
        <w:rPr>
          <w:rtl w:val="true"/>
        </w:rPr>
        <w:t>אתה לא יוצא מפה היום</w:t>
      </w:r>
      <w:r>
        <w:rPr>
          <w:rtl w:val="true"/>
        </w:rPr>
        <w:t xml:space="preserve">", </w:t>
      </w:r>
      <w:r>
        <w:rPr>
          <w:rtl w:val="true"/>
        </w:rPr>
        <w:t>ומשהמנוח סרב להיעתר לבקשתו להתלוות אליו אל מחוץ למסעדה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הובילו ביחד עם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ליציאה מהמסעדה</w:t>
      </w:r>
      <w:r>
        <w:rPr>
          <w:rtl w:val="true"/>
        </w:rPr>
        <w:t xml:space="preserve">, </w:t>
      </w:r>
      <w:r>
        <w:rPr>
          <w:rtl w:val="true"/>
        </w:rPr>
        <w:t xml:space="preserve">ובהמשך שלף סכין אשר החזיק ברשותו ודקר את המנוח </w:t>
      </w:r>
      <w:r>
        <w:rPr>
          <w:rtl w:val="true"/>
        </w:rPr>
        <w:t>במטרה</w:t>
      </w:r>
      <w:r>
        <w:rPr>
          <w:rtl w:val="true"/>
        </w:rPr>
        <w:t xml:space="preserve"> ברורה אחת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>המערער לא הסתפק בדקירה אחת בחזה בצד שמאל של המנוח</w:t>
      </w:r>
      <w:r>
        <w:rPr>
          <w:rtl w:val="true"/>
        </w:rPr>
        <w:t xml:space="preserve">, </w:t>
      </w:r>
      <w:r>
        <w:rPr>
          <w:rtl w:val="true"/>
        </w:rPr>
        <w:t>אלא המשיך לדקור אותו שוב ושוב</w:t>
      </w:r>
      <w:r>
        <w:rPr>
          <w:rtl w:val="true"/>
        </w:rPr>
        <w:t xml:space="preserve">, </w:t>
      </w:r>
      <w:r>
        <w:rPr>
          <w:rtl w:val="true"/>
        </w:rPr>
        <w:t>חמש דקירות נוספות בחלקים שונים בגופו</w:t>
      </w:r>
      <w:r>
        <w:rPr>
          <w:rtl w:val="true"/>
        </w:rPr>
        <w:t xml:space="preserve">, </w:t>
      </w:r>
      <w:r>
        <w:rPr>
          <w:rtl w:val="true"/>
        </w:rPr>
        <w:t xml:space="preserve">כשהוא מודע לאפשרות שכתוצאה מהדקירות יקפד המנוח את חייו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color w:val="0070C0"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גם כאשר המנוח נפל על הרצפה</w:t>
      </w:r>
      <w:r>
        <w:rPr>
          <w:rtl w:val="true"/>
        </w:rPr>
        <w:t xml:space="preserve">, </w:t>
      </w:r>
      <w:r>
        <w:rPr>
          <w:rtl w:val="true"/>
        </w:rPr>
        <w:t>המערער חלף בסמוך אליו מבלי לעשות דבר</w:t>
      </w:r>
      <w:r>
        <w:rPr>
          <w:rtl w:val="true"/>
        </w:rPr>
        <w:t xml:space="preserve">, </w:t>
      </w:r>
      <w:r>
        <w:rPr>
          <w:rtl w:val="true"/>
        </w:rPr>
        <w:t>חבר לחבריו והתיישב באחד משולחנות המסעדה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המנוח נרצח על לא עוול בכפו</w:t>
      </w:r>
      <w:r>
        <w:rPr>
          <w:rtl w:val="true"/>
        </w:rPr>
        <w:t xml:space="preserve">. </w:t>
      </w:r>
      <w:r>
        <w:rPr>
          <w:rtl w:val="true"/>
        </w:rPr>
        <w:t xml:space="preserve">כל רצח באשר הוא מגלם אובדן חיים </w:t>
      </w:r>
      <w:r>
        <w:rPr>
          <w:rFonts w:ascii="Century" w:hAnsi="Century" w:cs="Century"/>
          <w:sz w:val="22"/>
          <w:sz w:val="22"/>
          <w:rtl w:val="true"/>
        </w:rPr>
        <w:t>בלתי מוצדק ופגיעה במשפחה שלמה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אי אפשר להיוותר אדיש גם עם דברי אחותו של המנוח כפי שהובאו בגזר הדין לפיהם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כולם מרוסקים ועדיין לא מאמינים שהוא לא פה</w:t>
      </w:r>
      <w:r>
        <w:rPr>
          <w:rFonts w:cs="Century" w:ascii="Century" w:hAnsi="Century"/>
          <w:sz w:val="22"/>
          <w:rtl w:val="true"/>
        </w:rPr>
        <w:t xml:space="preserve">.. </w:t>
      </w:r>
      <w:r>
        <w:rPr>
          <w:rFonts w:ascii="Century" w:hAnsi="Century" w:cs="Century"/>
          <w:sz w:val="22"/>
          <w:sz w:val="22"/>
          <w:rtl w:val="true"/>
        </w:rPr>
        <w:t>המנוח היה בן טוב עם יראת כבוד להורים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אח מדהים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אבא אוהב ודואג לבת שלו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וכן לדברי 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 במהלך הדיון שהתקיים בפנינו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בנוכחות אימו של המנוח ואחיותיו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המנוח השאיר אחריו משפחה כואבת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 קטינה כבת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שנזקקת לטיפולי וכל המשפחה במצב מעורער בגלל המעשה הזה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רצח המנוח נושא חומרה יתרה במיוחד מאחר שמדובר 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וויכוח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FrankRuehl" w:ascii="FrankRuehl" w:hAnsi="FrankRuehl"/>
          <w:b/>
          <w:spacing w:val="0"/>
          <w:sz w:val="28"/>
          <w:rtl w:val="true"/>
        </w:rPr>
        <w:t>(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 xml:space="preserve">ראו בסעיף </w:t>
      </w:r>
      <w:r>
        <w:rPr>
          <w:rFonts w:cs="FrankRuehl" w:ascii="FrankRuehl" w:hAnsi="FrankRuehl"/>
          <w:b/>
          <w:spacing w:val="0"/>
          <w:sz w:val="28"/>
        </w:rPr>
        <w:t>3</w:t>
      </w:r>
      <w:r>
        <w:rPr>
          <w:rFonts w:cs="FrankRuehl" w:ascii="FrankRuehl" w:hAnsi="FrankRuehl"/>
          <w:b/>
          <w:spacing w:val="0"/>
          <w:sz w:val="28"/>
          <w:rtl w:val="true"/>
        </w:rPr>
        <w:t>(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א</w:t>
      </w:r>
      <w:r>
        <w:rPr>
          <w:rFonts w:cs="FrankRuehl" w:ascii="FrankRuehl" w:hAnsi="FrankRuehl"/>
          <w:b/>
          <w:spacing w:val="0"/>
          <w:sz w:val="28"/>
          <w:rtl w:val="true"/>
        </w:rPr>
        <w:t>)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0"/>
          <w:sz w:val="28"/>
          <w:sz w:val="28"/>
          <w:rtl w:val="true"/>
        </w:rPr>
        <w:t>לכתב האישום המתוקן</w:t>
      </w:r>
      <w:r>
        <w:rPr>
          <w:rFonts w:cs="FrankRuehl" w:ascii="FrankRuehl" w:hAnsi="FrankRuehl"/>
          <w:b/>
          <w:spacing w:val="0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כל </w:t>
      </w:r>
      <w:r>
        <w:rPr>
          <w:rtl w:val="true"/>
        </w:rPr>
        <w:t>'</w:t>
      </w:r>
      <w:r>
        <w:rPr>
          <w:rtl w:val="true"/>
        </w:rPr>
        <w:t>חטאו</w:t>
      </w:r>
      <w:r>
        <w:rPr>
          <w:rtl w:val="true"/>
        </w:rPr>
        <w:t xml:space="preserve">' </w:t>
      </w:r>
      <w:r>
        <w:rPr>
          <w:rtl w:val="true"/>
        </w:rPr>
        <w:t>היה בכך שהגיע למסעדה באותו הערב</w:t>
      </w:r>
      <w:r>
        <w:rPr>
          <w:rtl w:val="true"/>
        </w:rPr>
        <w:t xml:space="preserve">, </w:t>
      </w:r>
      <w:r>
        <w:rPr>
          <w:rtl w:val="true"/>
        </w:rPr>
        <w:t xml:space="preserve">השיב לשאלת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אינו מכירו ועל כן לא בירכו לשלום</w:t>
      </w:r>
      <w:r>
        <w:rPr>
          <w:rtl w:val="true"/>
        </w:rPr>
        <w:t xml:space="preserve">. </w:t>
      </w:r>
      <w:r>
        <w:rPr>
          <w:rtl w:val="true"/>
        </w:rPr>
        <w:t>המערער תרם להסלמת המצב שהסתיים בתוצאה הקטלנית</w:t>
      </w:r>
      <w:r>
        <w:rPr>
          <w:rtl w:val="true"/>
        </w:rPr>
        <w:t xml:space="preserve">, </w:t>
      </w:r>
      <w:r>
        <w:rPr>
          <w:rtl w:val="true"/>
        </w:rPr>
        <w:t xml:space="preserve">כאשר הוביל ביחד עם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המנוח אל מחוץ למסעדה</w:t>
      </w:r>
      <w:r>
        <w:rPr>
          <w:rtl w:val="true"/>
        </w:rPr>
        <w:t xml:space="preserve">, </w:t>
      </w:r>
      <w:r>
        <w:rPr>
          <w:rtl w:val="true"/>
        </w:rPr>
        <w:t>שלף סכין שהיה ברשותו ודקר את המנוח פעם אחר פעם</w:t>
      </w:r>
      <w:r>
        <w:rPr>
          <w:rtl w:val="true"/>
        </w:rPr>
        <w:t xml:space="preserve">, </w:t>
      </w:r>
      <w:r>
        <w:rPr>
          <w:rtl w:val="true"/>
        </w:rPr>
        <w:t>וגם לאחר שהמנוח הצליח להגיע עד לפתח המסעדה והתמוטט</w:t>
      </w:r>
      <w:r>
        <w:rPr>
          <w:rtl w:val="true"/>
        </w:rPr>
        <w:t xml:space="preserve">, </w:t>
      </w:r>
      <w:r>
        <w:rPr>
          <w:rtl w:val="true"/>
        </w:rPr>
        <w:t>חזר המערער אל פתח המסעדה</w:t>
      </w:r>
      <w:r>
        <w:rPr>
          <w:rtl w:val="true"/>
        </w:rPr>
        <w:t xml:space="preserve">, </w:t>
      </w:r>
      <w:r>
        <w:rPr>
          <w:rtl w:val="true"/>
        </w:rPr>
        <w:t>חלף בסמוך למנוח</w:t>
      </w:r>
      <w:r>
        <w:rPr>
          <w:rtl w:val="true"/>
        </w:rPr>
        <w:t xml:space="preserve">, </w:t>
      </w:r>
      <w:r>
        <w:rPr>
          <w:rtl w:val="true"/>
        </w:rPr>
        <w:t>אשר היה מוטל על הרצפה</w:t>
      </w:r>
      <w:r>
        <w:rPr>
          <w:rtl w:val="true"/>
        </w:rPr>
        <w:t xml:space="preserve">, </w:t>
      </w:r>
      <w:r>
        <w:rPr>
          <w:rtl w:val="true"/>
        </w:rPr>
        <w:t>וחזר להתיישב עם חבריו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עיננו הרואות כי הצטברות הנסיבות גם יחד מלמדת ביתר שאת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המערער לרצח המנוח</w:t>
      </w:r>
      <w:r>
        <w:rPr>
          <w:rtl w:val="true"/>
        </w:rPr>
        <w:t xml:space="preserve">, </w:t>
      </w:r>
      <w:r>
        <w:rPr>
          <w:rtl w:val="true"/>
        </w:rPr>
        <w:t>אשר עובדה זו לא עמדה בדרכו עת פעל תוך זילות מובהקת בערך הנעלה של חיי אדם</w:t>
      </w:r>
      <w:r>
        <w:rPr>
          <w:rtl w:val="true"/>
        </w:rPr>
        <w:t xml:space="preserve">, </w:t>
      </w:r>
      <w:r>
        <w:rPr>
          <w:rtl w:val="true"/>
        </w:rPr>
        <w:t>בעודו מתייחס בשוויון נפש מוחלט לאפשרות שמעשיו יובילו לתוצאה הקטלנית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עמד לא אחת על חומרתה של עבירת הרצח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ומשכך מתעצם הצורך במדיניות ענישה מרתיעה והולמת המעניקה משקל של ממש לשיקולי הרתעת הרבים והיחיד במלאכת גזירת העונש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חומרת העבירה והנסיבות שבהן בוצעה ברורות ומדברות בעד עצמן</w:t>
      </w:r>
      <w:r>
        <w:rPr>
          <w:rtl w:val="true"/>
        </w:rPr>
        <w:t xml:space="preserve">. </w:t>
      </w:r>
      <w:r>
        <w:rPr>
          <w:rtl w:val="true"/>
        </w:rPr>
        <w:t>המערער ניגש אל המנוח כשש אליי קרב והחל לדקור אותו באמצעות סכין שהייתה ברשותו</w:t>
      </w:r>
      <w:r>
        <w:rPr>
          <w:rtl w:val="true"/>
        </w:rPr>
        <w:t xml:space="preserve">. </w:t>
      </w:r>
      <w:r>
        <w:rPr>
          <w:rtl w:val="true"/>
        </w:rPr>
        <w:t>אכזריותו נלמדת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מן העובדה כי לא חדל ממעשה הדקירה</w:t>
      </w:r>
      <w:r>
        <w:rPr>
          <w:rtl w:val="true"/>
        </w:rPr>
        <w:t xml:space="preserve">, </w:t>
      </w:r>
      <w:r>
        <w:rPr>
          <w:rtl w:val="true"/>
        </w:rPr>
        <w:t>וגרם למנוח פצע דקירה בבטן מימין שחדר לכיס השתן</w:t>
      </w:r>
      <w:r>
        <w:rPr>
          <w:rtl w:val="true"/>
        </w:rPr>
        <w:t xml:space="preserve">, </w:t>
      </w:r>
      <w:r>
        <w:rPr>
          <w:rtl w:val="true"/>
        </w:rPr>
        <w:t>שני פצעי חתך שטחיים באמה שמאל</w:t>
      </w:r>
      <w:r>
        <w:rPr>
          <w:rtl w:val="true"/>
        </w:rPr>
        <w:t xml:space="preserve">, </w:t>
      </w:r>
      <w:r>
        <w:rPr>
          <w:rtl w:val="true"/>
        </w:rPr>
        <w:t>שני פצעי חתך בירך הימנית ופצע דקירה בחזה של כ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חוצה אל תוך החדר השמאלי</w:t>
      </w:r>
      <w:r>
        <w:rPr>
          <w:rtl w:val="true"/>
        </w:rPr>
        <w:t xml:space="preserve">, </w:t>
      </w:r>
      <w:r>
        <w:rPr>
          <w:rtl w:val="true"/>
        </w:rPr>
        <w:t>שגרם לאבדן דם ולכשל לבבי</w:t>
      </w:r>
      <w:r>
        <w:rPr>
          <w:rtl w:val="true"/>
        </w:rPr>
        <w:t xml:space="preserve">, </w:t>
      </w:r>
      <w:r>
        <w:rPr>
          <w:rtl w:val="true"/>
        </w:rPr>
        <w:t>וכל זאת תוך שהוא מודע לאפשרות הקטלנית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" w:hAnsi="Arial" w:cs="Arial"/>
        </w:rPr>
      </w:pPr>
      <w:r>
        <w:rPr>
          <w:rtl w:val="true"/>
        </w:rPr>
        <w:t xml:space="preserve">על רקע זאת הכירה הפסיקה </w:t>
      </w:r>
      <w:r>
        <w:rPr>
          <w:rtl w:val="true"/>
        </w:rPr>
        <w:t xml:space="preserve">בצורך להיאבק בסוג זה של עבירות באמצעות ענישה תקיפה ומרתיעה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1821/17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29.4.2018</w:t>
      </w:r>
      <w:r>
        <w:rPr>
          <w:rtl w:val="true"/>
        </w:rPr>
        <w:t xml:space="preserve">); 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324/19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8.5.2019</w:t>
      </w:r>
      <w:r>
        <w:rPr>
          <w:rtl w:val="true"/>
        </w:rPr>
        <w:t xml:space="preserve">);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3092/20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נאצר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19.11.2020</w:t>
      </w:r>
      <w:r>
        <w:rPr>
          <w:rtl w:val="true"/>
        </w:rPr>
        <w:t xml:space="preserve">);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2508/21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נאסר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7.6.2022</w:t>
      </w:r>
      <w:r>
        <w:rPr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>יפים לעניין זה 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sz w:val="28"/>
          <w:sz w:val="28"/>
          <w:rtl w:val="true"/>
        </w:rPr>
        <w:t xml:space="preserve"> השופט</w:t>
      </w:r>
      <w:r>
        <w:rPr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</w:t>
      </w:r>
      <w:r>
        <w:rPr>
          <w:rFonts w:cs="Miriam" w:ascii="Miriam" w:hAnsi="Miriam"/>
          <w:szCs w:val="24"/>
          <w:rtl w:val="true"/>
        </w:rPr>
        <w:t>'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סולברג</w:t>
      </w:r>
      <w:r>
        <w:rPr>
          <w:rtl w:val="true"/>
        </w:rPr>
        <w:t xml:space="preserve"> ב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5449/18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זזן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</w:t>
      </w:r>
      <w:r>
        <w:rPr>
          <w:rtl w:val="true"/>
        </w:rPr>
        <w:t>ערער</w:t>
      </w:r>
      <w:r>
        <w:rPr>
          <w:rtl w:val="true"/>
        </w:rPr>
        <w:t xml:space="preserve"> אינו חולק על חומרת המעשים שביצע</w:t>
      </w:r>
      <w:r>
        <w:rPr>
          <w:rtl w:val="true"/>
        </w:rPr>
        <w:t xml:space="preserve">, </w:t>
      </w:r>
      <w:r>
        <w:rPr>
          <w:rtl w:val="true"/>
        </w:rPr>
        <w:t>אך טוען כי מתחם העונש ההולם שנקבע על ידי בית משפט</w:t>
      </w:r>
      <w:r>
        <w:rPr>
          <w:rtl w:val="true"/>
        </w:rPr>
        <w:t xml:space="preserve"> המחוזי אינו </w:t>
      </w:r>
      <w:r>
        <w:rPr>
          <w:rtl w:val="true"/>
        </w:rPr>
        <w:t>עולה בקנה אחד עם מדיניות הענישה הנוהגת במקרים כגון דא</w:t>
      </w:r>
      <w:r>
        <w:rPr>
          <w:rtl w:val="true"/>
        </w:rPr>
        <w:t xml:space="preserve">, </w:t>
      </w:r>
      <w:r>
        <w:rPr>
          <w:rtl w:val="true"/>
        </w:rPr>
        <w:t>ואף מחמיר עמו יתר על המידה</w:t>
      </w:r>
      <w:r>
        <w:rPr>
          <w:rtl w:val="true"/>
        </w:rPr>
        <w:t xml:space="preserve">, </w:t>
      </w:r>
      <w:r>
        <w:rPr>
          <w:rtl w:val="true"/>
        </w:rPr>
        <w:t>כדברי בא</w:t>
      </w:r>
      <w:r>
        <w:rPr>
          <w:rtl w:val="true"/>
        </w:rPr>
        <w:t>-</w:t>
      </w:r>
      <w:r>
        <w:rPr>
          <w:rtl w:val="true"/>
        </w:rPr>
        <w:t xml:space="preserve">כוחו </w:t>
      </w:r>
      <w:r>
        <w:rPr>
          <w:rtl w:val="true"/>
        </w:rPr>
        <w:t>"</w:t>
      </w:r>
      <w:r>
        <w:rPr>
          <w:rtl w:val="true"/>
        </w:rPr>
        <w:t>כאשר ישנו פער משמעותי בענישה בין נאשמים בכתב האישום</w:t>
      </w:r>
      <w:r>
        <w:rPr>
          <w:rtl w:val="true"/>
        </w:rPr>
        <w:t xml:space="preserve">, </w:t>
      </w:r>
      <w:r>
        <w:rPr>
          <w:rtl w:val="true"/>
        </w:rPr>
        <w:t>כאשר התוצאה העונשית פוגעת בתחושת הצדק ובאחידות הענישה</w:t>
      </w:r>
      <w:r>
        <w:rPr>
          <w:rtl w:val="true"/>
        </w:rPr>
        <w:t xml:space="preserve">, </w:t>
      </w:r>
      <w:r>
        <w:rPr>
          <w:rtl w:val="true"/>
        </w:rPr>
        <w:t>ראוי להפחית משמעותית בעונש גם אם העונש כשלעצמו הוא עונש ראוי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 יכול להסכים לטענה זו במיוחד בעניינו של המערער</w:t>
      </w:r>
      <w:r>
        <w:rPr>
          <w:rtl w:val="true"/>
        </w:rPr>
        <w:t xml:space="preserve">, </w:t>
      </w:r>
      <w:r>
        <w:rPr>
          <w:rtl w:val="true"/>
        </w:rPr>
        <w:t>לנוכח חומרת עבירת הרצח שביצע תוך אדישות ושוויון נפש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החשיבות שבענישה מחמירה ומרתיעה נובעת לא רק מחומרת העבירה</w:t>
      </w:r>
      <w:r>
        <w:rPr>
          <w:rtl w:val="true"/>
        </w:rPr>
        <w:t xml:space="preserve">, </w:t>
      </w:r>
      <w:r>
        <w:rPr>
          <w:rtl w:val="true"/>
        </w:rPr>
        <w:t>אלא גם מנסיבות ביצועה כאמור כפי שבא לידי ביטוי בש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>רה של פסקי דין שעניינם עבירות ההמתה לאחר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כשבפרט ביחס לעבירת הרצח באדישות חלה מדיניות ענישה מחמירה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tl w:val="true"/>
        </w:rPr>
        <w:t xml:space="preserve"> רצח באלימות את אמו</w:t>
      </w:r>
      <w:r>
        <w:rPr>
          <w:rtl w:val="true"/>
        </w:rPr>
        <w:t xml:space="preserve">, </w:t>
      </w:r>
      <w:r>
        <w:rPr>
          <w:rtl w:val="true"/>
        </w:rPr>
        <w:t>ועונשו הוחמר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מדובר היה במקרה הראשון של רצח באדישות אשר הובא לפתח בית משפט זה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 הכה במהלך קטטה באמצעות קרש עץ את המנוח אשר כלל לא היה מעורב בקטטה</w:t>
      </w:r>
      <w:r>
        <w:rPr>
          <w:rtl w:val="true"/>
        </w:rPr>
        <w:t xml:space="preserve">, </w:t>
      </w:r>
      <w:r>
        <w:rPr>
          <w:rtl w:val="true"/>
        </w:rPr>
        <w:t>ועונשו הוחמר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הכה למוות דר</w:t>
      </w:r>
      <w:r>
        <w:rPr>
          <w:rtl w:val="true"/>
        </w:rPr>
        <w:t>-</w:t>
      </w:r>
      <w:r>
        <w:rPr>
          <w:rtl w:val="true"/>
        </w:rPr>
        <w:t>רחוב ועונשו הוחמר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לשלושת מקרים אלו</w:t>
      </w:r>
      <w:r>
        <w:rPr>
          <w:rtl w:val="true"/>
        </w:rPr>
        <w:t xml:space="preserve">, </w:t>
      </w:r>
      <w:r>
        <w:rPr>
          <w:rtl w:val="true"/>
        </w:rPr>
        <w:t xml:space="preserve">אשוב על דעתי שנאמרה לא מכבר כי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מדוד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בתחילתה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יישום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למסגרת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בהלכה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מלוא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 xml:space="preserve">עוד אציין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אנאנטאפאק</w:t>
      </w:r>
      <w:r>
        <w:rPr>
          <w:rtl w:val="true"/>
        </w:rPr>
        <w:t xml:space="preserve"> המית את הקורבן לאחר מריבה באמצעות דקירה אחת ונגזר עליו עונש של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  ואולם החמרה לא עמדה על הפרק משלא הוגש ערעור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000000"/>
        </w:rPr>
      </w:pPr>
      <w:r>
        <w:rPr>
          <w:rtl w:val="true"/>
        </w:rPr>
        <w:t>באשר לטענת בא</w:t>
      </w:r>
      <w:r>
        <w:rPr>
          <w:rtl w:val="true"/>
        </w:rPr>
        <w:t>-</w:t>
      </w:r>
      <w:r>
        <w:rPr>
          <w:rtl w:val="true"/>
        </w:rPr>
        <w:t xml:space="preserve">כוח המערער </w:t>
      </w:r>
      <w:r>
        <w:rPr>
          <w:color w:val="000000"/>
          <w:rtl w:val="true"/>
        </w:rPr>
        <w:t xml:space="preserve">בעניין פגיעה בעיקרון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אחידות הענישה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 xml:space="preserve">או כלשונו </w:t>
      </w:r>
      <w:r>
        <w:rPr>
          <w:rtl w:val="true"/>
        </w:rPr>
        <w:t>"</w:t>
      </w:r>
      <w:r>
        <w:rPr>
          <w:rtl w:val="true"/>
        </w:rPr>
        <w:t xml:space="preserve">פער קיצוני של </w:t>
      </w:r>
      <w:r>
        <w:rPr/>
        <w:t>15.5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" </w:t>
      </w:r>
      <w:r>
        <w:rPr>
          <w:rtl w:val="true"/>
        </w:rPr>
        <w:t xml:space="preserve">בין </w:t>
      </w:r>
      <w:r>
        <w:rPr>
          <w:rtl w:val="true"/>
        </w:rPr>
        <w:t>"</w:t>
      </w:r>
      <w:r>
        <w:rPr>
          <w:rtl w:val="true"/>
        </w:rPr>
        <w:t>הנאשם שגרם למעשה ולתוצאה הזו למרות שלא דקר</w:t>
      </w:r>
      <w:r>
        <w:rPr>
          <w:rtl w:val="true"/>
        </w:rPr>
        <w:t xml:space="preserve">, </w:t>
      </w:r>
      <w:r>
        <w:rPr>
          <w:rtl w:val="true"/>
        </w:rPr>
        <w:t>אבל עשה יותר מזה</w:t>
      </w:r>
      <w:r>
        <w:rPr>
          <w:rtl w:val="true"/>
        </w:rPr>
        <w:t xml:space="preserve">..." </w:t>
      </w:r>
      <w:r>
        <w:rPr>
          <w:rtl w:val="true"/>
        </w:rPr>
        <w:t>לבין המערער</w:t>
      </w:r>
      <w:r>
        <w:rPr>
          <w:rtl w:val="true"/>
        </w:rPr>
        <w:t xml:space="preserve">. </w:t>
      </w:r>
      <w:r>
        <w:rPr>
          <w:rtl w:val="true"/>
        </w:rPr>
        <w:t>המערער טוען ל</w:t>
      </w:r>
      <w:r>
        <w:rPr>
          <w:color w:val="000000"/>
          <w:rtl w:val="true"/>
        </w:rPr>
        <w:t xml:space="preserve">פגיעה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בתחושת הצדק וההגינות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 xml:space="preserve">תוך השוואת עונשו לעונש שהוטל של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חודשי מאסר בפועל שהוטל על נאשם </w:t>
      </w:r>
      <w:r>
        <w:rPr>
          <w:color w:val="000000"/>
        </w:rPr>
        <w:t>1</w:t>
      </w:r>
      <w:r>
        <w:rPr>
          <w:color w:val="000000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000000"/>
        </w:rPr>
      </w:pPr>
      <w:r>
        <w:rPr>
          <w:rtl w:val="true"/>
        </w:rPr>
        <w:tab/>
      </w:r>
      <w:r>
        <w:rPr>
          <w:rtl w:val="true"/>
        </w:rPr>
        <w:t xml:space="preserve">ואמנם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עקרון אחידות הענישה הוא עיקרון יסוד בתורת הענישה ולו שני פנים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פן כללי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חיצוני בהחלת שיקולי ענישה דומים ביחס לנאשמים שביצעו עבירות דומות ובאותן נסיבות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ופן פרטני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פנימי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שעניינו הבטחת יחס הולם בין עונשיהם של שותפים לאותה פרשייה עבריינית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שמדרג הענישה בין השותפים ישקף את החלק היחסי שלקח כל אחד מהם באותה פרשייה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ראו לעניין זה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6544/16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ניסנצויג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פיסקאות </w:t>
      </w:r>
      <w:r>
        <w:rPr>
          <w:color w:val="000000"/>
        </w:rPr>
        <w:t>8-9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21.2.2017</w:t>
      </w:r>
      <w:r>
        <w:rPr>
          <w:color w:val="000000"/>
          <w:rtl w:val="true"/>
        </w:rPr>
        <w:t>);</w:t>
      </w:r>
      <w:r>
        <w:rPr>
          <w:color w:val="000000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4597/13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פיצו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22.9.2014</w:t>
      </w:r>
      <w:r>
        <w:rPr>
          <w:color w:val="000000"/>
          <w:rtl w:val="true"/>
        </w:rPr>
        <w:t xml:space="preserve">));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ר</w:t>
      </w:r>
      <w:r>
        <w:rPr>
          <w:rFonts w:ascii="Miriam" w:hAnsi="Miriam" w:cs="Miriam"/>
          <w:color w:val="000000"/>
          <w:szCs w:val="24"/>
          <w:rtl w:val="true"/>
        </w:rPr>
        <w:t>אג</w:t>
      </w:r>
      <w:r>
        <w:rPr>
          <w:rFonts w:cs="Miriam" w:ascii="Miriam" w:hAnsi="Miriam"/>
          <w:color w:val="000000"/>
          <w:szCs w:val="24"/>
          <w:rtl w:val="true"/>
        </w:rPr>
        <w:t>'</w:t>
      </w:r>
      <w:r>
        <w:rPr>
          <w:rFonts w:ascii="Miriam" w:hAnsi="Miriam" w:cs="Miriam"/>
          <w:color w:val="000000"/>
          <w:szCs w:val="24"/>
          <w:rtl w:val="true"/>
        </w:rPr>
        <w:t>זי</w:t>
      </w:r>
      <w:r>
        <w:rPr>
          <w:rFonts w:ascii="Miriam" w:hAnsi="Miriam" w:cs="Miriam"/>
          <w:color w:val="000000"/>
          <w:szCs w:val="24"/>
          <w:rtl w:val="true"/>
        </w:rPr>
        <w:t xml:space="preserve">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rFonts w:cs="Miriam" w:ascii="Miriam" w:hAnsi="Miriam"/>
          <w:color w:val="000000"/>
          <w:szCs w:val="24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16</w:t>
      </w:r>
      <w:r>
        <w:rPr>
          <w:rFonts w:cs="Miriam" w:ascii="Miriam" w:hAnsi="Miriam"/>
          <w:color w:val="00000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Miriam" w:ascii="Miriam" w:hAnsi="Miriam"/>
          <w:color w:val="000000"/>
          <w:szCs w:val="24"/>
          <w:rtl w:val="true"/>
        </w:rPr>
        <w:t>(</w:t>
      </w:r>
      <w:r>
        <w:rPr>
          <w:rFonts w:cs="Century" w:ascii="Century" w:hAnsi="Century"/>
          <w:sz w:val="22"/>
        </w:rPr>
        <w:t>15.5.2022</w:t>
      </w:r>
      <w:r>
        <w:rPr>
          <w:color w:val="000000"/>
          <w:rtl w:val="true"/>
        </w:rPr>
        <w:t xml:space="preserve">)).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color w:val="000000"/>
          <w:rtl w:val="true"/>
        </w:rPr>
        <w:t>אולם בענייננו אין ולא יכולה להיות טענה לאחידות הענישה</w:t>
      </w:r>
      <w:r>
        <w:rPr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לא היה ואין מקום להשוואה בין העונש שהוטל על המערער לבין העונש שהוטל על 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שהתבטאנו עמיתיי ואנוכי בעת הדיון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המערער הורשע בעבירה של רצח באדישות לאחר שהודה בביצוע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בעוד שלגבי נאשם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הובא בפנינו הסדר טיעון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סגור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אשר אומץ על ידי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 שלא ניתן היה להוכיח ראייתית כי ידע שלמערער היה סכין</w:t>
      </w:r>
      <w:r>
        <w:rPr>
          <w:color w:val="000000"/>
          <w:rtl w:val="true"/>
        </w:rPr>
        <w:t xml:space="preserve">; </w:t>
      </w:r>
      <w:r>
        <w:rPr>
          <w:rtl w:val="true"/>
        </w:rPr>
        <w:t xml:space="preserve">רוצה לומר ההקבלה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רק שאינה נכונה</w:t>
      </w:r>
      <w:r>
        <w:rPr>
          <w:rtl w:val="true"/>
        </w:rPr>
        <w:t xml:space="preserve">, </w:t>
      </w:r>
      <w:r>
        <w:rPr>
          <w:rtl w:val="true"/>
        </w:rPr>
        <w:t xml:space="preserve">אלא עלולה ליצור מצג שווא כאילו מדובר בשני שותפים לעבירה שעל האחד הוטלו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ועל האחר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ברי כי לא כך הוא הדבר</w:t>
      </w:r>
      <w:r>
        <w:rPr>
          <w:rtl w:val="true"/>
        </w:rPr>
        <w:t xml:space="preserve">; </w:t>
      </w:r>
      <w:r>
        <w:rPr>
          <w:rtl w:val="true"/>
        </w:rPr>
        <w:t xml:space="preserve">בעוד שלנאשם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 האישום המתוקן יוחסה 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ועבירה של חבלה חמורה בנסיבות מחמירות </w:t>
      </w:r>
      <w:r>
        <w:rPr>
          <w:rtl w:val="true"/>
        </w:rPr>
        <w:t>-</w:t>
      </w:r>
      <w:r>
        <w:rPr>
          <w:rtl w:val="true"/>
        </w:rPr>
        <w:t xml:space="preserve">עבירה לפי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למערער יוחסה עבירה של רצח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בהתייחס לפן הכללי</w:t>
      </w:r>
      <w:r>
        <w:rPr>
          <w:rtl w:val="true"/>
        </w:rPr>
        <w:t>-</w:t>
      </w:r>
      <w:r>
        <w:rPr>
          <w:rtl w:val="true"/>
        </w:rPr>
        <w:t xml:space="preserve">חיצוני הרי שהמערער 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רק שלא ביצעו עבירות דומות באותן נסיבות</w:t>
      </w:r>
      <w:r>
        <w:rPr>
          <w:rtl w:val="true"/>
        </w:rPr>
        <w:t xml:space="preserve">, </w:t>
      </w:r>
      <w:r>
        <w:rPr>
          <w:rtl w:val="true"/>
        </w:rPr>
        <w:t>אלא שעבירות שונות בתכלית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לפן הפרטני</w:t>
      </w:r>
      <w:r>
        <w:rPr>
          <w:rtl w:val="true"/>
        </w:rPr>
        <w:t>-</w:t>
      </w:r>
      <w:r>
        <w:rPr>
          <w:rtl w:val="true"/>
        </w:rPr>
        <w:t>פנימי לטעמי מדרג הענישה בין השניים משקף את החלק היחסי שלקח כל אחד מהם באותה פרשייה בהתייחס לכתב האישום המתוקן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</w:t>
      </w:r>
      <w:r>
        <w:rPr>
          <w:rtl w:val="true"/>
        </w:rPr>
        <w:t xml:space="preserve">, </w:t>
      </w:r>
      <w:r>
        <w:rPr>
          <w:rtl w:val="true"/>
        </w:rPr>
        <w:t>יושב כערכאת ערעור ואינו מתערב בהסדר חתום וסגור שהיה ידוע ומקובל על המערער ואומץ על ידי בית המשפט המחוזי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לקבל את טענת המערער לפיה לא ניתן משקל מספק לשיקולים לקולה במסגרת גזירת עונשו</w:t>
      </w:r>
      <w:r>
        <w:rPr>
          <w:rtl w:val="true"/>
        </w:rPr>
        <w:t xml:space="preserve">.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בנסיבותיו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הפגיעה של העונש במשפחתו</w:t>
      </w:r>
      <w:r>
        <w:rPr>
          <w:rtl w:val="true"/>
        </w:rPr>
        <w:t xml:space="preserve">: </w:t>
      </w:r>
      <w:r>
        <w:rPr>
          <w:rtl w:val="true"/>
        </w:rPr>
        <w:t>משפחה שעלתה לישראל מאתיופיה</w:t>
      </w:r>
      <w:r>
        <w:rPr>
          <w:rtl w:val="true"/>
        </w:rPr>
        <w:t xml:space="preserve">, </w:t>
      </w:r>
      <w:r>
        <w:rPr>
          <w:rtl w:val="true"/>
        </w:rPr>
        <w:t xml:space="preserve">ההורים התגרשו והמערער גדל החל מגיל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ללא אביו</w:t>
      </w:r>
      <w:r>
        <w:rPr>
          <w:rtl w:val="true"/>
        </w:rPr>
        <w:t xml:space="preserve">, </w:t>
      </w:r>
      <w:r>
        <w:rPr>
          <w:rtl w:val="true"/>
        </w:rPr>
        <w:t>עזב את לימודיו וסייע לאימו בפרנסת המשפחה ואחיו</w:t>
      </w:r>
      <w:r>
        <w:rPr>
          <w:rtl w:val="true"/>
        </w:rPr>
        <w:t xml:space="preserve">; </w:t>
      </w:r>
      <w:r>
        <w:rPr>
          <w:rtl w:val="true"/>
        </w:rPr>
        <w:t xml:space="preserve">גם הודאתו במעשים ולקיחת אחריות על מעשיו </w:t>
      </w:r>
      <w:r>
        <w:rPr>
          <w:rtl w:val="true"/>
        </w:rPr>
        <w:t xml:space="preserve"> </w:t>
      </w:r>
      <w:r>
        <w:rPr>
          <w:rtl w:val="true"/>
        </w:rPr>
        <w:t xml:space="preserve">וחזרתו למוטב או מאמציו לחזור למוטב הובילו לחסכון בזמן שיפוטי יקר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עמד לחובתו של המערער עברו הפלילי</w:t>
      </w:r>
      <w:r>
        <w:rPr>
          <w:rtl w:val="true"/>
        </w:rPr>
        <w:t xml:space="preserve">. </w:t>
      </w:r>
      <w:r>
        <w:rPr>
          <w:rtl w:val="true"/>
        </w:rPr>
        <w:t>חרף גילו הצעיר הורשע המ</w:t>
      </w:r>
      <w:r>
        <w:rPr>
          <w:rtl w:val="true"/>
        </w:rPr>
        <w:t>ערער</w:t>
      </w:r>
      <w:r>
        <w:rPr>
          <w:rtl w:val="true"/>
        </w:rPr>
        <w:t xml:space="preserve"> </w:t>
      </w:r>
      <w:r>
        <w:rPr>
          <w:rtl w:val="true"/>
        </w:rPr>
        <w:t xml:space="preserve">בשנת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בעבירות של פציעה על</w:t>
      </w:r>
      <w:r>
        <w:rPr>
          <w:rtl w:val="true"/>
        </w:rPr>
        <w:t>-</w:t>
      </w:r>
      <w:r>
        <w:rPr>
          <w:rtl w:val="true"/>
        </w:rPr>
        <w:t>ידי שניים או יותר</w:t>
      </w:r>
      <w:r>
        <w:rPr>
          <w:rtl w:val="true"/>
        </w:rPr>
        <w:t xml:space="preserve">, </w:t>
      </w:r>
      <w:r>
        <w:rPr>
          <w:rtl w:val="true"/>
        </w:rPr>
        <w:t>הפרת הוראה חוקית והחזקת אגרופן או סכין שלא כדין בגינן הוטלו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שכללו גם הפעלת 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ומאסרים על תנאי</w:t>
      </w:r>
      <w:r>
        <w:rPr>
          <w:rtl w:val="true"/>
        </w:rPr>
        <w:t xml:space="preserve">, </w:t>
      </w:r>
      <w:r>
        <w:rPr>
          <w:rtl w:val="true"/>
        </w:rPr>
        <w:t xml:space="preserve">שאחד מהם הוא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ובר הפעלה בתיק שלפנינו</w:t>
      </w:r>
      <w:r>
        <w:rPr>
          <w:rtl w:val="true"/>
        </w:rPr>
        <w:t xml:space="preserve">. </w:t>
      </w:r>
      <w:r>
        <w:rPr>
          <w:rtl w:val="true"/>
        </w:rPr>
        <w:t xml:space="preserve">למרות </w:t>
      </w:r>
      <w:r>
        <w:rPr>
          <w:rtl w:val="true"/>
        </w:rPr>
        <w:t>כל אלה</w:t>
      </w:r>
      <w:r>
        <w:rPr>
          <w:rtl w:val="true"/>
        </w:rPr>
        <w:t xml:space="preserve">, </w:t>
      </w:r>
      <w:r>
        <w:rPr>
          <w:rtl w:val="true"/>
        </w:rPr>
        <w:t xml:space="preserve">נדמה כי הסנקציות אשר הוטלו על </w:t>
      </w:r>
      <w:r>
        <w:rPr>
          <w:rtl w:val="true"/>
        </w:rPr>
        <w:t>המערער</w:t>
      </w:r>
      <w:r>
        <w:rPr>
          <w:rtl w:val="true"/>
        </w:rPr>
        <w:t xml:space="preserve"> עד כה לא היוו עבורו גורם מרתיע</w:t>
      </w:r>
      <w:r>
        <w:rPr>
          <w:rtl w:val="true"/>
        </w:rPr>
        <w:t xml:space="preserve"> ולא הרתיעוהו מלבצע את מעשה הרצח באדישות ובשוויון נפש במקרה 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זה אני סבור כי התוצאה שאליה הגיע בית המשפט המחוזי משקפת איזון הולם בין מכלול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עת קבע</w:t>
      </w:r>
      <w:r>
        <w:rPr>
          <w:rtl w:val="true"/>
        </w:rPr>
        <w:t xml:space="preserve">, </w:t>
      </w:r>
      <w:r>
        <w:rPr>
          <w:rtl w:val="true"/>
        </w:rPr>
        <w:t>בשים לב לנסיבותיו של המקרה ונסיבותיו של המערער עצמו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ההולם בעניינו של המערער נע 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מאחר שנסיבותיו האישיות של המערער בעלות משקל מוגבל ולנוכח הצורך לאזן במשורה בין שיקולים אלו במלאכת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מתחם העונש ההולם שנקבע </w:t>
      </w:r>
      <w:r>
        <w:rPr>
          <w:rFonts w:ascii="Miriam" w:hAnsi="Miriam" w:cs="Miriam"/>
          <w:szCs w:val="24"/>
          <w:rtl w:val="true"/>
        </w:rPr>
        <w:t>הולם</w:t>
      </w:r>
      <w:r>
        <w:rPr>
          <w:rtl w:val="true"/>
        </w:rPr>
        <w:t xml:space="preserve"> את חומרת מעשיו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על המערער נגזרו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כלומר הרף </w:t>
      </w:r>
      <w:r>
        <w:rPr>
          <w:rFonts w:ascii="Miriam" w:hAnsi="Miriam" w:cs="Miriam"/>
          <w:szCs w:val="24"/>
          <w:rtl w:val="true"/>
        </w:rPr>
        <w:t>הנמוך</w:t>
      </w:r>
      <w:r>
        <w:rPr>
          <w:rtl w:val="true"/>
        </w:rPr>
        <w:t xml:space="preserve"> במתחם</w:t>
      </w:r>
      <w:r>
        <w:rPr>
          <w:rtl w:val="true"/>
        </w:rPr>
        <w:t xml:space="preserve"> </w:t>
      </w:r>
      <w:r>
        <w:rPr>
          <w:rtl w:val="true"/>
        </w:rPr>
        <w:t>העונש ההולם ומשכך איני מוצא נסיבות כלשהן שבעטיין עלינו להקל בעונשו ולחרוג ממנו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כפי שהתבטאתי בעבר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8900/21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מחאג</w:t>
      </w:r>
      <w:r>
        <w:rPr>
          <w:rFonts w:cs="Miriam" w:ascii="Miriam" w:hAnsi="Miriam"/>
          <w:szCs w:val="24"/>
          <w:rtl w:val="true"/>
        </w:rPr>
        <w:t>'</w:t>
      </w:r>
      <w:r>
        <w:rPr>
          <w:rFonts w:ascii="Miriam" w:hAnsi="Miriam" w:cs="Miriam"/>
          <w:szCs w:val="24"/>
          <w:rtl w:val="true"/>
        </w:rPr>
        <w:t>נה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9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Miriam" w:ascii="Miriam" w:hAnsi="Miriam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</w:rPr>
        <w:t>14.8.2022</w:t>
      </w:r>
      <w:r>
        <w:rPr>
          <w:rtl w:val="true"/>
        </w:rPr>
        <w:t xml:space="preserve">)) </w:t>
      </w:r>
      <w:r>
        <w:rPr>
          <w:rtl w:val="true"/>
        </w:rPr>
        <w:t>בית משפט זה שב ועמד לא אחת על חומרתן של עבירות אלימות הפושטות ברחובותינו ומסכנות את 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חומרה יתרה אף גלומה בעבירות אשר מתבצעות תוך שימוש בסכין וכן בנסיבות בהן תוקפים יחיד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 שכבר נפסק</w:t>
      </w:r>
      <w:r>
        <w:rPr>
          <w:rtl w:val="true"/>
        </w:rPr>
        <w:t>, "</w:t>
      </w:r>
      <w:r>
        <w:rPr>
          <w:rtl w:val="true"/>
        </w:rPr>
        <w:t>סכין הנישאת על גוף במערכה ראשונה סופה שהיא נשלפת וננעצת בגופו של הזולת במערכה השנייה</w:t>
      </w:r>
      <w:r>
        <w:rPr>
          <w:rtl w:val="true"/>
        </w:rPr>
        <w:t>"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9133/04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גורדון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20.12.2004</w:t>
      </w:r>
      <w:r>
        <w:rPr>
          <w:rtl w:val="true"/>
        </w:rPr>
        <w:t xml:space="preserve">)) </w:t>
      </w:r>
      <w:r>
        <w:rPr>
          <w:rtl w:val="true"/>
        </w:rPr>
        <w:t>העבירה בה הורשע המערער</w:t>
      </w:r>
      <w:r>
        <w:rPr>
          <w:rtl w:val="true"/>
        </w:rPr>
        <w:t xml:space="preserve">, </w:t>
      </w:r>
      <w:r>
        <w:rPr>
          <w:rtl w:val="true"/>
        </w:rPr>
        <w:t>רצח המנוח תוך חוסר אכפתיות כלפי חיי קורבנו</w:t>
      </w:r>
      <w:r>
        <w:rPr>
          <w:rtl w:val="true"/>
        </w:rPr>
        <w:t xml:space="preserve">,  </w:t>
      </w:r>
      <w:r>
        <w:rPr>
          <w:rtl w:val="true"/>
        </w:rPr>
        <w:t>היא מהחמורות שבספר החוקים ולא בכדי העונש שניתן להטיל בגינה עד מאסר עולם</w:t>
      </w:r>
      <w:r>
        <w:rPr>
          <w:rtl w:val="true"/>
        </w:rPr>
        <w:t xml:space="preserve">. </w:t>
      </w:r>
      <w:r>
        <w:rPr>
          <w:rtl w:val="true"/>
        </w:rPr>
        <w:t>משכך עלינו לבטא את עמדת המחוקק ביחס לחומרת עבירה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000000"/>
        </w:rPr>
      </w:pP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color w:val="0070C0"/>
        </w:rPr>
      </w:pPr>
      <w:r>
        <w:rPr>
          <w:color w:val="0070C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>בהינתן מכלול הטעמים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ובהתחשב בחומרתה הרבה של העבירה בה הורשע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 ביצועה ובנסיבותיו האישיות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ובשים לב למגמת </w:t>
      </w:r>
      <w:r>
        <w:rPr>
          <w:rtl w:val="true"/>
        </w:rPr>
        <w:t>ההחמרה ברפורמה בעבירות ההמתה ביחס לעבירת הרצח באדישות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העונש שהוטל על המערער אינו סוטה ממדיניות הענישה הנוהגת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ואם ניכרת סטייה כלשהיא הרי שהיא לקולה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 זה למן העניין להשוואה אותה מבקש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 לעשות בין עונשו לבין עונשו של הנאשם האחר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משכך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אציע לחברתי ולחברי כי נדחה את הערעור</w:t>
      </w:r>
      <w:r>
        <w:rPr>
          <w:color w:val="000000"/>
          <w:rtl w:val="true"/>
        </w:rPr>
        <w:t xml:space="preserve">.  </w:t>
      </w:r>
    </w:p>
    <w:p>
      <w:pPr>
        <w:pStyle w:val="Ruller4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Normal"/>
        <w:shd w:fill="FFFFFF" w:val="clear"/>
        <w:bidi w:val="1"/>
        <w:ind w:end="0"/>
        <w:jc w:val="star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hd w:fill="FFFFFF" w:val="clear"/>
        <w:bidi w:val="1"/>
        <w:ind w:end="0"/>
        <w:jc w:val="start"/>
        <w:rPr>
          <w:rFonts w:ascii="Arial" w:hAnsi="Arial" w:cs="Arial"/>
          <w:color w:val="222222"/>
        </w:rPr>
      </w:pPr>
      <w:r>
        <w:rPr>
          <w:rFonts w:eastAsia="FrankRuehl" w:cs="FrankRuehl" w:ascii="FrankRuehl" w:hAnsi="FrankRuehl"/>
          <w:color w:val="222222"/>
          <w:sz w:val="28"/>
          <w:szCs w:val="28"/>
          <w:rtl w:val="true"/>
        </w:rPr>
        <w:t xml:space="preserve"> </w:t>
      </w:r>
    </w:p>
    <w:p>
      <w:pPr>
        <w:pStyle w:val="NormalWeb"/>
        <w:ind w:end="0"/>
        <w:jc w:val="start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13.12.2023</w:t>
      </w:r>
      <w:r>
        <w:rPr>
          <w:rtl w:val="true"/>
        </w:rPr>
        <w:t xml:space="preserve">). </w:t>
      </w:r>
      <w:bookmarkEnd w:id="15"/>
    </w:p>
    <w:p>
      <w:pPr>
        <w:pStyle w:val="Normal"/>
        <w:shd w:fill="FFFFFF" w:val="clea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23019380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54678313-1938/23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1938/23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בלאי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color w:val="000000"/>
      <w:sz w:val="28"/>
      <w:szCs w:val="28"/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m2550035015174638542ruller40">
    <w:name w:val="m_2550035015174638542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NormalWeb">
    <w:name w:val="Normal (Web)"/>
    <w:basedOn w:val="Normal"/>
    <w:qFormat/>
    <w:pPr/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3445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00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2" TargetMode="External"/><Relationship Id="rId8" Type="http://schemas.openxmlformats.org/officeDocument/2006/relationships/hyperlink" Target="http://www.nevo.co.il/law/70301/40ja.6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344501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.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7443208" TargetMode="External"/><Relationship Id="rId21" Type="http://schemas.openxmlformats.org/officeDocument/2006/relationships/hyperlink" Target="http://www.nevo.co.il/case/28912788" TargetMode="External"/><Relationship Id="rId22" Type="http://schemas.openxmlformats.org/officeDocument/2006/relationships/hyperlink" Target="http://www.nevo.co.il/case/26697465" TargetMode="External"/><Relationship Id="rId23" Type="http://schemas.openxmlformats.org/officeDocument/2006/relationships/hyperlink" Target="http://www.nevo.co.il/case/23825973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4140838" TargetMode="External"/><Relationship Id="rId26" Type="http://schemas.openxmlformats.org/officeDocument/2006/relationships/hyperlink" Target="http://www.nevo.co.il/case/26430898" TargetMode="External"/><Relationship Id="rId27" Type="http://schemas.openxmlformats.org/officeDocument/2006/relationships/hyperlink" Target="http://www.nevo.co.il/case/28326750" TargetMode="External"/><Relationship Id="rId28" Type="http://schemas.openxmlformats.org/officeDocument/2006/relationships/hyperlink" Target="http://www.nevo.co.il/case/27397243" TargetMode="External"/><Relationship Id="rId29" Type="http://schemas.openxmlformats.org/officeDocument/2006/relationships/hyperlink" Target="http://www.nevo.co.il/case/28358114" TargetMode="External"/><Relationship Id="rId30" Type="http://schemas.openxmlformats.org/officeDocument/2006/relationships/hyperlink" Target="http://www.nevo.co.il/case/28538252" TargetMode="External"/><Relationship Id="rId31" Type="http://schemas.openxmlformats.org/officeDocument/2006/relationships/hyperlink" Target="http://www.nevo.co.il/case/2831365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0.a" TargetMode="External"/><Relationship Id="rId34" Type="http://schemas.openxmlformats.org/officeDocument/2006/relationships/hyperlink" Target="http://www.nevo.co.il/case/27443208" TargetMode="External"/><Relationship Id="rId35" Type="http://schemas.openxmlformats.org/officeDocument/2006/relationships/hyperlink" Target="http://www.nevo.co.il/case/28701794" TargetMode="External"/><Relationship Id="rId36" Type="http://schemas.openxmlformats.org/officeDocument/2006/relationships/hyperlink" Target="http://www.nevo.co.il/case/22275578" TargetMode="External"/><Relationship Id="rId37" Type="http://schemas.openxmlformats.org/officeDocument/2006/relationships/hyperlink" Target="http://www.nevo.co.il/case/25305753" TargetMode="External"/><Relationship Id="rId38" Type="http://schemas.openxmlformats.org/officeDocument/2006/relationships/hyperlink" Target="http://www.nevo.co.il/case/26670943" TargetMode="External"/><Relationship Id="rId39" Type="http://schemas.openxmlformats.org/officeDocument/2006/relationships/hyperlink" Target="http://www.nevo.co.il/case/27539006" TargetMode="External"/><Relationship Id="rId40" Type="http://schemas.openxmlformats.org/officeDocument/2006/relationships/hyperlink" Target="http://www.nevo.co.il/case/24493126" TargetMode="External"/><Relationship Id="rId41" Type="http://schemas.openxmlformats.org/officeDocument/2006/relationships/hyperlink" Target="http://www.nevo.co.il/case/21479956" TargetMode="External"/><Relationship Id="rId42" Type="http://schemas.openxmlformats.org/officeDocument/2006/relationships/hyperlink" Target="http://www.nevo.co.il/case/7697315" TargetMode="External"/><Relationship Id="rId43" Type="http://schemas.openxmlformats.org/officeDocument/2006/relationships/hyperlink" Target="http://www.nevo.co.il/case/28142541" TargetMode="External"/><Relationship Id="rId44" Type="http://schemas.openxmlformats.org/officeDocument/2006/relationships/hyperlink" Target="http://www.nevo.co.il/law/70301/192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33" TargetMode="External"/><Relationship Id="rId47" Type="http://schemas.openxmlformats.org/officeDocument/2006/relationships/hyperlink" Target="http://www.nevo.co.il/law/70301/335.2" TargetMode="External"/><Relationship Id="rId48" Type="http://schemas.openxmlformats.org/officeDocument/2006/relationships/hyperlink" Target="http://www.nevo.co.il/law/70301/300.a" TargetMode="External"/><Relationship Id="rId49" Type="http://schemas.openxmlformats.org/officeDocument/2006/relationships/hyperlink" Target="http://www.nevo.co.il/law/70301/40ja.6" TargetMode="External"/><Relationship Id="rId50" Type="http://schemas.openxmlformats.org/officeDocument/2006/relationships/hyperlink" Target="http://www.nevo.co.il/case/28207045" TargetMode="External"/><Relationship Id="rId51" Type="http://schemas.openxmlformats.org/officeDocument/2006/relationships/hyperlink" Target="http://www.nevo.co.il/case/6145792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2023-12-13T11:57:00Z</dcterms:created>
  <dc:creator>h4</dc:creator>
  <dc:description/>
  <cp:keywords/>
  <dc:language>en-IL</dc:language>
  <cp:lastModifiedBy>h1</cp:lastModifiedBy>
  <cp:lastPrinted>2023-12-13T07:03:00Z</cp:lastPrinted>
  <dcterms:modified xsi:type="dcterms:W3CDTF">2023-12-13T11:57:00Z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בלאי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28344501:2;27443208:2;28912788;26697465;23825973;25824863;24140838;26430898;28326750;27397243;28358114;28538252;28313659;28701794;22275578;25305753;26670943;27539006;24493126;21479956;7697315;28142541;28207045;6145792</vt:lpwstr>
  </property>
  <property fmtid="{D5CDD505-2E9C-101B-9397-08002B2CF9AE}" pid="9" name="CITY">
    <vt:lpwstr/>
  </property>
  <property fmtid="{D5CDD505-2E9C-101B-9397-08002B2CF9AE}" pid="10" name="DATE">
    <vt:lpwstr>20231213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אלרון;ח' כבוב;ר' רונן</vt:lpwstr>
  </property>
  <property fmtid="{D5CDD505-2E9C-101B-9397-08002B2CF9AE}" pid="14" name="LAWLISTTMP1">
    <vt:lpwstr>70301/300.a:4;192:2;333:2;335.2:2;40ja.6</vt:lpwstr>
  </property>
  <property fmtid="{D5CDD505-2E9C-101B-9397-08002B2CF9AE}" pid="15" name="LAWYER">
    <vt:lpwstr>מורן פולמן;אבי כהן;ורד אנוך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עבירת הרצח</vt:lpwstr>
  </property>
  <property fmtid="{D5CDD505-2E9C-101B-9397-08002B2CF9AE}" pid="38" name="NOSE210">
    <vt:lpwstr/>
  </property>
  <property fmtid="{D5CDD505-2E9C-101B-9397-08002B2CF9AE}" pid="39" name="NOSE22">
    <vt:lpwstr>עבירת הרצח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12455;12455;1446;1446</vt:lpwstr>
  </property>
  <property fmtid="{D5CDD505-2E9C-101B-9397-08002B2CF9AE}" pid="48" name="NOSE31">
    <vt:lpwstr>רצח באדישות</vt:lpwstr>
  </property>
  <property fmtid="{D5CDD505-2E9C-101B-9397-08002B2CF9AE}" pid="49" name="NOSE310">
    <vt:lpwstr/>
  </property>
  <property fmtid="{D5CDD505-2E9C-101B-9397-08002B2CF9AE}" pid="50" name="NOSE32">
    <vt:lpwstr>תיקון 137</vt:lpwstr>
  </property>
  <property fmtid="{D5CDD505-2E9C-101B-9397-08002B2CF9AE}" pid="51" name="NOSE33">
    <vt:lpwstr>אחדות הענישה</vt:lpwstr>
  </property>
  <property fmtid="{D5CDD505-2E9C-101B-9397-08002B2CF9AE}" pid="52" name="NOSE34">
    <vt:lpwstr>התערבות ערכאת הערעור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19512;18905;12547;8978</vt:lpwstr>
  </property>
  <property fmtid="{D5CDD505-2E9C-101B-9397-08002B2CF9AE}" pid="59" name="PADIDATE">
    <vt:lpwstr>20231213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1938</vt:lpwstr>
  </property>
  <property fmtid="{D5CDD505-2E9C-101B-9397-08002B2CF9AE}" pid="65" name="PROCYEAR">
    <vt:lpwstr>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410120231213</vt:lpwstr>
  </property>
  <property fmtid="{D5CDD505-2E9C-101B-9397-08002B2CF9AE}" pid="69" name="TYPE_N_DATE">
    <vt:lpwstr>41020231213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