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1944/20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2013/20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>ת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1944/20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והמשיבה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2013/20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</w:t>
            </w:r>
            <w:r>
              <w:rPr>
                <w:rFonts w:ascii="David" w:hAnsi="David"/>
                <w:rtl w:val="true"/>
              </w:rPr>
              <w:t>שיב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1944/20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והמערער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2013/20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אמארה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1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13"/>
      </w:tblGrid>
      <w:tr>
        <w:trPr/>
        <w:tc>
          <w:tcPr>
            <w:tcW w:w="511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>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30.1.2020</w:t>
            </w:r>
            <w:r>
              <w:rPr>
                <w:sz w:val="24"/>
                <w:szCs w:val="24"/>
                <w:rtl w:val="true"/>
              </w:rPr>
              <w:t xml:space="preserve"> (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ד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פיש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19438-03-18</w:t>
              </w:r>
            </w:hyperlink>
            <w:r>
              <w:rPr>
                <w:color w:val="0000FF"/>
                <w:sz w:val="24"/>
                <w:szCs w:val="24"/>
                <w:u w:val="single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0"/>
                <w:sz w:val="20"/>
                <w:szCs w:val="24"/>
                <w:rtl w:val="true"/>
              </w:rPr>
              <w:t>ט</w:t>
            </w:r>
            <w:r>
              <w:rPr>
                <w:sz w:val="20"/>
                <w:szCs w:val="24"/>
                <w:rtl w:val="true"/>
              </w:rPr>
              <w:t xml:space="preserve">' </w:t>
            </w:r>
            <w:r>
              <w:rPr>
                <w:sz w:val="20"/>
                <w:sz w:val="20"/>
                <w:szCs w:val="24"/>
                <w:rtl w:val="true"/>
              </w:rPr>
              <w:t>בתמוז</w:t>
            </w:r>
            <w:r>
              <w:rPr>
                <w:rFonts w:cs="Times New Roman"/>
                <w:sz w:val="20"/>
                <w:sz w:val="20"/>
                <w:szCs w:val="24"/>
                <w:rtl w:val="true"/>
              </w:rPr>
              <w:t xml:space="preserve"> </w:t>
            </w:r>
            <w:r>
              <w:rPr>
                <w:sz w:val="20"/>
                <w:sz w:val="20"/>
                <w:szCs w:val="24"/>
                <w:rtl w:val="true"/>
              </w:rPr>
              <w:t>התש</w:t>
            </w:r>
            <w:r>
              <w:rPr>
                <w:sz w:val="20"/>
                <w:szCs w:val="24"/>
                <w:rtl w:val="true"/>
              </w:rPr>
              <w:t>"</w:t>
            </w:r>
            <w:r>
              <w:rPr>
                <w:sz w:val="20"/>
                <w:sz w:val="20"/>
                <w:szCs w:val="24"/>
                <w:rtl w:val="true"/>
              </w:rPr>
              <w:t>ף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01.07.2020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90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7"/>
        <w:gridCol w:w="3256"/>
        <w:gridCol w:w="27"/>
        <w:gridCol w:w="5080"/>
      </w:tblGrid>
      <w:tr>
        <w:trPr/>
        <w:tc>
          <w:tcPr>
            <w:tcW w:w="27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3283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1944/20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2013/20</w:t>
            </w:r>
            <w:r>
              <w:rPr>
                <w:rtl w:val="true"/>
              </w:rPr>
              <w:t>:</w:t>
            </w:r>
          </w:p>
        </w:tc>
        <w:tc>
          <w:tcPr>
            <w:tcW w:w="5080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אפרת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גולדשטיין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רוזן</w:t>
            </w:r>
          </w:p>
        </w:tc>
      </w:tr>
      <w:tr>
        <w:trPr/>
        <w:tc>
          <w:tcPr>
            <w:tcW w:w="27" w:type="dxa"/>
            <w:tcBorders/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3256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1944/20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2013/20</w:t>
            </w:r>
            <w:r>
              <w:rPr>
                <w:rtl w:val="true"/>
              </w:rPr>
              <w:t>:</w:t>
            </w:r>
          </w:p>
        </w:tc>
        <w:tc>
          <w:tcPr>
            <w:tcW w:w="5107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יהלי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שפרלינג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סעיד</w:t>
            </w:r>
            <w:r>
              <w:rPr>
                <w:rtl w:val="true"/>
              </w:rPr>
              <w:tab/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ה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ט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z w:val="24"/>
          </w:rPr>
          <w:t>58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sz w:val="24"/>
          </w:rPr>
          <w:t>144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sz w:val="24"/>
          </w:rPr>
          <w:t>144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sz w:val="24"/>
          </w:rPr>
          <w:t>144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ג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sz w:val="24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יא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1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rtl w:val="true"/>
          </w:rPr>
          <w:t>]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sz w:val="24"/>
          </w:rPr>
          <w:t>10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4">
        <w:r>
          <w:rPr>
            <w:rStyle w:val="Hyperlink"/>
            <w:rFonts w:cs="FrankRuehl" w:ascii="FrankRuehl" w:hAnsi="FrankRuehl"/>
            <w:sz w:val="24"/>
          </w:rPr>
          <w:t>62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15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פקודת ביטוח רכב מנועי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1970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16">
        <w:r>
          <w:rPr>
            <w:rStyle w:val="Hyperlink"/>
            <w:rFonts w:cs="FrankRuehl" w:ascii="FrankRuehl" w:hAnsi="FrankRuehl"/>
            <w:sz w:val="24"/>
          </w:rPr>
          <w:t>2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  <w:u w:val="single"/>
        </w:rPr>
      </w:pPr>
      <w:r>
        <w:rPr>
          <w:rFonts w:cs="FrankRuehl" w:ascii="FrankRuehl" w:hAnsi="FrankRuehl"/>
          <w:color w:val="0000FF"/>
          <w:sz w:val="24"/>
          <w:u w:val="single"/>
          <w:rtl w:val="true"/>
        </w:rPr>
      </w:r>
      <w:bookmarkStart w:id="6" w:name="LawTable_End"/>
      <w:bookmarkStart w:id="7" w:name="LawTable_End"/>
      <w:bookmarkEnd w:id="7"/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 אם מתחם הענישה שקבע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הוא גבוה יחסית בהשוואה למתחם הנוהג בעבירות נשק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בפרט משמדובר בענייננו בעסקת נשק אחת בלבד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המתחם שנקבע אינו חורג ממרחב הגמישות שנתון לערכאה 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 גם שבנסיבות העניין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היה מקום להפעיל את עונש המאסר המותנה במצטבר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במכלול העונש שהוטל הולם את נסיבות המקרה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עד כה לא נעשה שימוש </w:t>
      </w:r>
      <w:hyperlink r:id="rId17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בסעיף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40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ה</w:t>
        </w:r>
      </w:hyperlink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בפסיקת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העליון כדי להחמיר בענישה בעבירות נשק וביהמ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אינו מוצא לנכון לעשות כן בענייננו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נשק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 ערכאת ערעור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מתחם הענישה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אחדות הענישה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הפעלת מאסר על תנאי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ערעורים מזה ומזה על גז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ד מחוזי במסגרתו נדון מוחמד אמארה לעונש הכולל </w:t>
      </w:r>
      <w:r>
        <w:rPr>
          <w:rFonts w:cs="Times New Roman" w:ascii="Times New Roman" w:hAnsi="Times New Roman"/>
          <w:spacing w:val="0"/>
          <w:sz w:val="24"/>
          <w:szCs w:val="26"/>
        </w:rPr>
        <w:t>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וכן הופעל מאסר על תנאי בן </w:t>
      </w:r>
      <w:r>
        <w:rPr>
          <w:rFonts w:cs="Times New Roman" w:ascii="Times New Roman" w:hAnsi="Times New Roman"/>
          <w:spacing w:val="0"/>
          <w:sz w:val="24"/>
          <w:szCs w:val="26"/>
        </w:rPr>
        <w:t>24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מחציתו במצטבר ומחציתו בחופף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כך שתקופת המאסר הכוללת היא </w:t>
      </w:r>
      <w:r>
        <w:rPr>
          <w:rFonts w:cs="Times New Roman" w:ascii="Times New Roman" w:hAnsi="Times New Roman"/>
          <w:spacing w:val="0"/>
          <w:sz w:val="24"/>
          <w:szCs w:val="26"/>
        </w:rPr>
        <w:t>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 לאחר שהורשע במסגרת הסדר טיעון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בעבירות של סחר בנשק שלא כדין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עבירות בנשק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החזקה ונשיאה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נהיגה ללא רישיון נהיגה תקף וללא פוליסת ביטוח תקפה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המדינה מערערת על קולת עונש המאסר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ומבקשת להחמיר בעונשו משיקולים של הגנה על שלום הציבור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כאמור </w:t>
      </w:r>
      <w:hyperlink r:id="rId18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בסעיף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40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ה</w:t>
        </w:r>
      </w:hyperlink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ל</w:t>
      </w:r>
      <w:hyperlink r:id="rId19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העונשין</w:t>
        </w:r>
      </w:hyperlink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ומנגד אמארה מערער על חומרת העונש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השופטת 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ברון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בהסכמת </w:t>
      </w:r>
      <w:r>
        <w:rPr>
          <w:rFonts w:ascii="Times New Roman" w:hAnsi="Times New Roman" w:cs="Times New Roman"/>
          <w:spacing w:val="0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Cs w:val="26"/>
          <w:rtl w:val="true"/>
        </w:rPr>
        <w:t>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עמית ונ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סולברג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הערעורים מהטעמים הבאים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כידוע הוא שערכאת הערעור אינה נוטה להתערב בעונש שהושת על ידי הערכאה הדיונית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אם לחומרה ואם לקולה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בנסיבות שבהן העונש חורג באופן קיצוני מהענישה המקובלת במקרים דומים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 כאשר נפלה טעות בולטת בגזר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במכלול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 שהוטל על הנאשם הוא ראוי והולם בנסיבות המקרה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ומשכך דין הערעורים להידחות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עיקר טענות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אמארה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מופנות נגד מתחם העונש ההולם שנקבע בעניינו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לשיטתו חורג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לחומרה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ממדיניות הענישה הנוהגת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נפסק לא אחת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כי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אין זהות בין מתחם העונש ההולם ובין מדיניות הענישה הנוהגת והובהר כי מתחם העונש ההולם מגלם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הכרעה ערכית המבוססת על שיקולים שונים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וכי מדיניות הענישה בעבירה הנתונה היא רק אחד מאותם שיקולים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עוד נפסק כי לביהמ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נתון מרחב מסוים של גמישות בבואו לקבוע את מתחם העונש ההולם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שאין להתערב בו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במיוחד מקום שבו העונש שנגזר בסופו של יום אינו חורג מן הראוי וההולם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וכך גם בענייננו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בשורה ארוכה של פסקי דין עמד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זה על חומרתן הרבה של עבירות נשק והסכנה הגבוהה שנשקפת מהן לשלום הציבור וביטחונו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ובהתאם לכך קיימת מגמת החמרה בענישה בגין עבירות אלו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במטרה להרתיע מפני ביצוען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אמנם דומה כי מתחם הענישה שקבע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הוא גבוה יחסית בהשוואה למתחם הנוהג בעבירות נשק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בפרט משמדובר בענייננו בעסקת נשק אחת בלבד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המתחם שנקבע אינו חורג ממרחב הגמישות שנתון לערכאה 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כאמור לעיל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בפרט נוכח התנהלותו העקבית לאורך השנים המעידה כי מסוכנותו של אמארה היא ממשית ומצדיקה הטלת עונש מאסר ממושך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מעבר לכך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 העושה והמעשה לא היה מקום לחרוג מהכלל ולהפעיל את עונש המאסר על תנאי חציו במצטבר חציו בחופף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העבר הפלילי הרלוונטי של אמארה מכביד וזועק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נראה 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עיסוקו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בביצוע עבירות נשק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ונקבע בעבר כי ככל שקיימת זיקה בין העבירה הנוכחית לבין העבירה שבגינה הוטל עונש המאסר המותנה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ייטה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להחלת ברירת המחדל והפעלת המאסר המותנה באופן מצטבר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זו אף זו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חרף תקופות המאסר הממושכות שריצה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אמארה לא נרתע מלשוב לסורו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גם כאשר מאסר על תנאי בן </w:t>
      </w:r>
      <w:r>
        <w:rPr>
          <w:rFonts w:cs="Times New Roman" w:ascii="Times New Roman" w:hAnsi="Times New Roman"/>
          <w:spacing w:val="0"/>
          <w:sz w:val="24"/>
          <w:szCs w:val="26"/>
        </w:rPr>
        <w:t>24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 מרחף מעל ראשו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העבירות דנן ביצע כחודשיים וחצי בלבד לאחר שהשתחרר ממאסר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נוטה הכף בבירור לכיוון ברירת המחדל של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צבירת העונשים על פני החלתם בחופף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כן נדחו טענות אמארה לעניין חריגה מעיקרון אחידות הענישה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קיימים הבדלים משמעותיים בין עניינו לעניינם של הנאשמים האחרים בעבירות נשק במסגרת פעילותו של הסוכן המשטרתי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מכל מקום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מדובר 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פרשה אחת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שבקשר אליה קיימת חריגה מעיקרון אחידות הענישה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כתבי האישום שהוגשו במסגרת פרשת הסוכן המשטרתי דנן הם כתבי אישום נפרדים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שמתארים עסקאות נשק שונות לחלוטין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וכל שמקשר בין הנאשמים הוא מעורבותו של אותו סוכן משטרתי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ואין בכך כדי להפוך את הנאשמים לחלק 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פרשה אחת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מכל מקום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משנמצא כי אילו הושת על אמארה עונש מאסר בפועל של </w:t>
      </w:r>
      <w:r>
        <w:rPr>
          <w:rFonts w:cs="Times New Roman" w:ascii="Times New Roman" w:hAnsi="Times New Roman"/>
          <w:spacing w:val="0"/>
          <w:sz w:val="24"/>
          <w:szCs w:val="26"/>
        </w:rPr>
        <w:t>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שנים לא היה בכך משום חריגה מגדרי הענישה הנוהגת וכי בנסיבות המקרה היה מקום להפעיל את </w:t>
      </w:r>
      <w:r>
        <w:rPr>
          <w:rFonts w:cs="Times New Roman" w:ascii="Times New Roman" w:hAnsi="Times New Roman"/>
          <w:spacing w:val="0"/>
          <w:sz w:val="24"/>
          <w:szCs w:val="26"/>
        </w:rPr>
        <w:t>24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חודשי המאסר על תנאי במצטבר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תקופת המאסר בפועל שנגזרה על אמארה נותרת </w:t>
      </w:r>
      <w:r>
        <w:rPr>
          <w:rFonts w:cs="Times New Roman" w:ascii="Times New Roman" w:hAnsi="Times New Roman"/>
          <w:spacing w:val="0"/>
          <w:sz w:val="24"/>
          <w:szCs w:val="26"/>
        </w:rPr>
        <w:t>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 כפי שגזר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במכלול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נפסק לא פעם כי אין הצדקה לקבל ערעור מקום שבו התוצאה העונשית הסופית אינה מצדיקה התערבות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 אם נפלה שגגה בגזירת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כן נדחה ערעור המדינה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עד כה לא נעשה שימוש </w:t>
      </w:r>
      <w:hyperlink r:id="rId20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בסעיף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40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ה</w:t>
        </w:r>
      </w:hyperlink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בפסיקת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העליון כדי להחמיר בענישה בעבירות נשק וביהמ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אינו מוצא לנכון לעשות כן גם במקרה דנן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התחשב בכל אותן נסיבות מחמירות שהמדינה טוענת להן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ובכללן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התכנון המוקדם של העבירות וחלקו הדומיננטי של אמארה בביצוען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סוג הנשק שנמכר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הרשעותי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הקודמות של אמארה והיותו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רצידיוויסט סדרתי בכל הקשור לעבירות נשק ועבירות נוספות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וסמיכות ביצוע העבירות דנן לשחרורו של אמארה ממאסר קודם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לנוכח נסיבות מחמירות אלו קבע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מתחם ענישה בהתאם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ואף התחשב בעברו הפלילי של אמארה במסגרת גזירת העונש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בקובעו כי יש לגזור על הנאשם עונש מאסר בגבול העליון של המתחם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משכך יש לדחות גם את ערעור המדינה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Arial TUR" w:hAnsi="Arial TUR" w:cs="Arial TUR"/>
          <w:sz w:val="22"/>
          <w:szCs w:val="24"/>
          <w:u w:val="single"/>
        </w:rPr>
      </w:pPr>
      <w:r>
        <w:rPr>
          <w:rFonts w:cs="Arial TUR" w:ascii="Arial TUR" w:hAnsi="Arial TUR"/>
          <w:sz w:val="22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Fonts w:cs="Arial TUR" w:ascii="Arial TUR" w:hAnsi="Arial TUR"/>
          <w:sz w:val="22"/>
        </w:rPr>
        <w:t>1</w:t>
      </w:r>
      <w:r>
        <w:rPr>
          <w:rFonts w:cs="Arial TUR" w:ascii="Arial TUR" w:hAnsi="Arial TUR"/>
          <w:sz w:val="22"/>
          <w:rtl w:val="true"/>
        </w:rPr>
        <w:t>.</w:t>
        <w:tab/>
      </w:r>
      <w:r>
        <w:rPr>
          <w:rFonts w:ascii="Arial TUR" w:hAnsi="Arial TUR" w:cs="Arial TUR"/>
          <w:sz w:val="22"/>
          <w:sz w:val="22"/>
          <w:rtl w:val="true"/>
        </w:rPr>
        <w:t>שני ערעורים על גזר דינו של בית המשפט המחוזי</w:t>
      </w:r>
      <w:r>
        <w:rPr>
          <w:rtl w:val="true"/>
        </w:rPr>
        <w:t xml:space="preserve"> בחיפה ב</w:t>
      </w:r>
      <w:r>
        <w:rPr>
          <w:rtl w:val="true"/>
        </w:rPr>
        <w:t>-</w:t>
      </w:r>
      <w:hyperlink r:id="rId2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19438-03-18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 xml:space="preserve">כבוד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פיש</w:t>
      </w:r>
      <w:r>
        <w:rPr>
          <w:rtl w:val="true"/>
        </w:rPr>
        <w:t xml:space="preserve">) </w:t>
      </w:r>
      <w:r>
        <w:rPr>
          <w:rtl w:val="true"/>
        </w:rPr>
        <w:t xml:space="preserve">מיום </w:t>
      </w:r>
      <w:r>
        <w:rPr/>
        <w:t>30.1.2020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במסגרת גזר הדין נדון המשיב 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1944/20</w:t>
      </w:r>
      <w:r>
        <w:rPr>
          <w:rtl w:val="true"/>
        </w:rPr>
        <w:t xml:space="preserve"> </w:t>
      </w:r>
      <w:r>
        <w:rPr>
          <w:rtl w:val="true"/>
        </w:rPr>
        <w:t>שהוא המערער 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2013/20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אמארה</w:t>
      </w:r>
      <w:r>
        <w:rPr>
          <w:rtl w:val="true"/>
        </w:rPr>
        <w:t xml:space="preserve">) </w:t>
      </w:r>
      <w:r>
        <w:rPr>
          <w:rtl w:val="true"/>
        </w:rPr>
        <w:t xml:space="preserve">לעונש של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וכן הופעל מאסר על תנאי בן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 xml:space="preserve">חודשים שנגזר עליו בתיק פלילי קודם </w:t>
      </w:r>
      <w:r>
        <w:rPr>
          <w:rtl w:val="true"/>
        </w:rPr>
        <w:t>(</w:t>
      </w:r>
      <w:hyperlink r:id="rId2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54526-06-15</w:t>
        </w:r>
      </w:hyperlink>
      <w:r>
        <w:rPr>
          <w:rtl w:val="true"/>
        </w:rPr>
        <w:t xml:space="preserve">),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מחציתו במצטבר ומחציתו בחופף </w:t>
      </w:r>
      <w:r>
        <w:rPr>
          <w:rtl w:val="true"/>
        </w:rPr>
        <w:t>–</w:t>
      </w:r>
      <w:r>
        <w:rPr>
          <w:rtl w:val="true"/>
        </w:rPr>
        <w:t xml:space="preserve"> כך שתקופת המאסר הכוללת היא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נוסף על כך הושתו על אמארה עונשים נלווים</w:t>
      </w:r>
      <w:r>
        <w:rPr>
          <w:rtl w:val="true"/>
        </w:rPr>
        <w:t xml:space="preserve">, </w:t>
      </w:r>
      <w:r>
        <w:rPr>
          <w:rtl w:val="true"/>
        </w:rPr>
        <w:t>מאסר על תנאי וקנס</w:t>
      </w:r>
      <w:r>
        <w:rPr>
          <w:rtl w:val="true"/>
        </w:rPr>
        <w:t xml:space="preserve">. </w:t>
      </w:r>
      <w:r>
        <w:rPr>
          <w:rtl w:val="true"/>
        </w:rPr>
        <w:t>זאת לאחר שהורשע</w:t>
      </w:r>
      <w:r>
        <w:rPr>
          <w:rtl w:val="true"/>
        </w:rPr>
        <w:t xml:space="preserve">, </w:t>
      </w:r>
      <w:r>
        <w:rPr>
          <w:rtl w:val="true"/>
        </w:rPr>
        <w:t>על פי הודאתו ובהסדר טיעון</w:t>
      </w:r>
      <w:r>
        <w:rPr>
          <w:rtl w:val="true"/>
        </w:rPr>
        <w:t xml:space="preserve">, </w:t>
      </w:r>
      <w:r>
        <w:rPr>
          <w:rtl w:val="true"/>
        </w:rPr>
        <w:t xml:space="preserve">בעבירות של סחר בנשק שלא כדין לפי </w:t>
      </w:r>
      <w:hyperlink r:id="rId23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4"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 xml:space="preserve">); </w:t>
      </w:r>
      <w:r>
        <w:rPr>
          <w:rtl w:val="true"/>
        </w:rPr>
        <w:t xml:space="preserve">עבירות בנשק </w:t>
      </w:r>
      <w:r>
        <w:rPr>
          <w:rtl w:val="true"/>
        </w:rPr>
        <w:t>(</w:t>
      </w:r>
      <w:r>
        <w:rPr>
          <w:rtl w:val="true"/>
        </w:rPr>
        <w:t>החזקה ונשיאה</w:t>
      </w:r>
      <w:r>
        <w:rPr>
          <w:rtl w:val="true"/>
        </w:rPr>
        <w:t xml:space="preserve">) </w:t>
      </w:r>
      <w:r>
        <w:rPr>
          <w:rtl w:val="true"/>
        </w:rPr>
        <w:t xml:space="preserve">לפי </w:t>
      </w:r>
      <w:hyperlink r:id="rId26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 וסיפא ו</w:t>
      </w:r>
      <w:r>
        <w:rPr>
          <w:rtl w:val="true"/>
        </w:rPr>
        <w:t>-</w:t>
      </w:r>
      <w:hyperlink r:id="rId27"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 וסיפא לחוק העונשין</w:t>
      </w:r>
      <w:r>
        <w:rPr>
          <w:rtl w:val="true"/>
        </w:rPr>
        <w:t xml:space="preserve">; </w:t>
      </w:r>
      <w:r>
        <w:rPr>
          <w:rtl w:val="true"/>
        </w:rPr>
        <w:t xml:space="preserve">נהיגה ללא רישיון נהיגה תקף לפי </w:t>
      </w:r>
      <w:hyperlink r:id="rId2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hyperlink r:id="rId29">
        <w:r>
          <w:rPr>
            <w:rStyle w:val="Hyperlink"/>
            <w:rtl w:val="true"/>
          </w:rPr>
          <w:t>וסעיף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62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חדש</w:t>
      </w:r>
      <w:r>
        <w:rPr>
          <w:rtl w:val="true"/>
        </w:rPr>
        <w:t xml:space="preserve">],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1961</w:t>
      </w:r>
      <w:r>
        <w:rPr>
          <w:rtl w:val="true"/>
        </w:rPr>
        <w:t xml:space="preserve">; </w:t>
      </w:r>
      <w:r>
        <w:rPr>
          <w:rtl w:val="true"/>
        </w:rPr>
        <w:t xml:space="preserve">וללא פוליסת ביטוח תקפה לפי </w:t>
      </w:r>
      <w:hyperlink r:id="rId3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ביטוח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רכב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מנועי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חדש</w:t>
      </w:r>
      <w:r>
        <w:rPr>
          <w:rtl w:val="true"/>
        </w:rPr>
        <w:t xml:space="preserve">],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1970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1944/20</w:t>
      </w:r>
      <w:r>
        <w:rPr>
          <w:rtl w:val="true"/>
        </w:rPr>
        <w:t xml:space="preserve"> </w:t>
      </w:r>
      <w:r>
        <w:rPr>
          <w:rtl w:val="true"/>
        </w:rPr>
        <w:t>מערערת המדינה על קולת עונש המאסר בפועל</w:t>
      </w:r>
      <w:r>
        <w:rPr>
          <w:rtl w:val="true"/>
        </w:rPr>
        <w:t xml:space="preserve">, </w:t>
      </w:r>
      <w:r>
        <w:rPr>
          <w:rtl w:val="true"/>
        </w:rPr>
        <w:t>ומנגד 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2013/20</w:t>
      </w:r>
      <w:r>
        <w:rPr>
          <w:rtl w:val="true"/>
        </w:rPr>
        <w:t xml:space="preserve"> </w:t>
      </w:r>
      <w:r>
        <w:rPr>
          <w:rtl w:val="true"/>
        </w:rPr>
        <w:t>מערער אמארה על חומרת העונש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המתוקן</w:t>
      </w:r>
    </w:p>
    <w:p>
      <w:pPr>
        <w:pStyle w:val="Ruller41"/>
        <w:numPr>
          <w:ilvl w:val="0"/>
          <w:numId w:val="0"/>
        </w:numPr>
        <w:spacing w:lineRule="auto" w:line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Fonts w:cs="Century" w:ascii="Century" w:hAnsi="Century"/>
          <w:sz w:val="22"/>
        </w:rPr>
        <w:t>2</w:t>
      </w:r>
      <w:r>
        <w:rPr>
          <w:rFonts w:cs="Century" w:ascii="Century" w:hAnsi="Century"/>
          <w:sz w:val="22"/>
          <w:rtl w:val="true"/>
        </w:rPr>
        <w:t>.</w:t>
      </w:r>
      <w:r>
        <w:rPr>
          <w:rFonts w:cs="Century" w:ascii="Century" w:hAnsi="Century"/>
          <w:sz w:val="22"/>
          <w:rtl w:val="true"/>
        </w:rPr>
        <w:tab/>
      </w:r>
      <w:r>
        <w:rPr>
          <w:rtl w:val="true"/>
        </w:rPr>
        <w:t>לאחר שהתקיימו מספר ישיבות הוכחות ובשלב מתקדם של המשפט</w:t>
      </w:r>
      <w:r>
        <w:rPr>
          <w:rtl w:val="true"/>
        </w:rPr>
        <w:t xml:space="preserve">, </w:t>
      </w:r>
      <w:r>
        <w:rPr>
          <w:rtl w:val="true"/>
        </w:rPr>
        <w:t>הודה אמארה במיוחס לו במסגרת הסדר טיעון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27.10.2019</w:t>
      </w:r>
      <w:r>
        <w:rPr>
          <w:rtl w:val="true"/>
        </w:rPr>
        <w:t xml:space="preserve"> </w:t>
      </w:r>
      <w:r>
        <w:rPr>
          <w:rtl w:val="true"/>
        </w:rPr>
        <w:t>הוגש לבית המשפט המחוזי כתב אישום מתוקן</w:t>
      </w:r>
      <w:r>
        <w:rPr>
          <w:rtl w:val="true"/>
        </w:rPr>
        <w:t xml:space="preserve">, </w:t>
      </w:r>
      <w:r>
        <w:rPr>
          <w:rtl w:val="true"/>
        </w:rPr>
        <w:t>ואמארה הורשע על יסוד הודאתו כאמור</w:t>
      </w:r>
      <w:r>
        <w:rPr>
          <w:rtl w:val="true"/>
        </w:rPr>
        <w:t xml:space="preserve">. </w:t>
      </w:r>
      <w:r>
        <w:rPr>
          <w:rtl w:val="true"/>
        </w:rPr>
        <w:t>על פי המתואר בכתב האישום המתוקן</w:t>
      </w:r>
      <w:r>
        <w:rPr>
          <w:rtl w:val="true"/>
        </w:rPr>
        <w:t xml:space="preserve">, </w:t>
      </w:r>
      <w:r>
        <w:rPr>
          <w:rtl w:val="true"/>
        </w:rPr>
        <w:t>משטרת ישראל הפעילה סוכן משטרתי סמוי</w:t>
      </w:r>
      <w:r>
        <w:rPr>
          <w:rtl w:val="true"/>
        </w:rPr>
        <w:t xml:space="preserve">, </w:t>
      </w:r>
      <w:r>
        <w:rPr>
          <w:rtl w:val="true"/>
        </w:rPr>
        <w:t>שלו ולאמארה היכרות קודמת לאירועים נושא כתב האישום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17.1.2018</w:t>
      </w:r>
      <w:r>
        <w:rPr>
          <w:rtl w:val="true"/>
        </w:rPr>
        <w:t xml:space="preserve"> </w:t>
      </w:r>
      <w:r>
        <w:rPr>
          <w:rtl w:val="true"/>
        </w:rPr>
        <w:t xml:space="preserve">יצר אמארה </w:t>
      </w:r>
      <w:r>
        <w:rPr>
          <w:rtl w:val="true"/>
        </w:rPr>
        <w:t>(</w:t>
      </w:r>
      <w:r>
        <w:rPr>
          <w:rtl w:val="true"/>
        </w:rPr>
        <w:t xml:space="preserve">יליד </w:t>
      </w:r>
      <w:r>
        <w:rPr/>
        <w:t>1974</w:t>
      </w:r>
      <w:r>
        <w:rPr>
          <w:rtl w:val="true"/>
        </w:rPr>
        <w:t xml:space="preserve">) </w:t>
      </w:r>
      <w:r>
        <w:rPr>
          <w:rtl w:val="true"/>
        </w:rPr>
        <w:t>קשר עם הסוכן וביקש להיפגש עימו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18.1.2018</w:t>
      </w:r>
      <w:r>
        <w:rPr>
          <w:rtl w:val="true"/>
        </w:rPr>
        <w:t xml:space="preserve"> </w:t>
      </w:r>
      <w:r>
        <w:rPr>
          <w:rtl w:val="true"/>
        </w:rPr>
        <w:t>נפגשו השניים בביתו של אמארה</w:t>
      </w:r>
      <w:r>
        <w:rPr>
          <w:rtl w:val="true"/>
        </w:rPr>
        <w:t xml:space="preserve">, </w:t>
      </w:r>
      <w:r>
        <w:rPr>
          <w:rtl w:val="true"/>
        </w:rPr>
        <w:t>ובהמשך הצטרף לפגישה אחר שזהותו אינה ידועה</w:t>
      </w:r>
      <w:r>
        <w:rPr>
          <w:rtl w:val="true"/>
        </w:rPr>
        <w:t xml:space="preserve">. </w:t>
      </w:r>
      <w:r>
        <w:rPr>
          <w:rtl w:val="true"/>
        </w:rPr>
        <w:t>במהלך הפגישה הציעו אמארה והאחר למכור לסוכן אמצעי לחימה שונים</w:t>
      </w:r>
      <w:r>
        <w:rPr>
          <w:rtl w:val="true"/>
        </w:rPr>
        <w:t xml:space="preserve">, </w:t>
      </w:r>
      <w:r>
        <w:rPr>
          <w:rtl w:val="true"/>
        </w:rPr>
        <w:t>ובין היתר</w:t>
      </w:r>
      <w:r>
        <w:rPr>
          <w:rtl w:val="true"/>
        </w:rPr>
        <w:t xml:space="preserve">: </w:t>
      </w:r>
      <w:r>
        <w:rPr>
          <w:rtl w:val="true"/>
        </w:rPr>
        <w:t xml:space="preserve">רובה סער </w:t>
      </w:r>
      <w:r>
        <w:rPr>
          <w:rtl w:val="true"/>
        </w:rPr>
        <w:t>"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", </w:t>
      </w:r>
      <w:r>
        <w:rPr>
          <w:rtl w:val="true"/>
        </w:rPr>
        <w:t xml:space="preserve">תת מקלע </w:t>
      </w:r>
      <w:r>
        <w:rPr>
          <w:rtl w:val="true"/>
        </w:rPr>
        <w:t>"</w:t>
      </w:r>
      <w:r>
        <w:rPr>
          <w:rtl w:val="true"/>
        </w:rPr>
        <w:t>עוזון</w:t>
      </w:r>
      <w:r>
        <w:rPr>
          <w:rtl w:val="true"/>
        </w:rPr>
        <w:t xml:space="preserve">" </w:t>
      </w:r>
      <w:r>
        <w:rPr>
          <w:rtl w:val="true"/>
        </w:rPr>
        <w:t xml:space="preserve">תמורת </w:t>
      </w:r>
      <w:r>
        <w:rPr/>
        <w:t>20,000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 xml:space="preserve">אקדח ברטה תמורת </w:t>
      </w:r>
      <w:r>
        <w:rPr/>
        <w:t>15,000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 ומטעני חבלה</w:t>
      </w:r>
      <w:r>
        <w:rPr>
          <w:rtl w:val="true"/>
        </w:rPr>
        <w:t xml:space="preserve">. </w:t>
      </w:r>
      <w:r>
        <w:rPr>
          <w:rtl w:val="true"/>
        </w:rPr>
        <w:t>אמארה פנה לאחר ושאל אם יוכל להביא לו את ה</w:t>
      </w:r>
      <w:r>
        <w:rPr>
          <w:rtl w:val="true"/>
        </w:rPr>
        <w:t>"</w:t>
      </w:r>
      <w:r>
        <w:rPr>
          <w:rtl w:val="true"/>
        </w:rPr>
        <w:t>עוזון</w:t>
      </w:r>
      <w:r>
        <w:rPr>
          <w:rtl w:val="true"/>
        </w:rPr>
        <w:t xml:space="preserve">" </w:t>
      </w:r>
      <w:r>
        <w:rPr>
          <w:rtl w:val="true"/>
        </w:rPr>
        <w:t>עכשיו</w:t>
      </w:r>
      <w:r>
        <w:rPr>
          <w:rtl w:val="true"/>
        </w:rPr>
        <w:t xml:space="preserve">, </w:t>
      </w:r>
      <w:r>
        <w:rPr>
          <w:rtl w:val="true"/>
        </w:rPr>
        <w:t>והאחר השיב שכעת זה לא זמן מתאים</w:t>
      </w:r>
      <w:r>
        <w:rPr>
          <w:rtl w:val="true"/>
        </w:rPr>
        <w:t xml:space="preserve">. </w:t>
      </w:r>
      <w:r>
        <w:rPr>
          <w:rtl w:val="true"/>
        </w:rPr>
        <w:t>בעקבות אותה פגישה קבע אמארה להיפגש עם הסוכן פעם נוספת ואמר שיסעו ליער שם יבצעו ניסוי כלים בנשק</w:t>
      </w:r>
      <w:r>
        <w:rPr>
          <w:rtl w:val="true"/>
        </w:rPr>
        <w:t xml:space="preserve">. </w:t>
      </w:r>
      <w:r>
        <w:rPr>
          <w:rtl w:val="true"/>
        </w:rPr>
        <w:t xml:space="preserve">בפועל נפגשו הסוכן ואמארה שוב בביתו של אמארה ביום </w:t>
      </w:r>
      <w:r>
        <w:rPr/>
        <w:t>20.1.2018</w:t>
      </w:r>
      <w:r>
        <w:rPr>
          <w:rtl w:val="true"/>
        </w:rPr>
        <w:t xml:space="preserve"> </w:t>
      </w:r>
      <w:r>
        <w:rPr>
          <w:rtl w:val="true"/>
        </w:rPr>
        <w:t>בשעות הערב</w:t>
      </w:r>
      <w:r>
        <w:rPr>
          <w:rtl w:val="true"/>
        </w:rPr>
        <w:t xml:space="preserve">, </w:t>
      </w:r>
      <w:r>
        <w:rPr>
          <w:rtl w:val="true"/>
        </w:rPr>
        <w:t>בעת ששהו בבית ילדיו הקטינים</w:t>
      </w:r>
      <w:r>
        <w:rPr>
          <w:rtl w:val="true"/>
        </w:rPr>
        <w:t xml:space="preserve">, </w:t>
      </w:r>
      <w:r>
        <w:rPr>
          <w:rtl w:val="true"/>
        </w:rPr>
        <w:t xml:space="preserve">שם הציג אמארה לסוכן תת מקלע מסוג </w:t>
      </w:r>
      <w:r>
        <w:rPr/>
        <w:t>CZ</w:t>
      </w:r>
      <w:r>
        <w:rPr>
          <w:rtl w:val="true"/>
        </w:rPr>
        <w:t xml:space="preserve"> </w:t>
      </w:r>
      <w:r>
        <w:rPr>
          <w:rtl w:val="true"/>
        </w:rPr>
        <w:t>ומחסנית ריקה שתואמת לנשק</w:t>
      </w:r>
      <w:r>
        <w:rPr>
          <w:rtl w:val="true"/>
        </w:rPr>
        <w:t xml:space="preserve">, </w:t>
      </w:r>
      <w:r>
        <w:rPr>
          <w:rtl w:val="true"/>
        </w:rPr>
        <w:t>הסביר לו על השימוש בהם והדגים את השימוש</w:t>
      </w:r>
      <w:r>
        <w:rPr>
          <w:rtl w:val="true"/>
        </w:rPr>
        <w:t xml:space="preserve">. </w:t>
      </w:r>
      <w:r>
        <w:rPr>
          <w:rtl w:val="true"/>
        </w:rPr>
        <w:t xml:space="preserve">הסוכן שילם לאמארה </w:t>
      </w:r>
      <w:r>
        <w:rPr/>
        <w:t>20,000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במזומן עבור הנשק</w:t>
      </w:r>
      <w:r>
        <w:rPr>
          <w:rtl w:val="true"/>
        </w:rPr>
        <w:t xml:space="preserve">, </w:t>
      </w:r>
      <w:r>
        <w:rPr>
          <w:rtl w:val="true"/>
        </w:rPr>
        <w:t>ואמארה מסר את הנשק לסוכן לאחר שניקה אותו מ</w:t>
      </w:r>
      <w:r>
        <w:rPr>
          <w:rtl w:val="true"/>
        </w:rPr>
        <w:t>-</w:t>
      </w:r>
      <w:r>
        <w:rPr/>
        <w:t>DNA</w:t>
      </w:r>
      <w:r>
        <w:rPr>
          <w:rtl w:val="true"/>
        </w:rPr>
        <w:t xml:space="preserve"> </w:t>
      </w:r>
      <w:r>
        <w:rPr>
          <w:rtl w:val="true"/>
        </w:rPr>
        <w:t>ומטביעות אצבע</w:t>
      </w:r>
      <w:r>
        <w:rPr>
          <w:rtl w:val="true"/>
        </w:rPr>
        <w:t xml:space="preserve">. </w:t>
      </w:r>
      <w:r>
        <w:rPr>
          <w:rtl w:val="true"/>
        </w:rPr>
        <w:t>בפגישה זו הציע אמארה למכור לסוכן אמצעי לחימה שונים נוספים</w:t>
      </w:r>
      <w:r>
        <w:rPr>
          <w:rtl w:val="true"/>
        </w:rPr>
        <w:t xml:space="preserve">, </w:t>
      </w:r>
      <w:r>
        <w:rPr>
          <w:rtl w:val="true"/>
        </w:rPr>
        <w:t>ביניהם לבנות חבלה</w:t>
      </w:r>
      <w:r>
        <w:rPr>
          <w:rtl w:val="true"/>
        </w:rPr>
        <w:t xml:space="preserve">, </w:t>
      </w:r>
      <w:r>
        <w:rPr>
          <w:rtl w:val="true"/>
        </w:rPr>
        <w:t>נפצים</w:t>
      </w:r>
      <w:r>
        <w:rPr>
          <w:rtl w:val="true"/>
        </w:rPr>
        <w:t xml:space="preserve">, </w:t>
      </w:r>
      <w:r>
        <w:rPr>
          <w:rtl w:val="true"/>
        </w:rPr>
        <w:t xml:space="preserve">ורובה סער </w:t>
      </w:r>
      <w:r>
        <w:rPr/>
        <w:t>44</w:t>
      </w:r>
      <w:r>
        <w:rPr/>
        <w:t>MP</w:t>
      </w:r>
      <w:r>
        <w:rPr>
          <w:rtl w:val="true"/>
        </w:rPr>
        <w:t xml:space="preserve"> </w:t>
      </w:r>
      <w:r>
        <w:rPr>
          <w:rtl w:val="true"/>
        </w:rPr>
        <w:t xml:space="preserve">תמורת </w:t>
      </w:r>
      <w:r>
        <w:rPr/>
        <w:t>30,000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 xml:space="preserve">ואף הציג לסוכן חפץ שנחזה להיות אקדח תוך שהסביר כי הוא מוכר אותו תמורת </w:t>
      </w:r>
      <w:r>
        <w:rPr/>
        <w:t>18,000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ושביכולתו להשיג לסוכן אקדח כזה</w:t>
      </w:r>
      <w:r>
        <w:rPr>
          <w:rtl w:val="true"/>
        </w:rPr>
        <w:t xml:space="preserve">. </w:t>
      </w:r>
      <w:r>
        <w:rPr>
          <w:rtl w:val="true"/>
        </w:rPr>
        <w:t>עוד לפי 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החל מיום </w:t>
      </w:r>
      <w:r>
        <w:rPr/>
        <w:t>25.9.2014</w:t>
      </w:r>
      <w:r>
        <w:rPr>
          <w:rtl w:val="true"/>
        </w:rPr>
        <w:t xml:space="preserve"> </w:t>
      </w:r>
      <w:r>
        <w:rPr>
          <w:rtl w:val="true"/>
        </w:rPr>
        <w:t>בוטל רישיו</w:t>
      </w:r>
      <w:r>
        <w:rPr>
          <w:rtl w:val="true"/>
        </w:rPr>
        <w:t>ן</w:t>
      </w:r>
      <w:r>
        <w:rPr>
          <w:rtl w:val="true"/>
        </w:rPr>
        <w:t xml:space="preserve"> הנהיגה של אמארה ובמועדים הרלוונטיים לכתב האישום הוא נהג ברכב ללא רישיון תקף וללא פוליסת ביטוח תקפה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eastAsia="Arial TUR" w:cs="Arial TUR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"/>
        <w:spacing w:lineRule="auto" w:line="240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30.1.2020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גזר בית המשפט המחוזי את דינו של אמארה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בגדרי גזר הדין עמד בית המשפט על הערכים החברתיים שנפגעו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פגיעה יחסית חמורה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עקב ביצוע העבירות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ערך השמירה על החיים וערך השמירה על ביטחון הציבור ושלומו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כן עמד בית המשפט על נסיבות ביצוע העבירה ובהן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העובדה שלעבירה קדם תכנון מוקדם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היות הנשק שנמכר תת מקלע שהוא נשק תקני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ההצעות לגבי אמצעי לחימה נוספים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חלקו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הדומיננטי עד בלעדי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של אמארה בביצוע העבירות שבא לידי ביטוי בין היתר בכך שיזם את הקשר עם הסוכן והניע את העסקה והתיאומים סביב לה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והיות בצע כסף הסיבה שבגינה ביצע אמארה את העבירות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בית המשפט קבע כי מתחם הענישה ההולם נע בין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 בפועל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עוד נקבע כי בנסיבות העניין אין מקום להפעיל את </w:t>
      </w:r>
      <w:hyperlink r:id="rId33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40</w:t>
        </w:r>
        <w:r>
          <w:rPr>
            <w:rStyle w:val="Hyperlink"/>
            <w:rFonts w:ascii="Century" w:hAnsi="Century" w:cs="Century"/>
            <w:rtl w:val="true"/>
          </w:rPr>
          <w:t>ה</w:t>
        </w:r>
      </w:hyperlink>
      <w:r>
        <w:rPr>
          <w:rFonts w:ascii="Century" w:hAnsi="Century" w:cs="Century"/>
          <w:rtl w:val="true"/>
        </w:rPr>
        <w:t xml:space="preserve"> ל</w:t>
      </w:r>
      <w:hyperlink r:id="rId3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ascii="Century" w:hAnsi="Century" w:cs="Century"/>
          <w:rtl w:val="true"/>
        </w:rPr>
        <w:t xml:space="preserve"> ולסטות לחומרה ממתחם העונש כפי שביקשה המדינה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זאת מאחר ששימוש </w:t>
      </w:r>
      <w:hyperlink r:id="rId35">
        <w:r>
          <w:rPr>
            <w:rStyle w:val="Hyperlink"/>
            <w:rFonts w:ascii="Century" w:hAnsi="Century" w:cs="Century"/>
            <w:rtl w:val="true"/>
          </w:rPr>
          <w:t>בסעיף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40</w:t>
        </w:r>
        <w:r>
          <w:rPr>
            <w:rStyle w:val="Hyperlink"/>
            <w:rFonts w:ascii="Century" w:hAnsi="Century" w:cs="Century"/>
            <w:rtl w:val="true"/>
          </w:rPr>
          <w:t>ה</w:t>
        </w:r>
      </w:hyperlink>
      <w:r>
        <w:rPr>
          <w:rFonts w:ascii="Century" w:hAnsi="Century" w:cs="Century"/>
          <w:rtl w:val="true"/>
        </w:rPr>
        <w:t xml:space="preserve"> נועד למקרים חריגים ונדירים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מקום שבו השיקולים המנויים </w:t>
      </w:r>
      <w:hyperlink r:id="rId36">
        <w:r>
          <w:rPr>
            <w:rStyle w:val="Hyperlink"/>
            <w:rFonts w:ascii="Century" w:hAnsi="Century" w:cs="Century"/>
            <w:rtl w:val="true"/>
          </w:rPr>
          <w:t>בסעיפים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40</w:t>
        </w:r>
        <w:r>
          <w:rPr>
            <w:rStyle w:val="Hyperlink"/>
            <w:rFonts w:ascii="Century" w:hAnsi="Century" w:cs="Century"/>
            <w:rtl w:val="true"/>
          </w:rPr>
          <w:t>ט</w:t>
        </w:r>
      </w:hyperlink>
      <w:r>
        <w:rPr>
          <w:rFonts w:ascii="Century" w:hAnsi="Century" w:cs="Century"/>
          <w:rtl w:val="true"/>
        </w:rPr>
        <w:t xml:space="preserve"> ו</w:t>
      </w:r>
      <w:r>
        <w:rPr>
          <w:rFonts w:cs="Century" w:ascii="Century" w:hAnsi="Century"/>
          <w:rtl w:val="true"/>
        </w:rPr>
        <w:t>-</w:t>
      </w:r>
      <w:hyperlink r:id="rId37">
        <w:r>
          <w:rPr>
            <w:rStyle w:val="Hyperlink"/>
            <w:rFonts w:cs="Century" w:ascii="Century" w:hAnsi="Century"/>
          </w:rPr>
          <w:t>40</w:t>
        </w:r>
        <w:r>
          <w:rPr>
            <w:rStyle w:val="Hyperlink"/>
            <w:rFonts w:ascii="Century" w:hAnsi="Century" w:cs="Century"/>
            <w:rtl w:val="true"/>
          </w:rPr>
          <w:t>י</w:t>
        </w:r>
        <w:r>
          <w:rPr>
            <w:rStyle w:val="Hyperlink"/>
            <w:rFonts w:cs="Century" w:ascii="Century" w:hAnsi="Century"/>
            <w:rtl w:val="true"/>
          </w:rPr>
          <w:t>"</w:t>
        </w:r>
        <w:r>
          <w:rPr>
            <w:rStyle w:val="Hyperlink"/>
            <w:rFonts w:ascii="Century" w:hAnsi="Century" w:cs="Century"/>
            <w:rtl w:val="true"/>
          </w:rPr>
          <w:t>א</w:t>
        </w:r>
      </w:hyperlink>
      <w:r>
        <w:rPr>
          <w:rFonts w:ascii="Century" w:hAnsi="Century" w:cs="Century"/>
          <w:rtl w:val="true"/>
        </w:rPr>
        <w:t xml:space="preserve"> לחוק העונשין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אינם מניבים תוצאה המעניקה את ההגנה הנדרשת על הערך של הגנת שלום הציבור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35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לגזר הדין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והמקרה דנן אינו כזה המצדיק חריגה מהגבול העליון של מתחם הענישה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בהקשר זה הוסיף וקבע בית המשפט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הנאשם הוא אמנם רצידיוויסט סדרתי בכל הנוגע לעבירות נשק ועל אף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הוא נכנס בגדר הקטגוריה הייחודית השמורה למעטים שמעשיהם כה חמורים ומזעזעים שגם הרף הגבוה ביותר של מתחם הענישה אינו מהווה תשובה הולמת לשקלול ענישתם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36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לגזר הדין</w:t>
      </w:r>
      <w:r>
        <w:rPr>
          <w:rFonts w:cs="Century" w:ascii="Century" w:hAnsi="Century"/>
          <w:rtl w:val="true"/>
        </w:rPr>
        <w:t>).</w:t>
      </w:r>
    </w:p>
    <w:p>
      <w:pPr>
        <w:pStyle w:val="Ruller4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אשר לנסיבות שאינן קשורות בביצוע 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ציין בית המשפט המחוזי לחומרה את העבר הפלילי המכביד של אמארה ואת היותו רצידיוויסט סדרתי בכל הקשור לעבירות סחר בלתי חוקי בנשק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מנגד שקל בית המשפט לקולה את גילו של אמארה 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אינו אדם צעיר מאד</w:t>
      </w:r>
      <w:r>
        <w:rPr>
          <w:rFonts w:cs="Century" w:ascii="Century" w:hAnsi="Century"/>
          <w:rtl w:val="true"/>
        </w:rPr>
        <w:t xml:space="preserve">"; </w:t>
      </w:r>
      <w:r>
        <w:rPr>
          <w:rFonts w:ascii="Century" w:hAnsi="Century" w:cs="Century"/>
          <w:rtl w:val="true"/>
        </w:rPr>
        <w:t>את העובדה כי נטל אחריות למעשיו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 אם בשלב מאוחר בהליך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וכן את ההשפעה שתהיה לתקופת מאסר ארוכה על משפחתו של אמארה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שלו חמישה ילדים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בסופו של יום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ששיקלל ואיזן את כלל השיקולים הרלוונטיים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החליט בית המשפט למקם את עונשו של אמארה ברף העליון של מתחם העונש ההולם שקבע בעניינו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בהתאם השית בית המשפט המחוזי על אמארה את העונשים הבאים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שנות מאסר בפועל בניכוי תקופת מעצרו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החל מיום </w:t>
      </w:r>
      <w:r>
        <w:rPr>
          <w:rFonts w:cs="Century" w:ascii="Century" w:hAnsi="Century"/>
        </w:rPr>
        <w:t>26.2.2018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לאחר תיקון מיום </w:t>
      </w:r>
      <w:r>
        <w:rPr>
          <w:rFonts w:cs="Century" w:ascii="Century" w:hAnsi="Century"/>
        </w:rPr>
        <w:t>5.2.2020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 טעות סופר שנפלה בגזר הדין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 xml:space="preserve">מאסר על תנאי למשך 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התנאי הוא כי לא יעבור במשך שלוש שנים מיום שחרורו עבירות נשק או אלימות מסוג פשע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הפעלת מאסר על תנאי בן </w:t>
      </w:r>
      <w:r>
        <w:rPr>
          <w:rFonts w:cs="Century" w:ascii="Century" w:hAnsi="Century"/>
        </w:rPr>
        <w:t>24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חודשים שהושת על אמארה ב</w:t>
      </w:r>
      <w:r>
        <w:rPr>
          <w:rFonts w:cs="Century" w:ascii="Century" w:hAnsi="Century"/>
          <w:rtl w:val="true"/>
        </w:rPr>
        <w:t>-</w:t>
      </w:r>
      <w:hyperlink r:id="rId3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ת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54526-06-15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>מחציתו במצטבר ומחציתו בחופף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וכן קנס בסך </w:t>
      </w:r>
      <w:r>
        <w:rPr>
          <w:rFonts w:cs="Century" w:ascii="Century" w:hAnsi="Century"/>
        </w:rPr>
        <w:t>10,000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tabs>
          <w:tab w:val="clear" w:pos="720"/>
          <w:tab w:val="left" w:pos="5193" w:leader="none"/>
        </w:tabs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tabs>
          <w:tab w:val="clear" w:pos="720"/>
          <w:tab w:val="left" w:pos="5193" w:leader="none"/>
        </w:tabs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להשלמת התמונה יצוין כי בעקבות הפעלת הסוכן המשטרתי הוגשו כתבי אישום נוספים נגד אחרים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בגין עבירות סמים ונשק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וסניגורו של אמארה טען כי העמדה שנקטה  המדינה בנוגע לעונש שיש להשית עליו היא מחמירה וסותרת את עקרון אחידות הענישה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בהינתן רמת הענישה של אותם אחרים שהורשעו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המחוזי דחה טענה זו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בעשותו כן ציין כי עיקרון אחידות הענישה מהווה אך נתון אחד מתוך הנתונים שיש לקחת בחשבון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ספק אם הוא חל במלוא התוקף כאשר אין מדובר באותה פרשה אלא בפרשות מקבילות שהמכנה המשותף ביניהן הינו דמות הסוכן המשטרתי שהופעל</w:t>
      </w:r>
      <w:r>
        <w:rPr>
          <w:rFonts w:cs="Century" w:ascii="Century" w:hAnsi="Century"/>
          <w:rtl w:val="true"/>
        </w:rPr>
        <w:t xml:space="preserve">." </w:t>
      </w:r>
      <w:r>
        <w:rPr>
          <w:rFonts w:ascii="Century" w:hAnsi="Century" w:cs="Century"/>
          <w:rtl w:val="true"/>
        </w:rPr>
        <w:t>עוד לעניין זה עמד בית המשפט על ההבדלים בין הפרשות האחרות לבין עניינו של אמארה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וקבע כי הנתון המכריע הוא עברו הפלילי המכביד של האחרון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בפרט בעבירות נשק ובתדירות גבוהה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והעובדה שענישה שהוטלה עליו עד היום לא היה די בה כדי להרתיע אותו מלשוב ולבצע עבירות דומות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"/>
        <w:spacing w:lineRule="auto" w:line="240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1944/20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מבקשת המדינה לסטות לחומרה ממתחם הענישה ההולם שקבע בית המשפט המחוזי משיקולים של הגנה על שלום הציבור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כאמור </w:t>
      </w:r>
      <w:hyperlink r:id="rId39">
        <w:r>
          <w:rPr>
            <w:rStyle w:val="Hyperlink"/>
            <w:rFonts w:ascii="Century" w:hAnsi="Century" w:cs="Century"/>
            <w:rtl w:val="true"/>
          </w:rPr>
          <w:t>בסעיף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40</w:t>
        </w:r>
        <w:r>
          <w:rPr>
            <w:rStyle w:val="Hyperlink"/>
            <w:rFonts w:ascii="Century" w:hAnsi="Century" w:cs="Century"/>
            <w:rtl w:val="true"/>
          </w:rPr>
          <w:t>ה</w:t>
        </w:r>
      </w:hyperlink>
      <w:r>
        <w:rPr>
          <w:rFonts w:ascii="Century" w:hAnsi="Century" w:cs="Century"/>
          <w:rtl w:val="true"/>
        </w:rPr>
        <w:t xml:space="preserve"> ל</w:t>
      </w:r>
      <w:hyperlink r:id="rId4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שזו לשונו</w:t>
      </w:r>
      <w:r>
        <w:rPr>
          <w:rFonts w:cs="Century" w:ascii="Century" w:hAnsi="Century"/>
          <w:rtl w:val="true"/>
        </w:rPr>
        <w:t>:</w:t>
      </w:r>
    </w:p>
    <w:p>
      <w:pPr>
        <w:pStyle w:val="p00"/>
        <w:bidi w:val="1"/>
        <w:spacing w:before="72" w:after="0"/>
        <w:ind w:end="1134"/>
        <w:jc w:val="start"/>
        <w:rPr>
          <w:rStyle w:val="big-number"/>
          <w:rFonts w:ascii="Century" w:hAnsi="Century" w:cs="FrankRuehl"/>
          <w:spacing w:val="10"/>
          <w:sz w:val="22"/>
          <w:szCs w:val="28"/>
        </w:rPr>
      </w:pPr>
      <w:r>
        <w:rPr>
          <w:rFonts w:cs="Century" w:ascii="Century" w:hAnsi="Century"/>
          <w:rtl w:val="true"/>
        </w:rPr>
      </w:r>
      <w:bookmarkStart w:id="17" w:name="Seif581"/>
      <w:bookmarkStart w:id="18" w:name="Seif581"/>
      <w:bookmarkEnd w:id="18"/>
    </w:p>
    <w:p>
      <w:pPr>
        <w:pStyle w:val="Ruller5"/>
        <w:ind w:end="1282"/>
        <w:jc w:val="both"/>
        <w:rPr>
          <w:rFonts w:ascii="Century" w:hAnsi="Century" w:cs="Miriam"/>
          <w:b/>
          <w:spacing w:val="0"/>
          <w:szCs w:val="24"/>
        </w:rPr>
      </w:pPr>
      <w:r>
        <w:rPr>
          <w:rStyle w:val="big-number"/>
          <w:rFonts w:ascii="Century" w:hAnsi="Century" w:cs="Miriam"/>
          <w:b/>
          <w:b/>
          <w:spacing w:val="0"/>
          <w:szCs w:val="24"/>
          <w:rtl w:val="true"/>
        </w:rPr>
        <w:t>הגנה</w:t>
      </w:r>
      <w:r>
        <w:rPr>
          <w:rStyle w:val="big-number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Style w:val="big-number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pacing w:val="0"/>
          <w:szCs w:val="24"/>
          <w:rtl w:val="true"/>
        </w:rPr>
        <w:t>שלום</w:t>
      </w:r>
      <w:r>
        <w:rPr>
          <w:rStyle w:val="big-number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pacing w:val="0"/>
          <w:szCs w:val="24"/>
          <w:rtl w:val="true"/>
        </w:rPr>
        <w:t>הציבור</w:t>
      </w:r>
      <w:r>
        <w:rPr>
          <w:rStyle w:val="big-number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/>
        <w:t>40</w:t>
      </w:r>
      <w:r>
        <w:rPr>
          <w:rtl w:val="true"/>
        </w:rPr>
        <w:t>ה</w:t>
      </w:r>
      <w:r>
        <w:rPr>
          <w:rtl w:val="true"/>
        </w:rPr>
        <w:t xml:space="preserve">. 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והרחקתו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מהציבור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רשאי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לחרוג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ובלבד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ניכרת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;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הוצגה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מקצועית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לטענת המדינה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עברו הפלילי המשמעותי של אמארה וקביעות בתי המשפט מלמדות על היותו עבריין מועד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ולפיכך קיים חשש ממשי שהוא ישוב ויבצע עבירות נשק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ובהתאם נטען כי לפי </w:t>
      </w:r>
      <w:hyperlink r:id="rId41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40</w:t>
        </w:r>
        <w:r>
          <w:rPr>
            <w:rStyle w:val="Hyperlink"/>
            <w:rFonts w:ascii="Century" w:hAnsi="Century" w:cs="Century"/>
            <w:rtl w:val="true"/>
          </w:rPr>
          <w:t>ה</w:t>
        </w:r>
      </w:hyperlink>
      <w:r>
        <w:rPr>
          <w:rFonts w:ascii="Century" w:hAnsi="Century" w:cs="Century"/>
          <w:rtl w:val="true"/>
        </w:rPr>
        <w:t xml:space="preserve"> ל</w:t>
      </w:r>
      <w:hyperlink r:id="rId4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ascii="Century" w:hAnsi="Century" w:cs="Century"/>
          <w:rtl w:val="true"/>
        </w:rPr>
        <w:t xml:space="preserve"> ולשם הגנה על שלום הציבור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נדרשת בעניינו חריגה לחומרה ממתחם הענישה שקבע בית המשפט המחוזי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עוד לעניין </w:t>
      </w:r>
      <w:hyperlink r:id="rId43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40</w:t>
        </w:r>
        <w:r>
          <w:rPr>
            <w:rStyle w:val="Hyperlink"/>
            <w:rFonts w:ascii="Century" w:hAnsi="Century" w:cs="Century"/>
            <w:rtl w:val="true"/>
          </w:rPr>
          <w:t>ה</w:t>
        </w:r>
      </w:hyperlink>
      <w:r>
        <w:rPr>
          <w:rFonts w:ascii="Century" w:hAnsi="Century" w:cs="Century"/>
          <w:rtl w:val="true"/>
        </w:rPr>
        <w:t xml:space="preserve"> טוענת המדינה כי שגה בית המשפט המחוזי כשהוסיף לסעיף קריטריונים הנוגעים לחומרת העבירות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אף שהסעיף שותק בנושא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לשיטת המדינה התופעה של החזקת כלי נשק שלא כדין טומנת בחובה סכנה משמעותית לשלום הציבור ומחייבת החמרה בענישה בגין עבירות אלה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בהתאם למסרים והעונשים שיצאו מלפני בית משפט זה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טיעון נוסף שבפי המדינה הוא כי בנסיבות העניין ראוי היה להפעיל את המאסר על תנאי של </w:t>
      </w:r>
      <w:r>
        <w:rPr>
          <w:rFonts w:cs="Century" w:ascii="Century" w:hAnsi="Century"/>
        </w:rPr>
        <w:t>24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חודשים שהושת על אמארה כולו במצטבר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רק מחציתו במצטבר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זאת משום הזיקה בין העבירות שהורשע בביצוען והעבירות שבגינן הוטל המאסר על תנאי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וכן לנוכח עברו הפלילי של אמארה והעובדה שהמאסר המותנה לא הרתיעו מביצוע העבירות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אמארה מצידו ב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2013/20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מבקש להקל בעונש שגזר עליו בית המשפט המחוזי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לטענתו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עיון בפסיקה מלמד כי גבולות מתחמי הענישה הנהוגים במקרים דומים ואף במקרים חמורים יותר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נמוכים מאלה שנקבעו בעניינו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בדיון לפנינו מיקד בא כוחו של אמארה את טיעונו בכך שמדובר בעסקת נשק בודדה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ולדבריו העונש חורג מהנהוג ואין לו אח ורע בחומרתו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לפיכך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מבקש אמארה לקבוע מתחם ענישה שנע בין </w:t>
      </w:r>
      <w:r>
        <w:rPr>
          <w:rFonts w:cs="Century" w:ascii="Century" w:hAnsi="Century"/>
        </w:rPr>
        <w:t>18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40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וכן שייגזר עונשו באמצע מתחם הענישה כאמור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עוד טוען אמארה כי על הנאשמים האחרים שהורשעו במסגרת מבצע הסוכן המשטרתי הושתו עונשי מאסר נמוכים בהרבה מזה שנגזר עליו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בהתאם נטען כי נפגע עיקרון אחידות הענישה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שמהווה שיקול עיקרי ששומה על בית המשפט לקחת בחשבון בבואו לגזור את דינו של נאשם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ושבגדרו יש להקפיד על מדרג הולם בין העונשים המוטלים על המעורבים באותה פרשה פלילית בהתאם למידת אשמתם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נוסף על כך אמארה טוען כי על אף שבית המשפט רשאי לשקול את עברו הפלילי של נאשם בעת גזירת עונשו לפי </w:t>
      </w:r>
      <w:hyperlink r:id="rId44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40</w:t>
        </w:r>
        <w:r>
          <w:rPr>
            <w:rStyle w:val="Hyperlink"/>
            <w:rFonts w:ascii="Century" w:hAnsi="Century" w:cs="Century"/>
            <w:rtl w:val="true"/>
          </w:rPr>
          <w:t>יא</w:t>
        </w:r>
      </w:hyperlink>
      <w:r>
        <w:rPr>
          <w:rFonts w:ascii="Century" w:hAnsi="Century" w:cs="Century"/>
          <w:rtl w:val="true"/>
        </w:rPr>
        <w:t xml:space="preserve"> ל</w:t>
      </w:r>
      <w:hyperlink r:id="rId4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בעניינו החמיר בית המשפט באופן בלתי מידתי בעונש תוך שימת דגש על עברו הפלילי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לעניין החלת </w:t>
      </w:r>
      <w:hyperlink r:id="rId46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40</w:t>
        </w:r>
        <w:r>
          <w:rPr>
            <w:rStyle w:val="Hyperlink"/>
            <w:rFonts w:ascii="Century" w:hAnsi="Century" w:cs="Century"/>
            <w:rtl w:val="true"/>
          </w:rPr>
          <w:t>ה</w:t>
        </w:r>
      </w:hyperlink>
      <w:r>
        <w:rPr>
          <w:rFonts w:ascii="Century" w:hAnsi="Century" w:cs="Century"/>
          <w:rtl w:val="true"/>
        </w:rPr>
        <w:t xml:space="preserve"> ל</w:t>
      </w:r>
      <w:hyperlink r:id="rId4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נטען לפנינו כי הסעיף כמעט שאיננו מיושם בפועל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ובפרט מעולם לא נעשה בו שימוש בקשר לעבירות נשק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והמקרה דנן אינו המקרה המתאים להפעלת הסעיף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לבסוף ולעניין המאסר על תנאי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נטען בדיון לפנינו כי מקום שבו המאסר על תנאי עומד על פרק זמן ארוך של </w:t>
      </w:r>
      <w:r>
        <w:rPr>
          <w:rFonts w:cs="Century" w:ascii="Century" w:hAnsi="Century"/>
        </w:rPr>
        <w:t>24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זה ממנהגו של בית המשפט להשית את המאסר במלואו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חלקו בחופף וחלקו במצטבר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כלל ידוע הוא שערכאת הערעור אינה נוטה להתערב בעונש שהושת על ידי הערכאה הדיונית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אם לחומרה ואם לקולה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בנסיבות שבהן העונש חורג באופן קיצוני מהענישה המקובלת במקרים דומים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או כאשר נפלה טעות בולטת בגזר הדין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מיני רבים</w:t>
      </w:r>
      <w:r>
        <w:rPr>
          <w:rFonts w:cs="Century" w:ascii="Century" w:hAnsi="Century"/>
          <w:rtl w:val="true"/>
        </w:rPr>
        <w:t xml:space="preserve">, </w:t>
      </w:r>
      <w:hyperlink r:id="rId4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2564/19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אזברגה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וההפניות שם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18.7.2019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אזברגה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לאחר עיון במכלול החומר שבכתב ומשהוספנו והיטינו אוזן לטענות הצדדים בעל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הגעתי לכלל דעה כי העונש שהוטל על הנאשם הוא ראוי והולם בנסיבות המקרה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ומשכך דין הערעורים להידחות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ואבאר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עיקר טענות</w:t>
      </w:r>
      <w:r>
        <w:rPr>
          <w:rFonts w:ascii="Century" w:hAnsi="Century" w:cs="Century"/>
          <w:rtl w:val="true"/>
        </w:rPr>
        <w:t xml:space="preserve">יו של אמארה </w:t>
      </w:r>
      <w:r>
        <w:rPr>
          <w:rFonts w:ascii="Century" w:hAnsi="Century" w:cs="Century"/>
          <w:rtl w:val="true"/>
        </w:rPr>
        <w:t>מופנות נגד מתחם העונש ההולם שנקבע בעניינו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</w:t>
      </w:r>
      <w:r>
        <w:rPr>
          <w:rFonts w:ascii="Century" w:hAnsi="Century" w:cs="Century"/>
          <w:rtl w:val="true"/>
        </w:rPr>
        <w:t xml:space="preserve">לשיטתו חורג </w:t>
      </w:r>
      <w:r>
        <w:rPr>
          <w:rFonts w:ascii="Century" w:hAnsi="Century" w:cs="Century"/>
          <w:rtl w:val="true"/>
        </w:rPr>
        <w:t xml:space="preserve">לחומרה </w:t>
      </w:r>
      <w:r>
        <w:rPr>
          <w:rFonts w:ascii="Century" w:hAnsi="Century" w:cs="Century"/>
          <w:rtl w:val="true"/>
        </w:rPr>
        <w:t>ממדיניות הענישה הנוהגת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נפסק לא אחת </w:t>
      </w:r>
      <w:r>
        <w:rPr>
          <w:rFonts w:ascii="Century" w:hAnsi="Century" w:cs="Century"/>
          <w:rtl w:val="true"/>
        </w:rPr>
        <w:t xml:space="preserve">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מתחם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ההולם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הענישה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הנוהגת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והובהר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מתחם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ההולם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מגלם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ערכית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המבוססת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שיקולים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שונים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הענישה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בעבירה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הנתונה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מאותם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שיקולים</w:t>
      </w:r>
      <w:r>
        <w:rPr>
          <w:rFonts w:cs="Century" w:ascii="Century" w:hAnsi="Century"/>
          <w:rtl w:val="true"/>
        </w:rPr>
        <w:t>" (</w:t>
      </w:r>
      <w:hyperlink r:id="rId49">
        <w:r>
          <w:rPr>
            <w:rStyle w:val="Hyperlink"/>
            <w:rFonts w:ascii="Century" w:hAnsi="Century" w:cs="Century"/>
            <w:rtl w:val="true"/>
          </w:rPr>
          <w:t>ע</w:t>
        </w:r>
        <w:r>
          <w:rPr>
            <w:rStyle w:val="Hyperlink"/>
            <w:rFonts w:cs="Century" w:ascii="Century" w:hAnsi="Century"/>
            <w:rtl w:val="true"/>
          </w:rPr>
          <w:t>"</w:t>
        </w:r>
        <w:r>
          <w:rPr>
            <w:rStyle w:val="Hyperlink"/>
            <w:rFonts w:ascii="Century" w:hAnsi="Century" w:cs="Century"/>
            <w:rtl w:val="true"/>
          </w:rPr>
          <w:t>פ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322/16</w:t>
        </w:r>
        <w:r>
          <w:rPr>
            <w:rStyle w:val="Hyperlink"/>
            <w:rFonts w:cs="Century" w:ascii="Century" w:hAnsi="Century"/>
            <w:rtl w:val="true"/>
          </w:rPr>
          <w:t xml:space="preserve"> 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9.10.2016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 xml:space="preserve">ראו גם </w:t>
      </w:r>
      <w:hyperlink r:id="rId50">
        <w:bookmarkStart w:id="19" w:name="Text1"/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200/13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</w:t>
      </w:r>
      <w:bookmarkEnd w:id="19"/>
      <w:r>
        <w:rPr>
          <w:rFonts w:ascii="Century" w:hAnsi="Century" w:cs="Miriam"/>
          <w:b/>
          <w:b/>
          <w:spacing w:val="0"/>
          <w:szCs w:val="24"/>
          <w:rtl w:val="true"/>
        </w:rPr>
        <w:t>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17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5.2.2014</w:t>
      </w:r>
      <w:r>
        <w:rPr>
          <w:rFonts w:cs="Century" w:ascii="Century" w:hAnsi="Century"/>
          <w:rtl w:val="true"/>
        </w:rPr>
        <w:t xml:space="preserve">); </w:t>
      </w:r>
      <w:hyperlink r:id="rId5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1323/13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חסן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5.6.2013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עוד נפסק כי לבית המשפט נתון מרחב מסוים של גמישות בבואו לקבוע את מתחם העונש ההולם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שאין להתערב בו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במיוחד מקום שבו העונש שנגזר בסופו של יום אינו חורג מן הראוי וההולם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וכך גם בענייננו </w:t>
      </w:r>
      <w:r>
        <w:rPr>
          <w:rFonts w:cs="Century" w:ascii="Century" w:hAnsi="Century"/>
          <w:rtl w:val="true"/>
        </w:rPr>
        <w:t>(</w:t>
      </w:r>
      <w:hyperlink r:id="rId5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3877/16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17.11.2016</w:t>
      </w:r>
      <w:r>
        <w:rPr>
          <w:rFonts w:cs="Century" w:ascii="Century" w:hAnsi="Century"/>
          <w:rtl w:val="true"/>
        </w:rPr>
        <w:t>)).</w:t>
      </w:r>
    </w:p>
    <w:p>
      <w:pPr>
        <w:pStyle w:val="Ruller4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אמארה הורשע על פי הודאתו בעבירות נשק ובראשן סחר בנשק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בשורה ארוכה של פסקי דין עמד בית משפט זה על חומרתן הרבה של עבירות נשק והסכנה הגבוהה שנשקפת מהן לשלום הציבור וביטחונו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ובהתאם לכך קיימת מגמת החמרה בענישה בגין עבירות אלו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במטרה להרתיע מפני ביצוען </w:t>
      </w:r>
      <w:r>
        <w:rPr>
          <w:rFonts w:cs="Century" w:ascii="Century" w:hAnsi="Century"/>
          <w:rtl w:val="true"/>
        </w:rPr>
        <w:t>(</w:t>
      </w:r>
      <w:hyperlink r:id="rId5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4406/19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סובח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פסקאות </w:t>
      </w:r>
      <w:r>
        <w:rPr>
          <w:rFonts w:cs="Century" w:ascii="Century" w:hAnsi="Century"/>
        </w:rPr>
        <w:t>17-15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5.11.2019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סובח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אזברגה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 xml:space="preserve">; </w:t>
      </w:r>
      <w:hyperlink r:id="rId5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2368/11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נפאע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4.12.2011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 xml:space="preserve">לעניין זה יפים דברי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מזוז</w:t>
      </w:r>
      <w:r>
        <w:rPr>
          <w:rFonts w:ascii="Century" w:hAnsi="Century" w:cs="Century"/>
          <w:rtl w:val="true"/>
        </w:rPr>
        <w:t xml:space="preserve"> בעניין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סובח</w:t>
      </w:r>
      <w:r>
        <w:rPr>
          <w:rFonts w:cs="Century" w:ascii="Century" w:hAnsi="Century"/>
          <w:rtl w:val="true"/>
        </w:rPr>
        <w:t>:</w:t>
      </w:r>
    </w:p>
    <w:p>
      <w:pPr>
        <w:pStyle w:val="Ruller4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>
          <w:rFonts w:ascii="Times New Roman" w:hAnsi="Times New Roman" w:cs="Times New Roman"/>
          <w:spacing w:val="0"/>
          <w:szCs w:val="20"/>
        </w:rPr>
      </w:pPr>
      <w:r>
        <w:rPr>
          <w:rtl w:val="true"/>
        </w:rPr>
        <w:t>"</w:t>
      </w:r>
      <w:r>
        <w:rPr>
          <w:rtl w:val="true"/>
        </w:rPr>
        <w:t>התופעה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החזקת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'</w:t>
      </w:r>
      <w:r>
        <w:rPr>
          <w:rtl w:val="true"/>
        </w:rPr>
        <w:t>הגורם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בלעדו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איין</w:t>
      </w:r>
      <w:r>
        <w:rPr>
          <w:rtl w:val="true"/>
        </w:rPr>
        <w:t>'</w:t>
      </w:r>
      <w:r>
        <w:rPr>
          <w:rtl w:val="true"/>
        </w:rPr>
        <w:t xml:space="preserve"> (</w:t>
      </w:r>
      <w:r>
        <w:rPr/>
        <w:t>causa sine qua non</w:t>
      </w:r>
      <w:r>
        <w:rPr>
          <w:rtl w:val="true"/>
        </w:rPr>
        <w:t xml:space="preserve">) </w:t>
      </w:r>
      <w:r>
        <w:rPr>
          <w:rtl w:val="true"/>
        </w:rPr>
        <w:t>למגוון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רחב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מזוין</w:t>
      </w:r>
      <w:r>
        <w:rPr>
          <w:rtl w:val="true"/>
        </w:rPr>
        <w:t xml:space="preserve">, </w:t>
      </w:r>
      <w:r>
        <w:rPr>
          <w:rtl w:val="true"/>
        </w:rPr>
        <w:t>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המתה</w:t>
      </w:r>
      <w:r>
        <w:rPr>
          <w:rtl w:val="true"/>
        </w:rPr>
        <w:t xml:space="preserve">. </w:t>
      </w:r>
      <w:r>
        <w:rPr>
          <w:rtl w:val="true"/>
        </w:rPr>
        <w:t>לעתים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קרובות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נרכש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נרכש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>הזמינות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מעודדת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ולחרפת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תוצאותיהן</w:t>
      </w:r>
      <w:r>
        <w:rPr>
          <w:rtl w:val="true"/>
        </w:rPr>
        <w:t xml:space="preserve">. </w:t>
      </w:r>
    </w:p>
    <w:p>
      <w:pPr>
        <w:pStyle w:val="Ruller5"/>
        <w:ind w:end="1282"/>
        <w:jc w:val="both"/>
        <w:rPr>
          <w:rFonts w:ascii="Times New Roman" w:hAnsi="Times New Roman" w:cs="Times New Roman"/>
          <w:spacing w:val="0"/>
          <w:szCs w:val="22"/>
        </w:rPr>
      </w:pPr>
      <w:r>
        <w:rPr>
          <w:rFonts w:eastAsia="Arial TUR" w:cs="Arial TUR"/>
          <w:rtl w:val="true"/>
        </w:rPr>
        <w:t xml:space="preserve"> </w:t>
      </w:r>
    </w:p>
    <w:p>
      <w:pPr>
        <w:pStyle w:val="Ruller5"/>
        <w:ind w:end="1282"/>
        <w:jc w:val="both"/>
        <w:rPr>
          <w:rFonts w:ascii="Times New Roman" w:hAnsi="Times New Roman" w:cs="Times New Roman"/>
          <w:spacing w:val="0"/>
          <w:sz w:val="20"/>
          <w:szCs w:val="20"/>
        </w:rPr>
      </w:pP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המאבק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בתופעות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הישראלית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מחייב</w:t>
      </w:r>
      <w:r>
        <w:rPr>
          <w:rtl w:val="true"/>
        </w:rPr>
        <w:t xml:space="preserve">, </w:t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למאמץ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לשים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ומרתיעה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החזקה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.</w:t>
      </w:r>
      <w:r>
        <w:rPr>
          <w:rtl w:val="true"/>
        </w:rPr>
        <w:t xml:space="preserve">.. </w:t>
      </w:r>
      <w:r>
        <w:rPr>
          <w:rtl w:val="true"/>
        </w:rPr>
        <w:t>ביעור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תופעת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החזקת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הכרחי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למאבק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בתופעות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הפשיעה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האלימה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לסוגיה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הרווחות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במקומותינו</w:t>
      </w:r>
      <w:r>
        <w:rPr>
          <w:rtl w:val="true"/>
        </w:rPr>
        <w:t xml:space="preserve">, </w:t>
      </w:r>
      <w:r>
        <w:rPr>
          <w:rtl w:val="true"/>
        </w:rPr>
        <w:t>בבחינת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ייבוש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הביצה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המשמשת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לגידולן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תופעות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הירתמות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ומרתיעה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tl w:val="true"/>
        </w:rPr>
        <w:t>..."</w:t>
      </w:r>
    </w:p>
    <w:p>
      <w:pPr>
        <w:pStyle w:val="Ruller4"/>
        <w:ind w:end="0"/>
        <w:jc w:val="both"/>
        <w:rPr>
          <w:rFonts w:ascii="Century" w:hAnsi="Century" w:cs="Century"/>
          <w:spacing w:val="0"/>
          <w:sz w:val="20"/>
          <w:szCs w:val="20"/>
        </w:rPr>
      </w:pPr>
      <w:r>
        <w:rPr>
          <w:rFonts w:cs="Century" w:ascii="Century" w:hAnsi="Century"/>
          <w:spacing w:val="0"/>
          <w:sz w:val="20"/>
          <w:szCs w:val="20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אמנם דומה כי מתחם הענישה שקבע בית המשפט המחוזי הוא גבוה יחסית בהשוואה למתחם הנוהג בעבירות נשק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במיוחד בהינתן שליבת כתב האישום עניינה בעסקת נשק אחת בלבד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המתחם שנקבע אינו חורג ממרחב הגמישות שנתון לערכאה הדיונית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כאמור לעיל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מכל מקום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אינני סבורה כי יש מקום לשנות מתקופת המאסר שנגזרה על אמארה בסופו של יום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במה דברים אמורים</w:t>
      </w:r>
      <w:r>
        <w:rPr>
          <w:rFonts w:cs="Century" w:ascii="Century" w:hAnsi="Century"/>
          <w:rtl w:val="true"/>
        </w:rPr>
        <w:t xml:space="preserve">? </w:t>
      </w:r>
      <w:r>
        <w:rPr>
          <w:rFonts w:ascii="Century" w:hAnsi="Century" w:cs="Century"/>
          <w:rtl w:val="true"/>
        </w:rPr>
        <w:t>אילו הושתו על אמארה חמש שנות מאסר בפועל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במיוחד לנוכח מגמת ההחמרה בעבירות נשק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כל שכן סחר בנשק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לא ניתן היה לומר שמדובר בחריגה ממתחם הענישה הנוהג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ראו והשוו 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סובח</w:t>
      </w:r>
      <w:r>
        <w:rPr>
          <w:rFonts w:cs="Century" w:ascii="Century" w:hAnsi="Century"/>
          <w:rtl w:val="true"/>
        </w:rPr>
        <w:t xml:space="preserve">; </w:t>
      </w:r>
      <w:hyperlink r:id="rId55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5913/11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הייבי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</w:rPr>
        <w:t>12.9.2012</w:t>
      </w:r>
      <w:r>
        <w:rPr>
          <w:rFonts w:cs="FrankRuehl" w:ascii="FrankRuehl" w:hAnsi="FrankRuehl"/>
          <w:color w:val="000000"/>
          <w:sz w:val="28"/>
          <w:rtl w:val="true"/>
        </w:rPr>
        <w:t>);</w:t>
      </w:r>
      <w:r>
        <w:rPr>
          <w:rFonts w:cs="Century" w:ascii="Century" w:hAnsi="Century"/>
          <w:rtl w:val="true"/>
        </w:rPr>
        <w:t xml:space="preserve"> </w:t>
      </w:r>
      <w:hyperlink r:id="rId5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2251/11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נפאע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4.12.2011</w:t>
      </w:r>
      <w:r>
        <w:rPr>
          <w:rFonts w:cs="Century" w:ascii="Century" w:hAnsi="Century"/>
          <w:rtl w:val="true"/>
        </w:rPr>
        <w:t xml:space="preserve">)), </w:t>
      </w:r>
      <w:r>
        <w:rPr>
          <w:rFonts w:ascii="Century" w:hAnsi="Century" w:cs="Century"/>
          <w:rtl w:val="true"/>
        </w:rPr>
        <w:t>לא כל שכן בהינתן נסיבות המקרה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שעליהן גם עמד בית המשפט המחוזי בגזר הדין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כך שעה שנראה כי אמארה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עובד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בתחום הנשק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בהינתן שלחובתו </w:t>
      </w: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הרשעות קודמות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מרביתן בעבירות נשק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וב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השנים האחרונות ריצה כ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 במצטבר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למרבה הצער מסתבר כי לא היה במאסרים אלה כדי ללמדו לקח ולהרתיעו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יש גם לתת את הדעת לעובדות כולן שמיוחסות לאמארה בכתב האישום ושבביצוען הודה במסגרת הסדר טיעון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אמנם אמארה הורשע בגין ביצוע עסקת נשק אחת בלבד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אולם מעובדות כתב האישום עולה כי לאמארה נגישות לאמצעי לחימה רבים ומגוונים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והוא אף הציג את מרכולתו בפני הסוכן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המסקנה הבלתי נמנעת היא אפוא שמסוכנותו של אמארה היא ממשית ומצדיקה הטלת עונש מאסר ממושך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 כך מעידה התנהלותו העקבית לאורך השנים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חרף העובדה שהוא יוצא ובא מבתי כלא ובעיקר שוהה בין כתלי בית הכלא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מעבר לכך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בנסיבות העושה והמעשה נראה כי היה מקום להורות על ריצוי עונש המאסר על תנאי של </w:t>
      </w:r>
      <w:r>
        <w:rPr>
          <w:rFonts w:cs="Century" w:ascii="Century" w:hAnsi="Century"/>
        </w:rPr>
        <w:t>24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חודשים שהוטל על אמארה במסגרת הרשעה קודמת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במצטבר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כולו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בשונה מקביעתו של בית המשפט המחוזי שהפעילו מחציתו במצטבר ומחציתו בחופף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בהתאם להוראות </w:t>
      </w:r>
      <w:hyperlink r:id="rId57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58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5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הכלל הוא כי </w:t>
      </w:r>
      <w:r>
        <w:rPr>
          <w:rFonts w:ascii="FrankRuehl" w:hAnsi="FrankRuehl"/>
          <w:color w:val="000000"/>
          <w:sz w:val="28"/>
          <w:sz w:val="28"/>
          <w:rtl w:val="true"/>
        </w:rPr>
        <w:t>מאסר על תנאי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 יופעל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 באופן מצטבר </w:t>
      </w:r>
      <w:r>
        <w:rPr>
          <w:rFonts w:ascii="FrankRuehl" w:hAnsi="FrankRuehl"/>
          <w:color w:val="000000"/>
          <w:sz w:val="28"/>
          <w:sz w:val="28"/>
          <w:rtl w:val="true"/>
        </w:rPr>
        <w:t>לתקופת המאסר בפועל שנקבעה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ובית המשפט רשאי לסטות מכלל זה אך מטעמים שיירשמו</w:t>
      </w:r>
      <w:r>
        <w:rPr>
          <w:rFonts w:cs="FrankRuehl" w:ascii="FrankRuehl" w:hAnsi="FrankRuehl"/>
          <w:color w:val="000000"/>
          <w:sz w:val="28"/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בענייננו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אין טעמים המצדיקים חריגה מהכלל האמור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ואף ההפך מכך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העבר הפלילי הרלוונטי של אמארה מכביד וזועק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נראה 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עיסוקו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בביצוע עבירות נשק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ונקבע בעבר כי ככל שקיימת זיקה בין העבירה הנוכחית לבין העבירה שבגינה הוטל עונש המאסר המותנה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ייטה בית המשפט להחלת ברירת המחדל והפעלת המאסר המותנה באופן מצטבר </w:t>
      </w:r>
      <w:r>
        <w:rPr>
          <w:rFonts w:cs="Century" w:ascii="Century" w:hAnsi="Century"/>
          <w:rtl w:val="true"/>
        </w:rPr>
        <w:t>(</w:t>
      </w:r>
      <w:hyperlink r:id="rId5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2336/16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מזראיב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32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14.12.2017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לא זו אף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חרף תקופות המאסר הממושכות שריצה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אמארה לא נרתע מלשוב לסורו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גם כאשר מאסר על תנאי בן </w:t>
      </w:r>
      <w:r>
        <w:rPr>
          <w:rFonts w:cs="Century" w:ascii="Century" w:hAnsi="Century"/>
        </w:rPr>
        <w:t>24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חודשים מרחף מעל ראשו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ויצוין כי את העבירות דנן ביצע כחודשיים וחצי בלבד לאחר שהשתחרר ממאסר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משכך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נוטה הכף בבירור לכיוון ברירת המחדל של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צבירת העונשים על פני החלתם בחופף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ראו למשל </w:t>
      </w:r>
      <w:hyperlink r:id="rId60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1880/14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עמאש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פסקה </w:t>
      </w:r>
      <w:r>
        <w:rPr>
          <w:rFonts w:cs="FrankRuehl" w:ascii="FrankRuehl" w:hAnsi="FrankRuehl"/>
          <w:color w:val="000000"/>
          <w:sz w:val="28"/>
        </w:rPr>
        <w:t>8</w:t>
      </w:r>
      <w:r>
        <w:rPr>
          <w:rFonts w:cs="FrankRuehl" w:ascii="FrankRuehl" w:hAnsi="FrankRuehl"/>
          <w:color w:val="000000"/>
          <w:sz w:val="28"/>
          <w:rtl w:val="true"/>
        </w:rPr>
        <w:t xml:space="preserve"> (</w:t>
      </w:r>
      <w:r>
        <w:rPr>
          <w:rFonts w:cs="FrankRuehl" w:ascii="FrankRuehl" w:hAnsi="FrankRuehl"/>
          <w:color w:val="000000"/>
          <w:sz w:val="28"/>
        </w:rPr>
        <w:t>19.11.2014</w:t>
      </w:r>
      <w:r>
        <w:rPr>
          <w:rFonts w:cs="FrankRuehl" w:ascii="FrankRuehl" w:hAnsi="FrankRuehl"/>
          <w:color w:val="000000"/>
          <w:sz w:val="28"/>
          <w:rtl w:val="true"/>
        </w:rPr>
        <w:t>))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אין לקבל את טענותיו של אמארה גם לעניין חריגה מעיקרון אחידות הענישה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קיימים הבדלים משמעותיים בין עניינו של אמארה לבין עניינם של הנאשמים האחרים בעבירות נשק במסגרת פעילותו של הסוכן המשטרתי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שעליהם עמד בית המשפט המחוזי בגזר הדין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מכל מקום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מדובר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פרשה אחת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שבקשר אליה קיימת חריגה מעיקרון אחידות הענישה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>כתבי האישום שהוגשו במסגרת פרשת הסוכן המשטרתי דנן הם כתבי אישום נפרדים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שמתארים עסקאות נשק שונות לחלוטין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וכל שמקשר בין הנאשמים הוא מעורבותו של הסוכן המשטרתי </w:t>
      </w:r>
      <w:r>
        <w:rPr>
          <w:rFonts w:ascii="FrankRuehl" w:hAnsi="FrankRuehl"/>
          <w:color w:val="000000"/>
          <w:sz w:val="28"/>
          <w:sz w:val="28"/>
          <w:rtl w:val="true"/>
        </w:rPr>
        <w:t>–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 ואין בכך כדי להפוך את הנאשמים לחלק מ</w:t>
      </w:r>
      <w:r>
        <w:rPr>
          <w:rFonts w:cs="FrankRuehl" w:ascii="FrankRuehl" w:hAnsi="FrankRuehl"/>
          <w:color w:val="000000"/>
          <w:sz w:val="28"/>
          <w:rtl w:val="true"/>
        </w:rPr>
        <w:t>"</w:t>
      </w:r>
      <w:r>
        <w:rPr>
          <w:rFonts w:ascii="FrankRuehl" w:hAnsi="FrankRuehl"/>
          <w:color w:val="000000"/>
          <w:sz w:val="28"/>
          <w:sz w:val="28"/>
          <w:rtl w:val="true"/>
        </w:rPr>
        <w:t>פרשה אחת</w:t>
      </w:r>
      <w:r>
        <w:rPr>
          <w:rFonts w:cs="FrankRuehl" w:ascii="FrankRuehl" w:hAnsi="FrankRuehl"/>
          <w:color w:val="000000"/>
          <w:sz w:val="28"/>
          <w:rtl w:val="true"/>
        </w:rPr>
        <w:t>" (</w:t>
      </w:r>
      <w:hyperlink r:id="rId61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315/20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פסקה </w:t>
      </w:r>
      <w:r>
        <w:rPr>
          <w:rFonts w:cs="FrankRuehl" w:ascii="FrankRuehl" w:hAnsi="FrankRuehl"/>
          <w:color w:val="000000"/>
          <w:sz w:val="28"/>
        </w:rPr>
        <w:t>19</w:t>
      </w:r>
      <w:r>
        <w:rPr>
          <w:rFonts w:cs="FrankRuehl" w:ascii="FrankRuehl" w:hAnsi="FrankRuehl"/>
          <w:color w:val="000000"/>
          <w:sz w:val="28"/>
          <w:rtl w:val="true"/>
        </w:rPr>
        <w:t xml:space="preserve"> (</w:t>
      </w:r>
      <w:r>
        <w:rPr>
          <w:rFonts w:cs="FrankRuehl" w:ascii="FrankRuehl" w:hAnsi="FrankRuehl"/>
          <w:color w:val="000000"/>
          <w:sz w:val="28"/>
        </w:rPr>
        <w:t>7.6.2020</w:t>
      </w:r>
      <w:r>
        <w:rPr>
          <w:rFonts w:cs="FrankRuehl" w:ascii="FrankRuehl" w:hAnsi="FrankRuehl"/>
          <w:color w:val="000000"/>
          <w:sz w:val="28"/>
          <w:rtl w:val="true"/>
        </w:rPr>
        <w:t xml:space="preserve">); </w:t>
      </w:r>
      <w:hyperlink r:id="rId62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3117/12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ארביב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6.9.2012</w:t>
      </w:r>
      <w:r>
        <w:rPr>
          <w:rFonts w:cs="Century" w:ascii="Century" w:hAnsi="Century"/>
          <w:rtl w:val="true"/>
        </w:rPr>
        <w:t>)).</w:t>
      </w:r>
    </w:p>
    <w:p>
      <w:pPr>
        <w:pStyle w:val="Ruller4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מכל מקום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משנמצא כי אילו הושת על אמארה עונש מאסר בפועל של </w:t>
      </w: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שנים לא היה בכך משום חריגה מגדרי הענישה הנוהגת וכי בנסיבות המקרה היה מקום להפעיל את </w:t>
      </w:r>
      <w:r>
        <w:rPr>
          <w:rFonts w:cs="Century" w:ascii="Century" w:hAnsi="Century"/>
        </w:rPr>
        <w:t>24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חודשי המאסר על תנאי במצטבר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תקופת המאסר בפועל שנגזרה על אמארה נותרת </w:t>
      </w: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 כפי שגזר בית המשפט המחוזי במכלול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נפסק לא פעם כי אין הצדקה לקבל ערעור מקום שבו התוצאה העונשית הסופית אינה מצדיקה התערבות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גם אם נפלה שגגה בגזירת הדין </w:t>
      </w:r>
      <w:r>
        <w:rPr>
          <w:rFonts w:cs="Century" w:ascii="Century" w:hAnsi="Century"/>
          <w:rtl w:val="true"/>
        </w:rPr>
        <w:t>(</w:t>
      </w:r>
      <w:hyperlink r:id="rId6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8109/15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אביטן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9.6.2016</w:t>
      </w:r>
      <w:r>
        <w:rPr>
          <w:rFonts w:cs="Century" w:ascii="Century" w:hAnsi="Century"/>
          <w:rtl w:val="true"/>
        </w:rPr>
        <w:t xml:space="preserve">)); </w:t>
      </w:r>
      <w:r>
        <w:rPr>
          <w:rFonts w:ascii="Century" w:hAnsi="Century" w:cs="Century"/>
          <w:rtl w:val="true"/>
        </w:rPr>
        <w:t>ומשכך התוצאה היא כי כך או אחרת יש לדחות את ערעורו של אמארה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13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בערעור המדינה מבוקש שנעשה שימוש בהוראת </w:t>
      </w:r>
      <w:hyperlink r:id="rId64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40</w:t>
        </w:r>
        <w:r>
          <w:rPr>
            <w:rStyle w:val="Hyperlink"/>
            <w:rFonts w:ascii="Century" w:hAnsi="Century" w:cs="Century"/>
            <w:rtl w:val="true"/>
          </w:rPr>
          <w:t>ה</w:t>
        </w:r>
      </w:hyperlink>
      <w:r>
        <w:rPr>
          <w:rFonts w:ascii="Century" w:hAnsi="Century" w:cs="Century"/>
          <w:rtl w:val="true"/>
        </w:rPr>
        <w:t xml:space="preserve"> ל</w:t>
      </w:r>
      <w:hyperlink r:id="rId6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ascii="Century" w:hAnsi="Century" w:cs="Century"/>
          <w:rtl w:val="true"/>
        </w:rPr>
        <w:t xml:space="preserve"> כדי להחמיר בענישתו של אמארה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וכך ביקשה המדינה גם מבית המשפט המחוזי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מצאתי מקום להתערב בעונש שהוטל על אמארה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לקולה ולא לחומרה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הוברר לפנינו כי נראה שעד כה לא נעשה שימוש </w:t>
      </w:r>
      <w:hyperlink r:id="rId66">
        <w:r>
          <w:rPr>
            <w:rStyle w:val="Hyperlink"/>
            <w:rFonts w:ascii="Century" w:hAnsi="Century" w:cs="Century"/>
            <w:rtl w:val="true"/>
          </w:rPr>
          <w:t>בסעיף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40</w:t>
        </w:r>
        <w:r>
          <w:rPr>
            <w:rStyle w:val="Hyperlink"/>
            <w:rFonts w:ascii="Century" w:hAnsi="Century" w:cs="Century"/>
            <w:rtl w:val="true"/>
          </w:rPr>
          <w:t>ה</w:t>
        </w:r>
      </w:hyperlink>
      <w:r>
        <w:rPr>
          <w:rFonts w:ascii="Century" w:hAnsi="Century" w:cs="Century"/>
          <w:rtl w:val="true"/>
        </w:rPr>
        <w:t xml:space="preserve"> בפסיקת בית המשפט העליון כדי להחמיר בענישה בעבירות נשק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לעניין שימוש </w:t>
      </w:r>
      <w:hyperlink r:id="rId67">
        <w:r>
          <w:rPr>
            <w:rStyle w:val="Hyperlink"/>
            <w:rFonts w:ascii="Century" w:hAnsi="Century" w:cs="Century"/>
            <w:rtl w:val="true"/>
          </w:rPr>
          <w:t>בסעיף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40</w:t>
        </w:r>
        <w:r>
          <w:rPr>
            <w:rStyle w:val="Hyperlink"/>
            <w:rFonts w:ascii="Century" w:hAnsi="Century" w:cs="Century"/>
            <w:rtl w:val="true"/>
          </w:rPr>
          <w:t>ה</w:t>
        </w:r>
      </w:hyperlink>
      <w:r>
        <w:rPr>
          <w:rFonts w:ascii="Century" w:hAnsi="Century" w:cs="Century"/>
          <w:rtl w:val="true"/>
        </w:rPr>
        <w:t xml:space="preserve"> בעבירות מין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: </w:t>
      </w:r>
      <w:hyperlink r:id="rId6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3373/17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צרפתי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5.12.2018</w:t>
      </w:r>
      <w:r>
        <w:rPr>
          <w:rFonts w:cs="Century" w:ascii="Century" w:hAnsi="Century"/>
          <w:rtl w:val="true"/>
        </w:rPr>
        <w:t xml:space="preserve">)), </w:t>
      </w:r>
      <w:r>
        <w:rPr>
          <w:rFonts w:ascii="Century" w:hAnsi="Century" w:cs="Century"/>
          <w:rtl w:val="true"/>
        </w:rPr>
        <w:t xml:space="preserve">ואינני מוצאת לנכון לעשות שימוש </w:t>
      </w:r>
      <w:hyperlink r:id="rId69">
        <w:r>
          <w:rPr>
            <w:rStyle w:val="Hyperlink"/>
            <w:rFonts w:ascii="Century" w:hAnsi="Century" w:cs="Century"/>
            <w:rtl w:val="true"/>
          </w:rPr>
          <w:t>בסעיף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40</w:t>
        </w:r>
        <w:r>
          <w:rPr>
            <w:rStyle w:val="Hyperlink"/>
            <w:rFonts w:ascii="Century" w:hAnsi="Century" w:cs="Century"/>
            <w:rtl w:val="true"/>
          </w:rPr>
          <w:t>ה</w:t>
        </w:r>
      </w:hyperlink>
      <w:r>
        <w:rPr>
          <w:rFonts w:ascii="Century" w:hAnsi="Century" w:cs="Century"/>
          <w:rtl w:val="true"/>
        </w:rPr>
        <w:t xml:space="preserve"> גם במקרה דנן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בית המשפט המחוזי התחשב בכל אותן נסיבות מחמירות שהמדינה טוענת להן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ובכללן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התכנון המוקדם של העבירות וחלקו הדומיננטי של אמארה בביצוען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סוג הנשק שנמכר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הרשעותי</w:t>
      </w:r>
      <w:r>
        <w:rPr>
          <w:rFonts w:ascii="Century" w:hAnsi="Century" w:cs="Century"/>
          <w:rtl w:val="true"/>
        </w:rPr>
        <w:t>ו</w:t>
      </w:r>
      <w:r>
        <w:rPr>
          <w:rFonts w:ascii="Century" w:hAnsi="Century" w:cs="Century"/>
          <w:rtl w:val="true"/>
        </w:rPr>
        <w:t xml:space="preserve"> הקודמות של אמארה והיותו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רצידיוויסט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סדרתי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הקשור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לעבירות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נשק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ועבירות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נוספות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וסמיכות ביצוע העבירות דנן לשחרורו של אמארה ממאסר קודם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לנוכח נסיבות מחמירות אלו קבע בית המשפט מתחם ענישה בהתאם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ואף התחשב בעברו הפלילי של אמארה במסגרת גזירת העונש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בקובעו כי יש לגזור על הנאשם עונש מאסר בגבול העליון של המתחם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משכך יש לדחות גם את ערעור המדינה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סוף דבר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אם תישמע דעתי נדחה את שני הערעורים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וגזר הדין יוותר על כנו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עמית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הוחלט כאמור בפסק דינה של 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ברון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/>
      </w:pPr>
      <w:bookmarkStart w:id="20" w:name="Nitan"/>
      <w:r>
        <w:rPr>
          <w:rFonts w:eastAsia="Century"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היום</w:t>
      </w:r>
      <w:r>
        <w:rPr>
          <w:rFonts w:cs="Century" w:ascii="Century" w:hAnsi="Century"/>
          <w:rtl w:val="true"/>
        </w:rPr>
        <w:t>, ‏</w:t>
      </w:r>
      <w:r>
        <w:rPr>
          <w:rFonts w:ascii="Century" w:hAnsi="Century" w:cs="Century"/>
          <w:rtl w:val="true"/>
        </w:rPr>
        <w:t>י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ג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באלול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ף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(‏</w:t>
      </w:r>
      <w:r>
        <w:rPr>
          <w:rFonts w:cs="Century" w:ascii="Century" w:hAnsi="Century"/>
        </w:rPr>
        <w:t>2.9.2020</w:t>
      </w:r>
      <w:r>
        <w:rPr>
          <w:rFonts w:cs="Century" w:ascii="Century" w:hAnsi="Century"/>
          <w:rtl w:val="true"/>
        </w:rPr>
        <w:t xml:space="preserve">). </w:t>
      </w:r>
      <w:bookmarkEnd w:id="20"/>
      <w:r>
        <w:rPr>
          <w:rFonts w:cs="Century" w:ascii="Century" w:hAnsi="Century"/>
          <w:rtl w:val="true"/>
        </w:rPr>
        <w:tab/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90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20019440</w:t>
      </w:r>
      <w:r>
        <w:rPr>
          <w:sz w:val="16"/>
          <w:rtl w:val="true"/>
        </w:rPr>
        <w:t>_</w:t>
      </w:r>
      <w:r>
        <w:rPr>
          <w:sz w:val="16"/>
        </w:rPr>
        <w:t>G01.docx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מג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70">
        <w:r>
          <w:rPr>
            <w:rStyle w:val="Hyperlink"/>
            <w:color w:val="000000"/>
            <w:sz w:val="16"/>
            <w:u w:val="none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י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'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עמית </w:t>
      </w:r>
      <w:r>
        <w:rPr>
          <w:rFonts w:cs="David" w:ascii="David" w:hAnsi="David"/>
          <w:color w:val="000000"/>
          <w:sz w:val="22"/>
          <w:szCs w:val="22"/>
        </w:rPr>
        <w:t>54678313-1944/20</w:t>
      </w:r>
    </w:p>
    <w:p>
      <w:pPr>
        <w:pStyle w:val="Normal"/>
        <w:ind w:end="0"/>
        <w:jc w:val="start"/>
        <w:rPr>
          <w:szCs w:val="20"/>
        </w:rPr>
      </w:pPr>
      <w:r>
        <w:rPr>
          <w:color w:val="000000"/>
          <w:szCs w:val="20"/>
          <w:rtl w:val="true"/>
        </w:rPr>
        <w:t>נוסח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מסמך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זה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כפוף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לשינויי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ניסוח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ועריכה</w:t>
      </w:r>
    </w:p>
    <w:p>
      <w:pPr>
        <w:pStyle w:val="Normal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7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72"/>
      <w:footerReference w:type="default" r:id="rId73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13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1944/20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אמארה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>
      <w:rFonts w:ascii="Arial TUR" w:hAnsi="Arial TUR" w:cs="Arial TUR"/>
    </w:rPr>
  </w:style>
  <w:style w:type="character" w:styleId="WW8Num13z0">
    <w:name w:val="WW8Num13z0"/>
    <w:qFormat/>
    <w:rPr>
      <w:rFonts w:ascii="Symbol" w:hAnsi="Symbol" w:eastAsia="Times New Roman" w:cs="FrankRueh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Symbol" w:hAnsi="Symbol" w:eastAsia="Times New Roman" w:cs="FrankRueh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big-number">
    <w:name w:val="big-number"/>
    <w:basedOn w:val="DefaultParagraphFont"/>
    <w:qFormat/>
    <w:rPr/>
  </w:style>
  <w:style w:type="character" w:styleId="default">
    <w:name w:val="default"/>
    <w:basedOn w:val="DefaultParagraph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p00">
    <w:name w:val="p00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3774780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40e" TargetMode="External"/><Relationship Id="rId5" Type="http://schemas.openxmlformats.org/officeDocument/2006/relationships/hyperlink" Target="http://www.nevo.co.il/law/70301/40i" TargetMode="External"/><Relationship Id="rId6" Type="http://schemas.openxmlformats.org/officeDocument/2006/relationships/hyperlink" Target="http://www.nevo.co.il/law/70301/58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/144.b2" TargetMode="External"/><Relationship Id="rId10" Type="http://schemas.openxmlformats.org/officeDocument/2006/relationships/hyperlink" Target="http://www.nevo.co.il/law/70301/144.c" TargetMode="External"/><Relationship Id="rId11" Type="http://schemas.openxmlformats.org/officeDocument/2006/relationships/hyperlink" Target="http://www.nevo.co.il/law/70301/40ja" TargetMode="External"/><Relationship Id="rId12" Type="http://schemas.openxmlformats.org/officeDocument/2006/relationships/hyperlink" Target="http://www.nevo.co.il/law/5227" TargetMode="External"/><Relationship Id="rId13" Type="http://schemas.openxmlformats.org/officeDocument/2006/relationships/hyperlink" Target="http://www.nevo.co.il/law/5227/10.a" TargetMode="External"/><Relationship Id="rId14" Type="http://schemas.openxmlformats.org/officeDocument/2006/relationships/hyperlink" Target="http://www.nevo.co.il/law/5227/62.1" TargetMode="External"/><Relationship Id="rId15" Type="http://schemas.openxmlformats.org/officeDocument/2006/relationships/hyperlink" Target="http://www.nevo.co.il/law/74501" TargetMode="External"/><Relationship Id="rId16" Type="http://schemas.openxmlformats.org/officeDocument/2006/relationships/hyperlink" Target="http://www.nevo.co.il/law/74501/2" TargetMode="External"/><Relationship Id="rId17" Type="http://schemas.openxmlformats.org/officeDocument/2006/relationships/hyperlink" Target="http://www.nevo.co.il/law/70301/40e" TargetMode="External"/><Relationship Id="rId18" Type="http://schemas.openxmlformats.org/officeDocument/2006/relationships/hyperlink" Target="http://www.nevo.co.il/law/70301/40e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40e" TargetMode="External"/><Relationship Id="rId21" Type="http://schemas.openxmlformats.org/officeDocument/2006/relationships/hyperlink" Target="http://www.nevo.co.il/case/23774780" TargetMode="External"/><Relationship Id="rId22" Type="http://schemas.openxmlformats.org/officeDocument/2006/relationships/hyperlink" Target="http://www.nevo.co.il/case/20392555" TargetMode="External"/><Relationship Id="rId23" Type="http://schemas.openxmlformats.org/officeDocument/2006/relationships/hyperlink" Target="http://www.nevo.co.il/law/70301/144.b2" TargetMode="External"/><Relationship Id="rId24" Type="http://schemas.openxmlformats.org/officeDocument/2006/relationships/hyperlink" Target="http://www.nevo.co.il/law/70301/144.c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144.a" TargetMode="External"/><Relationship Id="rId27" Type="http://schemas.openxmlformats.org/officeDocument/2006/relationships/hyperlink" Target="http://www.nevo.co.il/law/70301/144.b" TargetMode="External"/><Relationship Id="rId28" Type="http://schemas.openxmlformats.org/officeDocument/2006/relationships/hyperlink" Target="http://www.nevo.co.il/law/5227/10.a" TargetMode="External"/><Relationship Id="rId29" Type="http://schemas.openxmlformats.org/officeDocument/2006/relationships/hyperlink" Target="http://www.nevo.co.il/law/5227/62.1" TargetMode="External"/><Relationship Id="rId30" Type="http://schemas.openxmlformats.org/officeDocument/2006/relationships/hyperlink" Target="http://www.nevo.co.il/law/5227" TargetMode="External"/><Relationship Id="rId31" Type="http://schemas.openxmlformats.org/officeDocument/2006/relationships/hyperlink" Target="http://www.nevo.co.il/law/74501/2" TargetMode="External"/><Relationship Id="rId32" Type="http://schemas.openxmlformats.org/officeDocument/2006/relationships/hyperlink" Target="http://www.nevo.co.il/law/74501" TargetMode="External"/><Relationship Id="rId33" Type="http://schemas.openxmlformats.org/officeDocument/2006/relationships/hyperlink" Target="http://www.nevo.co.il/law/70301/40e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40e" TargetMode="External"/><Relationship Id="rId36" Type="http://schemas.openxmlformats.org/officeDocument/2006/relationships/hyperlink" Target="http://www.nevo.co.il/law/70301/40i" TargetMode="External"/><Relationship Id="rId37" Type="http://schemas.openxmlformats.org/officeDocument/2006/relationships/hyperlink" Target="http://www.nevo.co.il/law/70301/40ja" TargetMode="External"/><Relationship Id="rId38" Type="http://schemas.openxmlformats.org/officeDocument/2006/relationships/hyperlink" Target="http://www.nevo.co.il/case/20392555" TargetMode="External"/><Relationship Id="rId39" Type="http://schemas.openxmlformats.org/officeDocument/2006/relationships/hyperlink" Target="http://www.nevo.co.il/law/70301/40e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law/70301/40e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law/70301/40e" TargetMode="External"/><Relationship Id="rId44" Type="http://schemas.openxmlformats.org/officeDocument/2006/relationships/hyperlink" Target="http://www.nevo.co.il/law/70301/40ja" TargetMode="External"/><Relationship Id="rId45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law/70301/40e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case/25612982" TargetMode="External"/><Relationship Id="rId49" Type="http://schemas.openxmlformats.org/officeDocument/2006/relationships/hyperlink" Target="http://www.nevo.co.il/case/21477237" TargetMode="External"/><Relationship Id="rId50" Type="http://schemas.openxmlformats.org/officeDocument/2006/relationships/hyperlink" Target="http://www.nevo.co.il/case/5568591" TargetMode="External"/><Relationship Id="rId51" Type="http://schemas.openxmlformats.org/officeDocument/2006/relationships/hyperlink" Target="http://www.nevo.co.il/case/6473037" TargetMode="External"/><Relationship Id="rId52" Type="http://schemas.openxmlformats.org/officeDocument/2006/relationships/hyperlink" Target="http://www.nevo.co.il/case/21474168" TargetMode="External"/><Relationship Id="rId53" Type="http://schemas.openxmlformats.org/officeDocument/2006/relationships/hyperlink" Target="http://www.nevo.co.il/case/25824863" TargetMode="External"/><Relationship Id="rId54" Type="http://schemas.openxmlformats.org/officeDocument/2006/relationships/hyperlink" Target="http://www.nevo.co.il/case/5821328" TargetMode="External"/><Relationship Id="rId55" Type="http://schemas.openxmlformats.org/officeDocument/2006/relationships/hyperlink" Target="http://www.nevo.co.il/case/5716796" TargetMode="External"/><Relationship Id="rId56" Type="http://schemas.openxmlformats.org/officeDocument/2006/relationships/hyperlink" Target="http://www.nevo.co.il/case/5821327" TargetMode="External"/><Relationship Id="rId57" Type="http://schemas.openxmlformats.org/officeDocument/2006/relationships/hyperlink" Target="http://www.nevo.co.il/law/70301/58" TargetMode="External"/><Relationship Id="rId58" Type="http://schemas.openxmlformats.org/officeDocument/2006/relationships/hyperlink" Target="http://www.nevo.co.il/law/70301" TargetMode="External"/><Relationship Id="rId59" Type="http://schemas.openxmlformats.org/officeDocument/2006/relationships/hyperlink" Target="http://www.nevo.co.il/case/21053257" TargetMode="External"/><Relationship Id="rId60" Type="http://schemas.openxmlformats.org/officeDocument/2006/relationships/hyperlink" Target="http://www.nevo.co.il/case/18653904" TargetMode="External"/><Relationship Id="rId61" Type="http://schemas.openxmlformats.org/officeDocument/2006/relationships/hyperlink" Target="http://www.nevo.co.il/case/26358476" TargetMode="External"/><Relationship Id="rId62" Type="http://schemas.openxmlformats.org/officeDocument/2006/relationships/hyperlink" Target="http://www.nevo.co.il/case/5583030" TargetMode="External"/><Relationship Id="rId63" Type="http://schemas.openxmlformats.org/officeDocument/2006/relationships/hyperlink" Target="http://www.nevo.co.il/case/20683368" TargetMode="External"/><Relationship Id="rId64" Type="http://schemas.openxmlformats.org/officeDocument/2006/relationships/hyperlink" Target="http://www.nevo.co.il/law/70301/40e" TargetMode="External"/><Relationship Id="rId65" Type="http://schemas.openxmlformats.org/officeDocument/2006/relationships/hyperlink" Target="http://www.nevo.co.il/law/70301" TargetMode="External"/><Relationship Id="rId66" Type="http://schemas.openxmlformats.org/officeDocument/2006/relationships/hyperlink" Target="http://www.nevo.co.il/law/70301/40e" TargetMode="External"/><Relationship Id="rId67" Type="http://schemas.openxmlformats.org/officeDocument/2006/relationships/hyperlink" Target="http://www.nevo.co.il/law/70301/40e" TargetMode="External"/><Relationship Id="rId68" Type="http://schemas.openxmlformats.org/officeDocument/2006/relationships/hyperlink" Target="http://www.nevo.co.il/case/22578469" TargetMode="External"/><Relationship Id="rId69" Type="http://schemas.openxmlformats.org/officeDocument/2006/relationships/hyperlink" Target="http://www.nevo.co.il/law/70301/40e" TargetMode="External"/><Relationship Id="rId70" Type="http://schemas.openxmlformats.org/officeDocument/2006/relationships/hyperlink" Target="" TargetMode="External"/><Relationship Id="rId71" Type="http://schemas.openxmlformats.org/officeDocument/2006/relationships/hyperlink" Target="http://www.nevo.co.il/advertisements/nevo-100.doc" TargetMode="External"/><Relationship Id="rId72" Type="http://schemas.openxmlformats.org/officeDocument/2006/relationships/header" Target="header1.xml"/><Relationship Id="rId73" Type="http://schemas.openxmlformats.org/officeDocument/2006/relationships/footer" Target="footer1.xml"/><Relationship Id="rId74" Type="http://schemas.openxmlformats.org/officeDocument/2006/relationships/numbering" Target="numbering.xml"/><Relationship Id="rId75" Type="http://schemas.openxmlformats.org/officeDocument/2006/relationships/fontTable" Target="fontTable.xml"/><Relationship Id="rId76" Type="http://schemas.openxmlformats.org/officeDocument/2006/relationships/settings" Target="settings.xml"/><Relationship Id="rId7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2020-09-03T07:44:00Z</dcterms:created>
  <dc:creator>h4</dc:creator>
  <dc:description/>
  <cp:keywords/>
  <dc:language>en-IL</dc:language>
  <cp:lastModifiedBy>orly</cp:lastModifiedBy>
  <cp:lastPrinted>2020-09-02T09:37:00Z</cp:lastPrinted>
  <dcterms:modified xsi:type="dcterms:W3CDTF">2020-09-03T07:44:00Z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אמארה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23774780:2;20392555:2;25612982;21477237;5568591;6473037;21474168;25824863;5821328;5716796;5821327;21053257;18653904;26358476;5583030;20683368;22578469</vt:lpwstr>
  </property>
  <property fmtid="{D5CDD505-2E9C-101B-9397-08002B2CF9AE}" pid="9" name="CITY">
    <vt:lpwstr/>
  </property>
  <property fmtid="{D5CDD505-2E9C-101B-9397-08002B2CF9AE}" pid="10" name="DATE">
    <vt:lpwstr>20200902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עמית;נ' סולברג;ע' ברון</vt:lpwstr>
  </property>
  <property fmtid="{D5CDD505-2E9C-101B-9397-08002B2CF9AE}" pid="14" name="LAWLISTTMP1">
    <vt:lpwstr>70301/144.b2;144.c;144.a;144.b;040e:10;040i;40ja:2;058</vt:lpwstr>
  </property>
  <property fmtid="{D5CDD505-2E9C-101B-9397-08002B2CF9AE}" pid="15" name="LAWLISTTMP2">
    <vt:lpwstr>5227/010.a;062.1</vt:lpwstr>
  </property>
  <property fmtid="{D5CDD505-2E9C-101B-9397-08002B2CF9AE}" pid="16" name="LAWLISTTMP3">
    <vt:lpwstr>74501/002</vt:lpwstr>
  </property>
  <property fmtid="{D5CDD505-2E9C-101B-9397-08002B2CF9AE}" pid="17" name="LAWYER">
    <vt:lpwstr>יהלי שפרלינג;מחמד סעיד;אפרת גולדשטיין רוזן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נעה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עונשין</vt:lpwstr>
  </property>
  <property fmtid="{D5CDD505-2E9C-101B-9397-08002B2CF9AE}" pid="29" name="NOSE110">
    <vt:lpwstr/>
  </property>
  <property fmtid="{D5CDD505-2E9C-101B-9397-08002B2CF9AE}" pid="30" name="NOSE12">
    <vt:lpwstr>עונשין</vt:lpwstr>
  </property>
  <property fmtid="{D5CDD505-2E9C-101B-9397-08002B2CF9AE}" pid="31" name="NOSE13">
    <vt:lpwstr>עונשין</vt:lpwstr>
  </property>
  <property fmtid="{D5CDD505-2E9C-101B-9397-08002B2CF9AE}" pid="32" name="NOSE14">
    <vt:lpwstr>עונשין</vt:lpwstr>
  </property>
  <property fmtid="{D5CDD505-2E9C-101B-9397-08002B2CF9AE}" pid="33" name="NOSE15">
    <vt:lpwstr>עונשין</vt:lpwstr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77;77;77;77;77</vt:lpwstr>
  </property>
  <property fmtid="{D5CDD505-2E9C-101B-9397-08002B2CF9AE}" pid="39" name="NOSE21">
    <vt:lpwstr>ענישה</vt:lpwstr>
  </property>
  <property fmtid="{D5CDD505-2E9C-101B-9397-08002B2CF9AE}" pid="40" name="NOSE210">
    <vt:lpwstr/>
  </property>
  <property fmtid="{D5CDD505-2E9C-101B-9397-08002B2CF9AE}" pid="41" name="NOSE22">
    <vt:lpwstr>ענישה</vt:lpwstr>
  </property>
  <property fmtid="{D5CDD505-2E9C-101B-9397-08002B2CF9AE}" pid="42" name="NOSE23">
    <vt:lpwstr>ענישה</vt:lpwstr>
  </property>
  <property fmtid="{D5CDD505-2E9C-101B-9397-08002B2CF9AE}" pid="43" name="NOSE24">
    <vt:lpwstr>ענישה</vt:lpwstr>
  </property>
  <property fmtid="{D5CDD505-2E9C-101B-9397-08002B2CF9AE}" pid="44" name="NOSE25">
    <vt:lpwstr>ענישה</vt:lpwstr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1446;1446;1446;1446;1446</vt:lpwstr>
  </property>
  <property fmtid="{D5CDD505-2E9C-101B-9397-08002B2CF9AE}" pid="50" name="NOSE31">
    <vt:lpwstr>מדיניות ענישה: עבירות נשק</vt:lpwstr>
  </property>
  <property fmtid="{D5CDD505-2E9C-101B-9397-08002B2CF9AE}" pid="51" name="NOSE310">
    <vt:lpwstr/>
  </property>
  <property fmtid="{D5CDD505-2E9C-101B-9397-08002B2CF9AE}" pid="52" name="NOSE32">
    <vt:lpwstr>מדיניות ענישה: התערבות ערכאת ערעור</vt:lpwstr>
  </property>
  <property fmtid="{D5CDD505-2E9C-101B-9397-08002B2CF9AE}" pid="53" name="NOSE33">
    <vt:lpwstr>מדיניות ענישה: מתחם הענישה</vt:lpwstr>
  </property>
  <property fmtid="{D5CDD505-2E9C-101B-9397-08002B2CF9AE}" pid="54" name="NOSE34">
    <vt:lpwstr>מדיניות ענישה: אחדות הענישה</vt:lpwstr>
  </property>
  <property fmtid="{D5CDD505-2E9C-101B-9397-08002B2CF9AE}" pid="55" name="NOSE35">
    <vt:lpwstr>הפעלת מאסר על תנאי</vt:lpwstr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13800;8982;15752;13222;8977</vt:lpwstr>
  </property>
  <property fmtid="{D5CDD505-2E9C-101B-9397-08002B2CF9AE}" pid="61" name="PADIDATE">
    <vt:lpwstr>20200903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עפ;עפ</vt:lpwstr>
  </property>
  <property fmtid="{D5CDD505-2E9C-101B-9397-08002B2CF9AE}" pid="66" name="PROCNUM">
    <vt:lpwstr>1944;2013</vt:lpwstr>
  </property>
  <property fmtid="{D5CDD505-2E9C-101B-9397-08002B2CF9AE}" pid="67" name="PROCYEAR">
    <vt:lpwstr>20;20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410120200902</vt:lpwstr>
  </property>
  <property fmtid="{D5CDD505-2E9C-101B-9397-08002B2CF9AE}" pid="71" name="TYPE_N_DATE">
    <vt:lpwstr>41020200902</vt:lpwstr>
  </property>
  <property fmtid="{D5CDD505-2E9C-101B-9397-08002B2CF9AE}" pid="72" name="VOLUME">
    <vt:lpwstr/>
  </property>
  <property fmtid="{D5CDD505-2E9C-101B-9397-08002B2CF9AE}" pid="73" name="WORDNUMPAGES">
    <vt:lpwstr>12</vt:lpwstr>
  </property>
</Properties>
</file>