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1969/22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2228/22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1969/22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2228/22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אבישי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אבנר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9.9.2021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15.2.2022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53698-03-17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רענן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ציון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קאפח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ואירית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846"/>
        <w:gridCol w:w="287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תאריך הישיבה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84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 xml:space="preserve"> התשפ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 xml:space="preserve">ג 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(</w:t>
            </w:r>
            <w:r>
              <w:rPr>
                <w:rFonts w:cs="David" w:ascii="David" w:hAnsi="David"/>
                <w:sz w:val="24"/>
                <w:szCs w:val="24"/>
              </w:rPr>
              <w:t>19</w:t>
            </w:r>
            <w:r>
              <w:rPr>
                <w:rFonts w:cs="David" w:ascii="David" w:hAnsi="David"/>
                <w:sz w:val="24"/>
                <w:szCs w:val="24"/>
              </w:rPr>
              <w:t>.</w:t>
            </w:r>
            <w:r>
              <w:rPr>
                <w:rFonts w:cs="David" w:ascii="David" w:hAnsi="David"/>
                <w:sz w:val="24"/>
                <w:szCs w:val="24"/>
              </w:rPr>
              <w:t>6</w:t>
            </w:r>
            <w:r>
              <w:rPr>
                <w:rFonts w:cs="David" w:ascii="David" w:hAnsi="David"/>
                <w:sz w:val="24"/>
                <w:szCs w:val="24"/>
              </w:rPr>
              <w:t>.2023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28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cs="David" w:ascii="David" w:hAnsi="David"/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65"/>
        <w:gridCol w:w="27"/>
        <w:gridCol w:w="5071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9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1969/22</w:t>
            </w:r>
            <w:r>
              <w:rPr>
                <w:rtl w:val="true"/>
              </w:rPr>
              <w:t>:</w:t>
            </w:r>
          </w:p>
        </w:tc>
        <w:tc>
          <w:tcPr>
            <w:tcW w:w="507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סבג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מאיר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9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2228/22</w:t>
            </w:r>
            <w:r>
              <w:rPr>
                <w:rtl w:val="true"/>
              </w:rPr>
              <w:t>:</w:t>
            </w:r>
          </w:p>
        </w:tc>
        <w:tc>
          <w:tcPr>
            <w:tcW w:w="507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בסרגליק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בנאיון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הרמן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6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09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חגי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58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428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456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497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85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162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נדחה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המערערים בעבירה 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ניסיון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יסוד מארג של ראיות 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נפסק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לספק כי התרחיש המרשיע הוא האפשרות הסבירה היחידה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כן נדחה ערעור המערערים על עונשי המאסר בפועל שהושתו עליהם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 על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1969/22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על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2228/22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כל מקום להתערבות ערכאת הערעור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על יסוד ראיות נסיבתיות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ראיות נסיבתיות – שתיקת הנאשם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ראיות נסיבתיות – בחינתן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ניסיון לרצח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לרצח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ערעורים על פסק 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של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בגדרו הורשעו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 של ניסיון 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של שחקן הכדורגל קובי מוסא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הנסבים על הכרעת הדין ועל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 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ערעורו של בן דוד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1969/22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ממוקד בשאלה האם הוכח היסוד הנפשי הנדרש לצורך הרשעתו בניסיון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להנחת מטען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ברכבו של שחקן הכדורגל קובי מוסא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הוכחת יסוד 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אינה מלאכה פשוטה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 לא פעם מסקנה בדבר מחשבתו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מודעותו ורצונו של אדם תתבסס על חזקות עובדתיות או על הסקה מראיות 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ספק כי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ובעיקר טיב ואיכות מטע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ן החבלה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 עוצמה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מיקום הנחת המטען מתחת למושב הנהג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ההזדמנויות הקודמות שהיו לבן דוד להניח את המטען ברכבו של מוסא לשם הרתעתו ולא נוצלו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ושתיקתו הכמעט מוחלטת בחקירותיו ובעדותו בבי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מלמדות על כוונה של בן דוד להמית את מוסא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לשתיקת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דוד נפקות 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בשתיקה כשלעצמה כדי למלא חוסר ראייתי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חובת ההוכחה רובצת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תביעה עד סוף הדרך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מכלול ראיות נסיבתיות עוצמתיות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שלכל הפחות יש בהן כדי להעביר אל בן דוד את נטל הבאת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מנטל השכנוע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 דוד לא הציע כל חלופה שיש בה כדי להדוף את המסקנה כי לא במטען קטלני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חיסולי עסקינן אלא במטען הרתעתי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פירוטכני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לשתיקת בן דוד עוצמה רבה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נתפס על 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שהטמין את המטען ולאחר שהדליק את מתג המקלט האלחוטי המוצמד למטען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לשתיקת בן דוד יש ערך פוזיטיבי בפני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כחיזוק שנוסף לראיות הנסיבתיות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משהוכחה כוונת הקטילה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שנותר לבן דוד הוא ללחוץ על כפתור השלט לאחר שמוסא ייכנס לרכבו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שהיה כפסע בינו לבין השלמת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מרחק רב לאחר השלמת שלב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ההכנה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ועמוק בתוך מתחם הניסיון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לפיכך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ערעורו של בן דוד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על הכרעת הדין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 בן דוד על גזר הדין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ללא העבירה של ניסיון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האמור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מצדיק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עברו הפלילי של בן דוד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כה מינורי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ונוכח שורת העבירות 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בהליך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החזקת דירת אמל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קבלן ביצוע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ברמה גבוהה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 ייצור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הכנה והנחה של מטעני חבלה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 הררי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2228/22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הררי התבססה על ראיות 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כ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וחן אינו נופל מכוחן של ראיות ישירות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וגם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עשויות להכריע את הדין לחובת נאשם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הרשעה של נאשם על בסיס ראיות נסיבתיות תתאפשר במקרים שבהם המסקנה המפלילה היא המסקנה היחידה המתיישבת עם מארג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נותרה כל מסקנה סבירה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בקבעו כי המסקנה המרשיעה היא המסקנה האחת והיחידה העולה מן העובדות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אינו נדרש לבחון ולשלול כל תרחיש חלופי שניתן להעלות על 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רק תרחיש חלופי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לו בסיס בחומר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די באפשרות תאורטית או דחוקה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התמונה המתקבלת מהראיות מובילה למסקנה בדבר אשמתו של הררי מעבר לכל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ממכלול הראיות עולה סיפור עובדתי ברור המלמד על מעורבותו בהנחת המטען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אף שלא היה נוכח בזירת האירוע בעת הנחתו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מקום לספק כי התרחיש המרשיע הוא האפשרות הסבירה היחידה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הצטברות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חוצה את המסה הקריטית הנחוצה לצורך 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במחדלי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חקירה נטענים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כדי לקפח את הגנתו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 הררי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לא כדי להטיל ספק ממשי באשמתו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הררי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על גזר 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הררי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ההולם את חומרת מעשיו ואת פוטנציאל הנזק הטמון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כל מקום להתערבות ערכאת הערעור בעונש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מאוחדים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מתמקדים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אף שהערעורים ממוקדים באישום אחד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אדרש בקצרה לאישומים הנוספים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הרלוונטיות של אישומים אלה לענייננו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מנת שהתמונה הרחבה תהיה בפני הקורא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כתב האישום שהוגש כנגד שני המערערים </w:t>
      </w:r>
      <w:r>
        <w:rPr>
          <w:rFonts w:ascii="Century" w:hAnsi="Century" w:cs="Century"/>
          <w:rtl w:val="true"/>
        </w:rPr>
        <w:t>מייחס ל</w:t>
      </w:r>
      <w:r>
        <w:rPr>
          <w:rFonts w:ascii="Century" w:hAnsi="Century" w:cs="Century"/>
          <w:rtl w:val="true"/>
        </w:rPr>
        <w:t>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1969/22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חמישה אישומים ול</w:t>
      </w:r>
      <w:r>
        <w:rPr>
          <w:rFonts w:ascii="Century" w:hAnsi="Century" w:cs="Century"/>
          <w:rtl w:val="true"/>
        </w:rPr>
        <w:t>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2228/22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הררי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שני אישומים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כפרו באישומים שיוחסו להם ובית משפט קמא נתן את פסק דינו לאחר שהתקיימו למעלה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ישיבות הוכחות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וכפי שציין בית משפט קמא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אציין שאינני משוכנע כי שמיעתם של כל העדים הייתה מחויבת המציאות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בשיטתנו המשפטית לא היה מנוס מכך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בחלק הכללי לכתב האישום נטען כי ממועד לא ידוע עובר ליום </w:t>
      </w:r>
      <w:r>
        <w:rPr>
          <w:rFonts w:cs="Century" w:ascii="Century" w:hAnsi="Century"/>
        </w:rPr>
        <w:t>8.12.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עד </w:t>
      </w:r>
      <w:r>
        <w:rPr>
          <w:rFonts w:ascii="Century" w:hAnsi="Century" w:cs="Century"/>
          <w:rtl w:val="true"/>
        </w:rPr>
        <w:t xml:space="preserve">ליום </w:t>
      </w:r>
      <w:r>
        <w:rPr>
          <w:rFonts w:cs="Century" w:ascii="Century" w:hAnsi="Century"/>
        </w:rPr>
        <w:t>17.2.2017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קשרו שני הנאשמים קשר ביניהם ו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>או עם אחרים שזהותם לא ידועה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ולפיו יפעל </w:t>
      </w:r>
      <w:r>
        <w:rPr>
          <w:rFonts w:ascii="Century" w:hAnsi="Century" w:cs="Century"/>
          <w:rtl w:val="true"/>
        </w:rPr>
        <w:t xml:space="preserve">בן דוד יחד עם הררי </w:t>
      </w:r>
      <w:r>
        <w:rPr>
          <w:rFonts w:ascii="Century" w:hAnsi="Century" w:cs="Century"/>
          <w:rtl w:val="true"/>
        </w:rPr>
        <w:t>ואחרים לייצר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להרכיב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להניח ולהפעיל מטעני חבלה כנגד קורבנות שונים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פי הזמנה מוקדמת של אחרים ובתמורה לתשלום כספי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הקשר הנטען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ולשם קידומו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חקר ולמד </w:t>
      </w:r>
      <w:r>
        <w:rPr>
          <w:rFonts w:ascii="Century" w:hAnsi="Century" w:cs="Century"/>
          <w:rtl w:val="true"/>
        </w:rPr>
        <w:t xml:space="preserve">בן דוד </w:t>
      </w:r>
      <w:r>
        <w:rPr>
          <w:rFonts w:ascii="Century" w:hAnsi="Century" w:cs="Century"/>
          <w:rtl w:val="true"/>
        </w:rPr>
        <w:t>את תחום הכנת חומרי נפץ וחומרי חבלה ברשת האינטרנט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רכש חומרים לצורך כך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והכין והרכיב את המטענים בדירת מסתור בבניין מגוריו בעיר ראשון לציון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אישום זה </w:t>
      </w:r>
      <w:r>
        <w:rPr>
          <w:rFonts w:ascii="Century" w:hAnsi="Century" w:cs="Century"/>
          <w:rtl w:val="true"/>
        </w:rPr>
        <w:t>מיוחס ל</w:t>
      </w:r>
      <w:r>
        <w:rPr>
          <w:rFonts w:ascii="Century" w:hAnsi="Century" w:cs="Century"/>
          <w:rtl w:val="true"/>
        </w:rPr>
        <w:t>בן דוד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נטען כי </w:t>
      </w:r>
      <w:r>
        <w:rPr>
          <w:rFonts w:ascii="Century" w:hAnsi="Century" w:cs="Century"/>
          <w:rtl w:val="true"/>
        </w:rPr>
        <w:t xml:space="preserve">במסגרת הקשר הכין </w:t>
      </w:r>
      <w:r>
        <w:rPr>
          <w:rFonts w:ascii="Century" w:hAnsi="Century" w:cs="Century"/>
          <w:rtl w:val="true"/>
        </w:rPr>
        <w:t xml:space="preserve">בן דוד </w:t>
      </w:r>
      <w:r>
        <w:rPr>
          <w:rFonts w:ascii="Century" w:hAnsi="Century" w:cs="Century"/>
          <w:rtl w:val="true"/>
        </w:rPr>
        <w:t xml:space="preserve">מטען </w:t>
      </w:r>
      <w:r>
        <w:rPr>
          <w:rFonts w:ascii="Century" w:hAnsi="Century" w:cs="Century"/>
          <w:rtl w:val="true"/>
        </w:rPr>
        <w:t>צינור ש</w:t>
      </w:r>
      <w:r>
        <w:rPr>
          <w:rFonts w:ascii="Century" w:hAnsi="Century" w:cs="Century"/>
          <w:rtl w:val="true"/>
        </w:rPr>
        <w:t>בכוחו להזיק לאדם בעת התפוצצותו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שאותו </w:t>
      </w:r>
      <w:r>
        <w:rPr>
          <w:rFonts w:ascii="Century" w:hAnsi="Century" w:cs="Century"/>
          <w:rtl w:val="true"/>
        </w:rPr>
        <w:t xml:space="preserve">הניח במרזב שמשת הרכב הקדמית של איש העסקים מאיר שמיר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המתלונן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שעה שהרכב </w:t>
      </w:r>
      <w:r>
        <w:rPr>
          <w:rFonts w:ascii="Century" w:hAnsi="Century" w:cs="Century"/>
          <w:rtl w:val="true"/>
        </w:rPr>
        <w:t>חנה בחניון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בן דוד </w:t>
      </w:r>
      <w:r>
        <w:rPr>
          <w:rFonts w:ascii="Century" w:hAnsi="Century" w:cs="Century"/>
          <w:rtl w:val="true"/>
        </w:rPr>
        <w:t xml:space="preserve">הפעיל את מטען החבלה מרחוק באמצעות משדר אלחוטי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המטען התפוצץ על רכב המתלונן וגרם לו נזק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אקדים ואספר כי בן דוד הורשע באישום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השני</w:t>
      </w:r>
      <w:r>
        <w:rPr>
          <w:rFonts w:cs="Century" w:ascii="Century" w:hAnsi="Century"/>
          <w:sz w:val="18"/>
          <w:szCs w:val="24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גם אישום זה </w:t>
      </w:r>
      <w:r>
        <w:rPr>
          <w:rFonts w:ascii="Century" w:hAnsi="Century" w:cs="Century"/>
          <w:rtl w:val="true"/>
        </w:rPr>
        <w:t>מיוחס ל</w:t>
      </w:r>
      <w:r>
        <w:rPr>
          <w:rFonts w:ascii="Century" w:hAnsi="Century" w:cs="Century"/>
          <w:rtl w:val="true"/>
        </w:rPr>
        <w:t>בן דוד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נטען כי </w:t>
      </w:r>
      <w:r>
        <w:rPr>
          <w:rFonts w:ascii="Century" w:hAnsi="Century" w:cs="Century"/>
          <w:rtl w:val="true"/>
        </w:rPr>
        <w:t xml:space="preserve">במסגרת הקשר הרכיב </w:t>
      </w:r>
      <w:r>
        <w:rPr>
          <w:rFonts w:ascii="Century" w:hAnsi="Century" w:cs="Century"/>
          <w:rtl w:val="true"/>
        </w:rPr>
        <w:t xml:space="preserve">בן דוד </w:t>
      </w:r>
      <w:r>
        <w:rPr>
          <w:rFonts w:ascii="Century" w:hAnsi="Century" w:cs="Century"/>
          <w:rtl w:val="true"/>
        </w:rPr>
        <w:t xml:space="preserve">מטען צינור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בכוחו לה</w:t>
      </w:r>
      <w:r>
        <w:rPr>
          <w:rFonts w:ascii="Century" w:hAnsi="Century" w:cs="Century"/>
          <w:rtl w:val="true"/>
        </w:rPr>
        <w:t>זיק ל</w:t>
      </w:r>
      <w:r>
        <w:rPr>
          <w:rFonts w:ascii="Century" w:hAnsi="Century" w:cs="Century"/>
          <w:rtl w:val="true"/>
        </w:rPr>
        <w:t>אדם בעת התפוצצותו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שאותו הניח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19.12.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בשעות הערב על חומת ביתו של המתלונן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ובשעה </w:t>
      </w:r>
      <w:r>
        <w:rPr>
          <w:rFonts w:cs="Century" w:ascii="Century" w:hAnsi="Century"/>
        </w:rPr>
        <w:t>22:32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לערך הפעיל את המטען מרחוק באמצעות משדר אלחוטי תואם שנשא באמתחתו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כתוצאה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הפיצוץ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רסיסי מתכת רבים התפזרו וגרמו לנזק ברדיוס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אקדים ואספר כי בן דוד הורשע באישום זה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אישום זה מיוחס לשני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נטען כי הררי </w:t>
      </w:r>
      <w:r>
        <w:rPr>
          <w:rFonts w:ascii="Century" w:hAnsi="Century" w:cs="Century"/>
          <w:rtl w:val="true"/>
        </w:rPr>
        <w:t>הקליט מספר שירים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שהושמעו מעת לעת בתחנות רדיו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וביניהן בתחנת הרדיו הארצית </w:t>
      </w:r>
      <w:r>
        <w:rPr>
          <w:rFonts w:cs="Century" w:ascii="Century" w:hAnsi="Century"/>
        </w:rPr>
        <w:t>91FM</w:t>
      </w:r>
      <w:r>
        <w:rPr>
          <w:rFonts w:cs="Century" w:ascii="Century" w:hAnsi="Century"/>
          <w:rtl w:val="true"/>
        </w:rPr>
        <w:t xml:space="preserve"> "</w:t>
      </w:r>
      <w:r>
        <w:rPr>
          <w:rFonts w:ascii="Century" w:hAnsi="Century" w:cs="Century"/>
          <w:rtl w:val="true"/>
        </w:rPr>
        <w:t>רדיו לב המדינה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אשר בניהולו של מר אבי בן בסט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ascii="Century" w:hAnsi="Century" w:cs="Century"/>
          <w:rtl w:val="true"/>
        </w:rPr>
        <w:t xml:space="preserve"> ובהתאמה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תחנת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הרדיו</w:t>
      </w:r>
      <w:r>
        <w:rPr>
          <w:rFonts w:ascii="Century" w:hAnsi="Century" w:cs="Century"/>
          <w:sz w:val="24"/>
          <w:sz w:val="24"/>
          <w:szCs w:val="24"/>
          <w:rtl w:val="true"/>
        </w:rPr>
        <w:t xml:space="preserve"> ו</w:t>
      </w:r>
      <w:r>
        <w:rPr>
          <w:rFonts w:cs="Century" w:ascii="Century" w:hAnsi="Century"/>
          <w:sz w:val="24"/>
          <w:szCs w:val="24"/>
          <w:rtl w:val="true"/>
        </w:rPr>
        <w:t>-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מנהל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תחנת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הרדיו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הזמרת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מרגלית צנעני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ascii="Century" w:hAnsi="Century" w:cs="Century"/>
          <w:rtl w:val="true"/>
        </w:rPr>
        <w:t xml:space="preserve"> גם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הועסקה </w:t>
      </w:r>
      <w:r>
        <w:rPr>
          <w:rFonts w:ascii="Century" w:hAnsi="Century" w:cs="Century"/>
          <w:rtl w:val="true"/>
        </w:rPr>
        <w:t>כשדרנית בתחנת הרדיו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ה</w:t>
      </w:r>
      <w:r>
        <w:rPr>
          <w:rFonts w:ascii="Century" w:hAnsi="Century" w:cs="Century"/>
          <w:rtl w:val="true"/>
        </w:rPr>
        <w:t xml:space="preserve">תכנית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יומית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הזוכה לתפוצה וחשיפה ארצית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</w:t>
      </w:r>
      <w:r>
        <w:rPr>
          <w:rFonts w:ascii="Century" w:hAnsi="Century" w:cs="Century"/>
          <w:rtl w:val="true"/>
        </w:rPr>
        <w:t xml:space="preserve">הגה המתלוננת </w:t>
      </w:r>
      <w:r>
        <w:rPr>
          <w:rFonts w:ascii="Century" w:hAnsi="Century" w:cs="Century"/>
          <w:rtl w:val="true"/>
        </w:rPr>
        <w:t>להשמיע שירים ממגוון ז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אנרים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וביניהם הז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אנר הים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תיכוני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המערערים קשרו </w:t>
      </w:r>
      <w:r>
        <w:rPr>
          <w:rFonts w:ascii="Century" w:hAnsi="Century" w:cs="Century"/>
          <w:rtl w:val="true"/>
        </w:rPr>
        <w:t>קשר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לפיו </w:t>
      </w:r>
      <w:r>
        <w:rPr>
          <w:rFonts w:ascii="Century" w:hAnsi="Century" w:cs="Century"/>
          <w:rtl w:val="true"/>
        </w:rPr>
        <w:t>בן דוד י</w:t>
      </w:r>
      <w:r>
        <w:rPr>
          <w:rFonts w:ascii="Century" w:hAnsi="Century" w:cs="Century"/>
          <w:rtl w:val="true"/>
        </w:rPr>
        <w:t>פעל להכנה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הרכבה והפעלת מטען חבלה נגד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</w:t>
      </w:r>
      <w:r>
        <w:rPr>
          <w:rFonts w:ascii="Century" w:hAnsi="Century" w:cs="Century"/>
          <w:rtl w:val="true"/>
        </w:rPr>
        <w:t xml:space="preserve">זו </w:t>
      </w:r>
      <w:r>
        <w:rPr>
          <w:rFonts w:ascii="Century" w:hAnsi="Century" w:cs="Century"/>
          <w:rtl w:val="true"/>
        </w:rPr>
        <w:t xml:space="preserve">מיאנה להשמיע את הסינגלים של </w:t>
      </w:r>
      <w:r>
        <w:rPr>
          <w:rFonts w:ascii="Century" w:hAnsi="Century" w:cs="Century"/>
          <w:rtl w:val="true"/>
        </w:rPr>
        <w:t>הררי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מנת לאיים עליה ו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>או על מנהל תחנת הרדיו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להניעם להשמיע את הסינגלים בתכנית</w:t>
      </w:r>
      <w:r>
        <w:rPr>
          <w:rFonts w:ascii="Century" w:hAnsi="Century" w:cs="Century"/>
          <w:rtl w:val="true"/>
        </w:rPr>
        <w:t xml:space="preserve"> היומית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הקשר ולשם קידומו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ותחת הנחייתו של </w:t>
      </w:r>
      <w:r>
        <w:rPr>
          <w:rFonts w:ascii="Century" w:hAnsi="Century" w:cs="Century"/>
          <w:rtl w:val="true"/>
        </w:rPr>
        <w:t>הררי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פעלו השניים </w:t>
      </w:r>
      <w:r>
        <w:rPr>
          <w:rFonts w:ascii="Century" w:hAnsi="Century" w:cs="Century"/>
          <w:rtl w:val="true"/>
        </w:rPr>
        <w:t>ללמידה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רכישה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הזמנה והרכבה של כלל החומרים הדרושים לשם הרכבת מטען חבלה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בן דוד הרכיב מטען צינור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בכוחו להמית אדם בעת התפוצצותו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10.1.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על דעת </w:t>
      </w:r>
      <w:r>
        <w:rPr>
          <w:rFonts w:ascii="Century" w:hAnsi="Century" w:cs="Century"/>
          <w:rtl w:val="true"/>
        </w:rPr>
        <w:t xml:space="preserve">הררי </w:t>
      </w:r>
      <w:r>
        <w:rPr>
          <w:rFonts w:ascii="Century" w:hAnsi="Century" w:cs="Century"/>
          <w:rtl w:val="true"/>
        </w:rPr>
        <w:t>ובהנחייתו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הגיע </w:t>
      </w:r>
      <w:r>
        <w:rPr>
          <w:rFonts w:ascii="Century" w:hAnsi="Century" w:cs="Century"/>
          <w:rtl w:val="true"/>
        </w:rPr>
        <w:t>לחניון שבו חנה אותה העת רכב</w:t>
      </w:r>
      <w:r>
        <w:rPr>
          <w:rFonts w:ascii="Century" w:hAnsi="Century" w:cs="Century"/>
          <w:rtl w:val="true"/>
        </w:rPr>
        <w:t xml:space="preserve"> ה</w:t>
      </w:r>
      <w:r>
        <w:rPr>
          <w:rFonts w:ascii="Century" w:hAnsi="Century" w:cs="Century"/>
          <w:rtl w:val="true"/>
        </w:rPr>
        <w:t>מתלוננת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 שהתה אותה שעה במסעדה סמוכה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את המטען הניח בן דוד </w:t>
      </w:r>
      <w:r>
        <w:rPr>
          <w:rFonts w:ascii="Century" w:hAnsi="Century" w:cs="Century"/>
          <w:rtl w:val="true"/>
        </w:rPr>
        <w:t>במרזב שמשת הרכב הקדמית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ברווח שבין השמשה הקדמית למכסה המנוע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שהתרחק מעט מן 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הפעיל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מרחוק באמצעות המשדר האלחוטי התואם אשר נשא </w:t>
      </w:r>
      <w:r>
        <w:rPr>
          <w:rFonts w:ascii="Century" w:hAnsi="Century" w:cs="Century"/>
          <w:rtl w:val="true"/>
        </w:rPr>
        <w:t>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כתוצאה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 xml:space="preserve">הפיצוץ </w:t>
      </w:r>
      <w:r>
        <w:rPr>
          <w:rFonts w:ascii="Century" w:hAnsi="Century" w:cs="Century"/>
          <w:rtl w:val="true"/>
        </w:rPr>
        <w:t>וה</w:t>
      </w:r>
      <w:r>
        <w:rPr>
          <w:rFonts w:ascii="Century" w:hAnsi="Century" w:cs="Century"/>
          <w:rtl w:val="true"/>
        </w:rPr>
        <w:t xml:space="preserve">רסיסים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התפזרו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נגרמו </w:t>
      </w:r>
      <w:r>
        <w:rPr>
          <w:rFonts w:ascii="Century" w:hAnsi="Century" w:cs="Century"/>
          <w:rtl w:val="true"/>
        </w:rPr>
        <w:t>עיוות במכסה המנוע של הרכב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שברים וסדקים בשמשה הקדמית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שברים בפלסטיק ונזקים נוספים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z w:val="18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למתואר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דעת </w:t>
      </w:r>
      <w:r>
        <w:rPr>
          <w:rFonts w:ascii="Century" w:hAnsi="Century" w:cs="Century"/>
          <w:rtl w:val="true"/>
        </w:rPr>
        <w:t xml:space="preserve">הררי </w:t>
      </w:r>
      <w:r>
        <w:rPr>
          <w:rFonts w:ascii="Century" w:hAnsi="Century" w:cs="Century"/>
          <w:rtl w:val="true"/>
        </w:rPr>
        <w:t>ובהנחייתו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שיגר </w:t>
      </w:r>
      <w:r>
        <w:rPr>
          <w:rFonts w:ascii="Century" w:hAnsi="Century" w:cs="Century"/>
          <w:rtl w:val="true"/>
        </w:rPr>
        <w:t>בן דוד את ה</w:t>
      </w:r>
      <w:r>
        <w:rPr>
          <w:rFonts w:ascii="Century" w:hAnsi="Century" w:cs="Century"/>
          <w:rtl w:val="true"/>
        </w:rPr>
        <w:t xml:space="preserve">מסרון </w:t>
      </w:r>
      <w:r>
        <w:rPr>
          <w:rFonts w:ascii="Century" w:hAnsi="Century" w:cs="Century"/>
          <w:rtl w:val="true"/>
        </w:rPr>
        <w:t xml:space="preserve">הבא </w:t>
      </w:r>
      <w:r>
        <w:rPr>
          <w:rFonts w:ascii="Century" w:hAnsi="Century" w:cs="Century"/>
          <w:rtl w:val="true"/>
        </w:rPr>
        <w:t>למספר הטלפון של מנהל תחנת הרדיו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z w:val="18"/>
          <w:szCs w:val="24"/>
          <w:rtl w:val="true"/>
        </w:rPr>
        <w:t>"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אבי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ערב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טוב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שתדע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שאנחנו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אוהבים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מרגלית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תמשיך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לרדיו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העובדים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אוכל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לעורבים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!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סדרתי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!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אתם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תעשו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אייפה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ואייפה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זמרים</w:t>
      </w:r>
      <w:r>
        <w:rPr>
          <w:rFonts w:cs="Miriam" w:ascii="Century" w:hAnsi="Century"/>
          <w:b/>
          <w:sz w:val="18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כשתי דקות לאחר המתואר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שלח בן דוד גם את ה</w:t>
      </w:r>
      <w:r>
        <w:rPr>
          <w:rFonts w:ascii="Century" w:hAnsi="Century" w:cs="Century"/>
          <w:rtl w:val="true"/>
        </w:rPr>
        <w:t xml:space="preserve">מסרון </w:t>
      </w:r>
      <w:r>
        <w:rPr>
          <w:rFonts w:ascii="Century" w:hAnsi="Century" w:cs="Century"/>
          <w:rtl w:val="true"/>
        </w:rPr>
        <w:t xml:space="preserve">הבא </w:t>
      </w:r>
      <w:r>
        <w:rPr>
          <w:rFonts w:ascii="Century" w:hAnsi="Century" w:cs="Century"/>
          <w:rtl w:val="true"/>
        </w:rPr>
        <w:t>למספר הטלפון של המתלוננת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  <w:sz w:val="18"/>
          <w:szCs w:val="24"/>
          <w:rtl w:val="true"/>
        </w:rPr>
        <w:t>"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אירופה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!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פרומו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תגיעי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לרדיו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והבן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שלך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מתים</w:t>
      </w:r>
      <w:r>
        <w:rPr>
          <w:rFonts w:cs="Miriam" w:ascii="Century" w:hAnsi="Century"/>
          <w:b/>
          <w:sz w:val="18"/>
          <w:szCs w:val="24"/>
          <w:rtl w:val="true"/>
        </w:rPr>
        <w:t>!</w:t>
      </w:r>
      <w:r>
        <w:rPr>
          <w:rFonts w:cs="Miriam" w:ascii="Century" w:hAnsi="Century"/>
          <w:b/>
          <w:sz w:val="18"/>
          <w:szCs w:val="24"/>
          <w:rtl w:val="true"/>
        </w:rPr>
        <w:t>"</w:t>
      </w:r>
      <w:r>
        <w:rPr>
          <w:rFonts w:cs="Century" w:ascii="Century" w:hAnsi="Century"/>
          <w:sz w:val="18"/>
          <w:szCs w:val="24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18"/>
          <w:szCs w:val="24"/>
        </w:rPr>
      </w:pPr>
      <w:r>
        <w:rPr>
          <w:rFonts w:cs="Century" w:ascii="Century" w:hAnsi="Century"/>
          <w:sz w:val="18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אקדים ואספר כי בן דוד הורשע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הררי זוכה מחמת הספק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בשלושת האישומים הראשונים הורשע אפוא בן דוד בעבירות הבאות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b/>
          <w:bCs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קשירת קשר לביצוע פשע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עבירות בנשק ובחומרי נפץ</w:t>
      </w:r>
      <w:r>
        <w:rPr>
          <w:rFonts w:cs="Century" w:ascii="Century" w:hAnsi="Century"/>
          <w:rtl w:val="true"/>
        </w:rPr>
        <w:t xml:space="preserve">] – </w:t>
      </w:r>
      <w:r>
        <w:rPr>
          <w:rFonts w:ascii="Century" w:hAnsi="Century" w:cs="Century"/>
          <w:rtl w:val="true"/>
        </w:rPr>
        <w:t xml:space="preserve">לפי </w:t>
      </w:r>
      <w:hyperlink r:id="rId2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499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העונשין</w:t>
      </w:r>
      <w:r>
        <w:rPr>
          <w:rFonts w:ascii="Century" w:hAnsi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  <w:b/>
          <w:bCs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 xml:space="preserve">ייצור נשק – לפי </w:t>
      </w:r>
      <w:hyperlink r:id="rId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יחד עם </w:t>
      </w:r>
      <w:hyperlink r:id="rId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  <w:b/>
          <w:bCs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 xml:space="preserve">נשיאת נשק – לפי </w:t>
      </w:r>
      <w:hyperlink r:id="rId2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רישא יחד עם </w:t>
      </w:r>
      <w:hyperlink r:id="rId2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start="368" w:end="0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  <w:b/>
          <w:bCs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 xml:space="preserve">החזקת נשק – לפי </w:t>
      </w:r>
      <w:hyperlink r:id="rId2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רישא יחד עם </w:t>
      </w:r>
      <w:hyperlink r:id="rId2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start="368" w:end="0"/>
        <w:jc w:val="both"/>
        <w:rPr>
          <w:rFonts w:ascii="Century" w:hAnsi="Century" w:cs="Century"/>
        </w:rPr>
      </w:pPr>
      <w:r>
        <w:rPr>
          <w:rFonts w:cs="Century" w:ascii="Century" w:hAnsi="Century"/>
          <w:b/>
          <w:bCs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>נ</w:t>
      </w:r>
      <w:r>
        <w:rPr>
          <w:rFonts w:ascii="Century" w:hAnsi="Century" w:cs="Century"/>
          <w:rtl w:val="true"/>
        </w:rPr>
        <w:t xml:space="preserve">יסיון להרוס נכס בחומר נפיץ – לפי </w:t>
      </w:r>
      <w:hyperlink r:id="rId3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456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start="360" w:end="0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  <w:b/>
          <w:bCs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b/>
          <w:bCs/>
          <w:rtl w:val="true"/>
        </w:rPr>
        <w:t xml:space="preserve"> </w:t>
      </w:r>
      <w:r>
        <w:rPr>
          <w:rFonts w:ascii="Century" w:hAnsi="Century" w:cs="Century"/>
          <w:rtl w:val="true"/>
        </w:rPr>
        <w:t>סחיטה באיומים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– לפי </w:t>
      </w:r>
      <w:hyperlink r:id="rId3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428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האישום השלישי בלבד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b/>
          <w:bCs/>
          <w:rtl w:val="true"/>
        </w:rPr>
        <w:t xml:space="preserve"> </w:t>
      </w:r>
    </w:p>
    <w:p>
      <w:pPr>
        <w:pStyle w:val="Ruller42"/>
        <w:ind w:start="360" w:end="0"/>
        <w:jc w:val="both"/>
        <w:rPr>
          <w:rFonts w:ascii="Century" w:hAnsi="Century" w:cs="Century"/>
        </w:rPr>
      </w:pPr>
      <w:r>
        <w:rPr>
          <w:rFonts w:cs="Century" w:ascii="Century" w:hAnsi="Century"/>
          <w:b/>
          <w:bCs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b/>
          <w:bCs/>
          <w:rtl w:val="true"/>
        </w:rPr>
        <w:t xml:space="preserve"> </w:t>
      </w:r>
      <w:r>
        <w:rPr>
          <w:rFonts w:ascii="Century" w:hAnsi="Century" w:cs="Century"/>
          <w:rtl w:val="true"/>
        </w:rPr>
        <w:t>איום בכתב לרצוח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– לפי </w:t>
      </w:r>
      <w:hyperlink r:id="rId3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cs="Century" w:ascii="Century" w:hAnsi="Century"/>
          </w:rPr>
          <w:t>307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האישום השלישי בלבד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הרביעי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האישום </w:t>
      </w:r>
      <w:r>
        <w:rPr>
          <w:rFonts w:ascii="Century" w:hAnsi="Century" w:cs="Century"/>
          <w:rtl w:val="true"/>
        </w:rPr>
        <w:t>מיוחס לשני ה</w:t>
      </w:r>
      <w:r>
        <w:rPr>
          <w:rFonts w:ascii="Century" w:hAnsi="Century" w:cs="Century"/>
          <w:rtl w:val="true"/>
        </w:rPr>
        <w:t>מערערים ואקדים ואומר כי זה האישום המרכזי נושא הערעורים שלפנינו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בתקופה הרלוונטית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הועסק מר קובי מוסא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מוסא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כשחקן כדורגל במועדון הכדורגל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הפועל ניר רמת השרון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עובר ליום </w:t>
      </w:r>
      <w:r>
        <w:rPr>
          <w:rFonts w:cs="Century" w:ascii="Century" w:hAnsi="Century"/>
        </w:rPr>
        <w:t>1.2.2017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קשרו ה</w:t>
      </w:r>
      <w:r>
        <w:rPr>
          <w:rFonts w:ascii="Century" w:hAnsi="Century" w:cs="Century"/>
          <w:rtl w:val="true"/>
        </w:rPr>
        <w:t xml:space="preserve">מערערים </w:t>
      </w:r>
      <w:r>
        <w:rPr>
          <w:rFonts w:ascii="Century" w:hAnsi="Century" w:cs="Century"/>
          <w:rtl w:val="true"/>
        </w:rPr>
        <w:t>קשר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בינם לבין עצמם ובינם לבין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זהותם איננה ידועה למאשימה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לפיו יפעלו בצוותא חדא לגרום למותו של </w:t>
      </w:r>
      <w:r>
        <w:rPr>
          <w:rFonts w:ascii="Century" w:hAnsi="Century" w:cs="Century"/>
          <w:rtl w:val="true"/>
        </w:rPr>
        <w:t>מוסא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שאיננו ידוע למאשימה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פי מתווה הקשר </w:t>
      </w:r>
      <w:r>
        <w:rPr>
          <w:rFonts w:ascii="Century" w:hAnsi="Century" w:cs="Century"/>
          <w:rtl w:val="true"/>
        </w:rPr>
        <w:t xml:space="preserve">ועל דעתו של הררי </w:t>
      </w:r>
      <w:r>
        <w:rPr>
          <w:rFonts w:ascii="Century" w:hAnsi="Century" w:cs="Century"/>
          <w:rtl w:val="true"/>
        </w:rPr>
        <w:t>ובהנחייתו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פעל </w:t>
      </w:r>
      <w:r>
        <w:rPr>
          <w:rFonts w:ascii="Century" w:hAnsi="Century" w:cs="Century"/>
          <w:rtl w:val="true"/>
        </w:rPr>
        <w:t xml:space="preserve">בן דוד </w:t>
      </w:r>
      <w:r>
        <w:rPr>
          <w:rFonts w:ascii="Century" w:hAnsi="Century" w:cs="Century"/>
          <w:rtl w:val="true"/>
        </w:rPr>
        <w:t>לרכישה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הצמדה והפעלה של מטען חבלה </w:t>
      </w:r>
      <w:r>
        <w:rPr>
          <w:rFonts w:ascii="Century" w:hAnsi="Century" w:cs="Century"/>
          <w:rtl w:val="true"/>
        </w:rPr>
        <w:t xml:space="preserve">אשר </w:t>
      </w:r>
      <w:r>
        <w:rPr>
          <w:rFonts w:ascii="Century" w:hAnsi="Century" w:cs="Century"/>
          <w:rtl w:val="true"/>
        </w:rPr>
        <w:t>כלל חומר נפץ בעל תכונות מרסקות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משך למעלה משבועיים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במהלך התקופה שבין </w:t>
      </w:r>
      <w:r>
        <w:rPr>
          <w:rFonts w:cs="Century" w:ascii="Century" w:hAnsi="Century"/>
        </w:rPr>
        <w:t>1.2.2017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ועד ליום </w:t>
      </w:r>
      <w:r>
        <w:rPr>
          <w:rFonts w:cs="Century" w:ascii="Century" w:hAnsi="Century"/>
        </w:rPr>
        <w:t>17.2.2017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ביצע </w:t>
      </w:r>
      <w:r>
        <w:rPr>
          <w:rFonts w:ascii="Century" w:hAnsi="Century" w:cs="Century"/>
          <w:rtl w:val="true"/>
        </w:rPr>
        <w:t>בן דוד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דעת</w:t>
      </w:r>
      <w:r>
        <w:rPr>
          <w:rFonts w:ascii="Century" w:hAnsi="Century" w:cs="Century"/>
          <w:rtl w:val="true"/>
        </w:rPr>
        <w:t xml:space="preserve">ו של הררי </w:t>
      </w:r>
      <w:r>
        <w:rPr>
          <w:rFonts w:ascii="Century" w:hAnsi="Century" w:cs="Century"/>
          <w:rtl w:val="true"/>
        </w:rPr>
        <w:t>ובהתאם להנחיותיו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תצפיות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סיורים מקדימים ומעקבים אחרי </w:t>
      </w:r>
      <w:r>
        <w:rPr>
          <w:rFonts w:ascii="Century" w:hAnsi="Century" w:cs="Century"/>
          <w:rtl w:val="true"/>
        </w:rPr>
        <w:t>מוסא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במטרה לגרום למותו על ידי הנחת המטען והפעלתו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17.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</w:rPr>
        <w:t>.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הצטייד </w:t>
      </w:r>
      <w:r>
        <w:rPr>
          <w:rFonts w:ascii="Century" w:hAnsi="Century" w:cs="Century"/>
          <w:rtl w:val="true"/>
        </w:rPr>
        <w:t xml:space="preserve">בן דוד </w:t>
      </w:r>
      <w:r>
        <w:rPr>
          <w:rFonts w:ascii="Century" w:hAnsi="Century" w:cs="Century"/>
          <w:rtl w:val="true"/>
        </w:rPr>
        <w:t xml:space="preserve">במטען החבלה ונסע ברכב </w:t>
      </w:r>
      <w:r>
        <w:rPr>
          <w:rFonts w:ascii="Century" w:hAnsi="Century" w:cs="Century"/>
          <w:rtl w:val="true"/>
        </w:rPr>
        <w:t xml:space="preserve">מסוג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מיקרה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שהרכיב על</w:t>
      </w:r>
      <w:r>
        <w:rPr>
          <w:rFonts w:ascii="Century" w:hAnsi="Century" w:cs="Century"/>
          <w:rtl w:val="true"/>
        </w:rPr>
        <w:t xml:space="preserve">יו </w:t>
      </w:r>
      <w:r>
        <w:rPr>
          <w:rFonts w:ascii="Century" w:hAnsi="Century" w:cs="Century"/>
          <w:rtl w:val="true"/>
        </w:rPr>
        <w:t>לוחיות זיהוי מזויפות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בסביבות ה</w:t>
      </w:r>
      <w:r>
        <w:rPr>
          <w:rFonts w:ascii="Century" w:hAnsi="Century" w:cs="Century"/>
          <w:rtl w:val="true"/>
        </w:rPr>
        <w:t xml:space="preserve">שעה </w:t>
      </w:r>
      <w:r>
        <w:rPr>
          <w:rFonts w:cs="Century" w:ascii="Century" w:hAnsi="Century"/>
        </w:rPr>
        <w:t>09:00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 בסמוך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הגיע לאצטדיון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גרונדמן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המקום בו משחקת ומתאמנת קבוצת הפועל ניר רמת השרון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כשהוא מחפש </w:t>
      </w:r>
      <w:r>
        <w:rPr>
          <w:rFonts w:ascii="Century" w:hAnsi="Century" w:cs="Century"/>
          <w:rtl w:val="true"/>
        </w:rPr>
        <w:t xml:space="preserve">אחר </w:t>
      </w:r>
      <w:r>
        <w:rPr>
          <w:rFonts w:ascii="Century" w:hAnsi="Century" w:cs="Century"/>
          <w:rtl w:val="true"/>
        </w:rPr>
        <w:t>מוסא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משאיתר</w:t>
      </w:r>
      <w:r>
        <w:rPr>
          <w:rFonts w:ascii="Century" w:hAnsi="Century" w:cs="Century"/>
          <w:rtl w:val="true"/>
        </w:rPr>
        <w:t xml:space="preserve">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נעצר </w:t>
      </w:r>
      <w:r>
        <w:rPr>
          <w:rFonts w:ascii="Century" w:hAnsi="Century" w:cs="Century"/>
          <w:rtl w:val="true"/>
        </w:rPr>
        <w:t xml:space="preserve">בן דוד </w:t>
      </w:r>
      <w:r>
        <w:rPr>
          <w:rFonts w:ascii="Century" w:hAnsi="Century" w:cs="Century"/>
          <w:rtl w:val="true"/>
        </w:rPr>
        <w:t>בסמוך לרכב</w:t>
      </w:r>
      <w:r>
        <w:rPr>
          <w:rFonts w:ascii="Century" w:hAnsi="Century" w:cs="Century"/>
          <w:rtl w:val="true"/>
        </w:rPr>
        <w:t>ו של מוסא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יצא </w:t>
      </w:r>
      <w:r>
        <w:rPr>
          <w:rFonts w:ascii="Century" w:hAnsi="Century" w:cs="Century"/>
          <w:rtl w:val="true"/>
        </w:rPr>
        <w:t>מרכב המיקרה כשבאמתחתו מטען החבלה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ניגש אל רכבו של </w:t>
      </w:r>
      <w:r>
        <w:rPr>
          <w:rFonts w:ascii="Century" w:hAnsi="Century" w:cs="Century"/>
          <w:rtl w:val="true"/>
        </w:rPr>
        <w:t>מוסא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התכופף אל מתחת למיקום מושב הנהג והניח את מטען החבלה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מתחת לגחון הרכב כשהוא מוכן להפעלה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זאת בכוונה לגרום למותו של </w:t>
      </w:r>
      <w:r>
        <w:rPr>
          <w:rFonts w:ascii="Century" w:hAnsi="Century" w:cs="Century"/>
          <w:rtl w:val="true"/>
        </w:rPr>
        <w:t>מוסא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משהשלים את הפעולות המתוארות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 </w:t>
      </w:r>
      <w:r>
        <w:rPr>
          <w:rFonts w:ascii="Century" w:hAnsi="Century" w:cs="Century"/>
          <w:rtl w:val="true"/>
        </w:rPr>
        <w:t xml:space="preserve">בן דוד </w:t>
      </w:r>
      <w:r>
        <w:rPr>
          <w:rFonts w:ascii="Century" w:hAnsi="Century" w:cs="Century"/>
          <w:rtl w:val="true"/>
        </w:rPr>
        <w:t>בצעידה לכיוון רכב המיקרה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בו החזיק אותה עת את המשדר האלחוטי התואם לצורך הפעלת מטען החבלה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ובטרם </w:t>
      </w:r>
      <w:r>
        <w:rPr>
          <w:rFonts w:ascii="Century" w:hAnsi="Century" w:cs="Century"/>
          <w:rtl w:val="true"/>
        </w:rPr>
        <w:t xml:space="preserve">היה </w:t>
      </w:r>
      <w:r>
        <w:rPr>
          <w:rFonts w:ascii="Century" w:hAnsi="Century" w:cs="Century"/>
          <w:rtl w:val="true"/>
        </w:rPr>
        <w:t>סיפק בידו ל</w:t>
      </w:r>
      <w:r>
        <w:rPr>
          <w:rFonts w:ascii="Century" w:hAnsi="Century" w:cs="Century"/>
          <w:rtl w:val="true"/>
        </w:rPr>
        <w:t>היכנס לרכבו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נעצר בידי כוח משטרה אשר היה נוכח במקום</w:t>
      </w:r>
      <w:r>
        <w:rPr>
          <w:rFonts w:ascii="Century" w:hAnsi="Century" w:cs="Century"/>
          <w:rtl w:val="true"/>
        </w:rPr>
        <w:t xml:space="preserve"> בעקבות פעולות עיקוב והאזנה לשני המערערים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בגין מעשים אלה הורשעו שני המערערים בכל העבירות בהן הורשע בן דוד באישומים </w:t>
      </w:r>
      <w:r>
        <w:rPr>
          <w:rFonts w:cs="Century" w:ascii="Century" w:hAnsi="Century"/>
        </w:rPr>
        <w:t>2-1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ובנוסף הורשעו בעבירה של </w:t>
      </w:r>
      <w:r>
        <w:rPr>
          <w:rFonts w:ascii="Century" w:hAnsi="Century" w:cs="Century"/>
          <w:rtl w:val="true"/>
        </w:rPr>
        <w:t xml:space="preserve">ניסיון רצח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בצוותא חדא</w:t>
      </w:r>
      <w:r>
        <w:rPr>
          <w:rFonts w:cs="Century" w:ascii="Century" w:hAnsi="Century"/>
          <w:rtl w:val="true"/>
        </w:rPr>
        <w:t xml:space="preserve">] – </w:t>
      </w:r>
      <w:r>
        <w:rPr>
          <w:rFonts w:ascii="Century" w:hAnsi="Century" w:cs="Century"/>
          <w:rtl w:val="true"/>
        </w:rPr>
        <w:t xml:space="preserve">לפי </w:t>
      </w:r>
      <w:hyperlink r:id="rId3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יחד עם </w:t>
      </w:r>
      <w:hyperlink r:id="rId3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החמישי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אישום זה </w:t>
      </w:r>
      <w:r>
        <w:rPr>
          <w:rFonts w:ascii="Century" w:hAnsi="Century" w:cs="Century"/>
          <w:rtl w:val="true"/>
        </w:rPr>
        <w:t>מיוחס ל</w:t>
      </w:r>
      <w:r>
        <w:rPr>
          <w:rFonts w:ascii="Century" w:hAnsi="Century" w:cs="Century"/>
          <w:rtl w:val="true"/>
        </w:rPr>
        <w:t>בן דוד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פי הנטען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בן דוד </w:t>
      </w:r>
      <w:r>
        <w:rPr>
          <w:rFonts w:ascii="Century" w:hAnsi="Century" w:cs="Century"/>
          <w:rtl w:val="true"/>
        </w:rPr>
        <w:t>נהנה מגישה חופשית לדירת מסתור השוכנת בבניין שבו התגורר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ואשר הייתה </w:t>
      </w:r>
      <w:r>
        <w:rPr>
          <w:rFonts w:ascii="Century" w:hAnsi="Century" w:cs="Century"/>
          <w:rtl w:val="true"/>
        </w:rPr>
        <w:t>שייכת ל</w:t>
      </w:r>
      <w:r>
        <w:rPr>
          <w:rFonts w:ascii="Century" w:hAnsi="Century" w:cs="Century"/>
          <w:rtl w:val="true"/>
        </w:rPr>
        <w:t xml:space="preserve">שכנתו </w:t>
      </w:r>
      <w:r>
        <w:rPr>
          <w:rFonts w:ascii="Century" w:hAnsi="Century" w:cs="Century"/>
          <w:rtl w:val="true"/>
        </w:rPr>
        <w:t>אשר דרה ב</w:t>
      </w:r>
      <w:r>
        <w:rPr>
          <w:rFonts w:ascii="Century" w:hAnsi="Century" w:cs="Century"/>
          <w:rtl w:val="true"/>
        </w:rPr>
        <w:t>אותה עת בבי</w:t>
      </w:r>
      <w:r>
        <w:rPr>
          <w:rFonts w:ascii="Century" w:hAnsi="Century" w:cs="Century"/>
          <w:rtl w:val="true"/>
        </w:rPr>
        <w:t>ת אבות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Century"/>
          <w:rtl w:val="true"/>
        </w:rPr>
        <w:t xml:space="preserve">הותירה את הדירה האמורה כשהיא ריקה ממגורי אדם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דירת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האמל</w:t>
      </w:r>
      <w:r>
        <w:rPr>
          <w:rFonts w:cs="Miriam" w:ascii="Century" w:hAnsi="Century"/>
          <w:b/>
          <w:sz w:val="18"/>
          <w:szCs w:val="24"/>
          <w:rtl w:val="true"/>
        </w:rPr>
        <w:t>"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ח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במסגרת גישתו החופשית לדירת האמל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החזיק </w:t>
      </w:r>
      <w:r>
        <w:rPr>
          <w:rFonts w:ascii="Century" w:hAnsi="Century" w:cs="Century"/>
          <w:rtl w:val="true"/>
        </w:rPr>
        <w:t xml:space="preserve">בן דוד </w:t>
      </w:r>
      <w:r>
        <w:rPr>
          <w:rFonts w:ascii="Century" w:hAnsi="Century" w:cs="Century"/>
          <w:rtl w:val="true"/>
        </w:rPr>
        <w:t>במקומות מסתור שונים בדירה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אמצעי נשק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חומרי חבלה וחומרים נוספים אשר</w:t>
      </w:r>
      <w:r>
        <w:rPr>
          <w:rFonts w:ascii="Century" w:hAnsi="Century" w:cs="Century"/>
          <w:rtl w:val="true"/>
        </w:rPr>
        <w:t xml:space="preserve"> פורטו בהרחבה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ואשר </w:t>
      </w:r>
      <w:r>
        <w:rPr>
          <w:rFonts w:ascii="Century" w:hAnsi="Century" w:cs="Century"/>
          <w:rtl w:val="true"/>
        </w:rPr>
        <w:t xml:space="preserve">שימשו אותו ואת </w:t>
      </w:r>
      <w:r>
        <w:rPr>
          <w:rFonts w:ascii="Century" w:hAnsi="Century" w:cs="Century"/>
          <w:rtl w:val="true"/>
        </w:rPr>
        <w:t xml:space="preserve">הררי </w:t>
      </w:r>
      <w:r>
        <w:rPr>
          <w:rFonts w:ascii="Century" w:hAnsi="Century" w:cs="Century"/>
          <w:rtl w:val="true"/>
        </w:rPr>
        <w:t>במסגרת הקשר הכללי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לשם מימושו ולצורך הכנה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הרכבה ובניית מטעני חבלה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לרבות </w:t>
      </w:r>
      <w:r>
        <w:rPr>
          <w:rFonts w:ascii="Century" w:hAnsi="Century" w:cs="Century"/>
          <w:rtl w:val="true"/>
        </w:rPr>
        <w:t>מטעני החבלה בהם נעשה שימוש במסגרת האירועים המתוארים בכתב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בדירת האמל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נמצאו גם אקדח ומספר כדורים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וסכום מזומן </w:t>
      </w:r>
      <w:r>
        <w:rPr>
          <w:rFonts w:ascii="Century" w:hAnsi="Century" w:cs="Century"/>
          <w:rtl w:val="true"/>
        </w:rPr>
        <w:t xml:space="preserve">בסך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אקדים ואספר כי בגין אישום זה הורשע בן דוד בעבירות של ייצור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נשיאה והחזקת נשק כאמור באישומים </w:t>
      </w:r>
      <w:r>
        <w:rPr>
          <w:rFonts w:cs="Century" w:ascii="Century" w:hAnsi="Century"/>
        </w:rPr>
        <w:t>3-1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בעבירות של </w:t>
      </w:r>
      <w:r>
        <w:rPr>
          <w:rFonts w:ascii="Century" w:hAnsi="Century" w:cs="Century"/>
          <w:rtl w:val="true"/>
        </w:rPr>
        <w:t xml:space="preserve">הכנת עבירה בחומרים מסוכנים – לפי </w:t>
      </w:r>
      <w:hyperlink r:id="rId3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497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ניסיון לייצר נשק – לפי </w:t>
      </w:r>
      <w:hyperlink r:id="rId3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יחד עם </w:t>
      </w:r>
      <w:hyperlink r:id="rId3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hyperlink r:id="rId38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ניסיון להרוס נכס בחומר נפיץ – לפי </w:t>
      </w:r>
      <w:hyperlink r:id="rId3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456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הדין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בן דוד שהורשע בכל חמשת האישומים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הושתו העונשים הבאים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לריצוי בפועל החל מיום מעצר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ascii="Century" w:hAnsi="Century" w:cs="Century"/>
          <w:rtl w:val="true"/>
        </w:rPr>
        <w:t xml:space="preserve"> על תנאי </w:t>
      </w:r>
      <w:r>
        <w:rPr>
          <w:rFonts w:ascii="Century" w:hAnsi="Century" w:cs="Century"/>
          <w:rtl w:val="true"/>
        </w:rPr>
        <w:t xml:space="preserve">אם יעבור 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ממאסר כל עבירה בה הורשע או כל עבירת אלימות מסוג פשע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ascii="Century" w:hAnsi="Century" w:cs="Century"/>
          <w:rtl w:val="true"/>
        </w:rPr>
        <w:t xml:space="preserve"> על תנאי אם </w:t>
      </w:r>
      <w:r>
        <w:rPr>
          <w:rFonts w:ascii="Century" w:hAnsi="Century" w:cs="Century"/>
          <w:rtl w:val="true"/>
        </w:rPr>
        <w:t xml:space="preserve">יעבור 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ממאסר כל עבירה בה הורשע או כל עבירת אלימות מסוג עוון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>קנס בסכום</w:t>
      </w:r>
      <w:r>
        <w:rPr>
          <w:rFonts w:ascii="Century" w:hAnsi="Century" w:cs="Century"/>
          <w:rtl w:val="true"/>
        </w:rPr>
        <w:t xml:space="preserve"> של </w:t>
      </w:r>
      <w:r>
        <w:rPr>
          <w:rFonts w:cs="Century" w:ascii="Century" w:hAnsi="Century"/>
        </w:rPr>
        <w:t>40,000</w:t>
      </w:r>
      <w:r>
        <w:rPr>
          <w:rFonts w:cs="Century" w:ascii="Century" w:hAnsi="Century"/>
          <w:rtl w:val="true"/>
        </w:rPr>
        <w:t xml:space="preserve"> ₪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ימי מאסר תמורתו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>פיצוי ל</w:t>
      </w:r>
      <w:r>
        <w:rPr>
          <w:rFonts w:ascii="Century" w:hAnsi="Century" w:cs="Century"/>
          <w:rtl w:val="true"/>
        </w:rPr>
        <w:t>מאיר שמיר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מרגלית צנעני וקובי מוסא בסכום של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₪ </w:t>
      </w:r>
      <w:r>
        <w:rPr>
          <w:rFonts w:ascii="Century" w:hAnsi="Century" w:cs="Century"/>
          <w:rtl w:val="true"/>
        </w:rPr>
        <w:t>לכל אחד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הררי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שהורשע באישום הרביעי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הושתו העונשים הבאים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לריצוי בפועל החל מיום מעצרו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2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 xml:space="preserve">הופעל </w:t>
      </w:r>
      <w:r>
        <w:rPr>
          <w:rFonts w:ascii="Century" w:hAnsi="Century" w:cs="Century"/>
          <w:rtl w:val="true"/>
        </w:rPr>
        <w:t xml:space="preserve">מאסר מותנה בן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באופן 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שעונש המאסר בפועל הועמד על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start="36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ascii="Century" w:hAnsi="Century" w:cs="Century"/>
          <w:rtl w:val="true"/>
        </w:rPr>
        <w:t xml:space="preserve"> על תנאי </w:t>
      </w:r>
      <w:r>
        <w:rPr>
          <w:rFonts w:ascii="Century" w:hAnsi="Century" w:cs="Century"/>
          <w:rtl w:val="true"/>
        </w:rPr>
        <w:t xml:space="preserve">אם יעבור 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שחרורו ממאסר כל עבירה בה הורשע או כל עבירת אלימות מסוג פשע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start="36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ascii="Century" w:hAnsi="Century" w:cs="Century"/>
          <w:rtl w:val="true"/>
        </w:rPr>
        <w:t xml:space="preserve"> על תנאי </w:t>
      </w:r>
      <w:r>
        <w:rPr>
          <w:rFonts w:ascii="Century" w:hAnsi="Century" w:cs="Century"/>
          <w:rtl w:val="true"/>
        </w:rPr>
        <w:t xml:space="preserve">אם יעבור תוך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שחרור כל עבירה בה הורשע או כל עבירת אלימות מסוג עוון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start="360" w:end="0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>קנס בסכום</w:t>
      </w:r>
      <w:r>
        <w:rPr>
          <w:rFonts w:ascii="Century" w:hAnsi="Century" w:cs="Century"/>
          <w:rtl w:val="true"/>
        </w:rPr>
        <w:t xml:space="preserve"> 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₪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ימי מאסר תמורתו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start="360" w:end="0"/>
        <w:jc w:val="both"/>
        <w:rPr/>
      </w:pPr>
      <w:r>
        <w:rPr>
          <w:rFonts w:cs="Century" w:ascii="Century" w:hAnsi="Century"/>
          <w:b/>
          <w:bCs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b/>
          <w:bCs/>
          <w:rtl w:val="true"/>
        </w:rPr>
        <w:t xml:space="preserve"> </w:t>
      </w:r>
      <w:r>
        <w:rPr>
          <w:rFonts w:ascii="Century" w:hAnsi="Century" w:cs="Century"/>
          <w:rtl w:val="true"/>
        </w:rPr>
        <w:t>פיצוי לק</w:t>
      </w:r>
      <w:r>
        <w:rPr>
          <w:rFonts w:ascii="Century" w:hAnsi="Century" w:cs="Century"/>
          <w:rtl w:val="true"/>
        </w:rPr>
        <w:t xml:space="preserve">ובי מוסא בסכום של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₪.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הערעורים שלפנינו מתמקדים אך ורק באישום הרביעי שבו הורשעו השניים בעבירות שונות שבמרכזן העבירה של ניסיון 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פטורים מלסקור את פסק דינו המפורט של בית משפט קמא בנוגע לאישומים האחרים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כפועל יוצא מהערעורים על הכרעת הדין באישום הרביעי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ולחילופין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הלינו המערערים על חומרת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שנראה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ערעורו של בן דוד מתמקד אך ורק בהרשעתו בעבירה של ניסיון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שערעורו של הררי משתרע לכל אורך חזית האישום הרביעי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נדון אפוא בנפרד בכל אחד מערעורים אלה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u w:val="single"/>
        </w:rPr>
        <w:t>1969/22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) 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  <w:u w:val="single"/>
        </w:rPr>
      </w:pPr>
      <w:r>
        <w:rPr>
          <w:rFonts w:cs="Century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 דוד העלה טיעון אחד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בבחינת מעט המחזיק את המרובה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לטענת בן דוד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להבחין בין הכנת המטען והטמנתו מתחת למכוניתו של מוסא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כל העבירות הקשורות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העבירה של ניסיון רצח בה הורשע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מה היום מיומיים</w:t>
      </w:r>
      <w:r>
        <w:rPr>
          <w:rFonts w:cs="Century" w:ascii="Century" w:hAnsi="Century"/>
          <w:rtl w:val="true"/>
        </w:rPr>
        <w:t xml:space="preserve">"? </w:t>
      </w:r>
      <w:r>
        <w:rPr>
          <w:rFonts w:ascii="Century" w:hAnsi="Century" w:cs="Century"/>
          <w:rtl w:val="true"/>
        </w:rPr>
        <w:t xml:space="preserve">כפי שבאישומים </w:t>
      </w:r>
      <w:r>
        <w:rPr>
          <w:rFonts w:cs="Century" w:ascii="Century" w:hAnsi="Century"/>
        </w:rPr>
        <w:t>3-1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 יוחסה לו עבירה של ניסיון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אין לייחס לו עבירה זו באישום הרביעי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שהנחת שלושת המטענים כמתואר בשלושת האישומים הראשונים נועדה לשם הפחדה ואיום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גם הנחת המטען באישום הרביעי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אם השוטרים היו עוצרים את בן דוד מיד לאחר הנחת המטען ברכבה של מרגלית צנעני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הסתם התביעה הייתה מייחסת לו ניסיון רצח גם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כך נעשה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ורק מאחר שהמטען כבר התפוצץ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אין כל סיבה בגינה יש להבחין בין האישום הרביעי לשלושת האישומים הראשונים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בשוני בין המטענים לא סגי כדי ללמד על כוונתו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לגבי כל אחד מהמטענים בשלושת האישומים הראשונים נכתב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בכוחו של מטען החבלה להזיק לאדם בעת התפוצצותו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ובאישום השלישי אף נכתב במפורש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בכוחו של מטען החבלה שהופעל בידי הנאשמים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בצוותא חדא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להמית אדם בעת התפוצצותו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נטען כי בעת הנחת המטען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מוסא אך נכנס לאצטדיון לאימון כדורגל שאמור היה להיארך לפחות שעה וחצי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שאין כל ראיה שבן דוד התכוון להפעיל את המטען כאשר מוסא יחזור לרכבו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אדרבא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אישומים </w:t>
      </w:r>
      <w:r>
        <w:rPr>
          <w:rFonts w:cs="Century" w:ascii="Century" w:hAnsi="Century"/>
        </w:rPr>
        <w:t>3-1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הם בגדר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מעשים דומים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שיש בהם כדי ללמד על העדר כוונה להמית את מוסא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בשורה התחתונה נטען כי ההרשעה מבוססת על השערה גרידא כי בן דוד התכוון לרצוח את מוסא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ובהיעדר הוכחה ליסוד נפשי של כוונה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מקום להרשיעו בעבירה של ניסיון 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דין הערעור להידחות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הטענה לפיה יש להסיק מאישומים </w:t>
      </w:r>
      <w:r>
        <w:rPr>
          <w:rFonts w:cs="Century" w:ascii="Century" w:hAnsi="Century"/>
        </w:rPr>
        <w:t>3-1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מעין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עדות שיטה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כי הנחת המטען באישום הרביעי נועדה אף היא לאיום והפחדה גרידא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בה כדי לסבר את הדעת במבט 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בחינה קרובה יותר של העובדות מלמדת לטעמי כי בדין הרשיע בית משפט קמא את בן דוד בעבירה של ניסיון רצח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ואעמוד להלן על העובדות והנימוקים שהביאו אותי למסקנה זו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בית משפט קמא קבע בקצרה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ascii="Century" w:hAnsi="Century" w:cs="Century"/>
          <w:rtl w:val="true"/>
        </w:rPr>
        <w:t>יח להכרעת הדין</w:t>
      </w:r>
      <w:r>
        <w:rPr>
          <w:rFonts w:cs="Century" w:ascii="Century" w:hAnsi="Century"/>
          <w:rtl w:val="true"/>
        </w:rPr>
        <w:t>):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נראה שאין להרחיב בבחינת העבירות אף שהתביעה עשתה כן בסיכומיה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בפנינו סוגיה היוצרת כל קושי לעבירת ניסיון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פי סעיף </w:t>
      </w:r>
      <w:r>
        <w:rPr>
          <w:rFonts w:cs="Century" w:ascii="Century" w:hAnsi="Century"/>
        </w:rPr>
        <w:t>305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המיוחסת לנאשמים באישום הרביעי נראה שלא יכולה להיות מחלוקת לא ליסוד העובדתי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בוודאי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ליסוד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שמטמין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מטען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Miriam" w:ascii="Century" w:hAnsi="Century"/>
          <w:bCs/>
          <w:szCs w:val="22"/>
        </w:rPr>
        <w:t>TNT</w:t>
      </w:r>
      <w:r>
        <w:rPr>
          <w:rFonts w:cs="Miriam" w:ascii="Century" w:hAnsi="Century"/>
          <w:b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וחומר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נפץ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פלסטי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ומתכוון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לרצוח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שיפגע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ממנו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הנמקה קצרה בכל הנוגע ליסוד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בכדי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למרבה התמיהה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כה מרכזית כפי שהעלה בן דוד בערעור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טענה שניתן היה להניח כי תעלה בראש טיעוניו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הועלתה כלל על ידו בסיכומים שהוגשו על ידו בבית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בהיעדר חזית מחלוקת בנושא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ובעוד שהמשיבה התייחסה ליסוד הנפשי בסיכומיה בבית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ייפלא שבית משפט קמא סבר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כדבר מובן מאליו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שהמערער אינו חולק על היסוד הנפשי הנדרש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בחינת הראיות לגופן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מביאה לטעמי ממילא למסקנה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כך אעמוד להלן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המטען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אין להשוות כלל בין המטענים נשוא אישומים </w:t>
      </w:r>
      <w:r>
        <w:rPr>
          <w:rFonts w:cs="Century" w:ascii="Century" w:hAnsi="Century"/>
        </w:rPr>
        <w:t>3-1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 המטען שהונח ברכבו של מוסא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וזה תיאור המטען באישום הראשון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צינור פלסטיק באורך </w:t>
      </w:r>
      <w:r>
        <w:rPr>
          <w:rFonts w:cs="Century" w:ascii="Century" w:hAnsi="Century"/>
        </w:rPr>
        <w:t>123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ובקוטר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בתוכו תערובת נפץ פירוטכנית מאולתרת ובשני קצותיו הברגות תואמות אליו הוצמד בקבוק ובו ליטר וחצי בנזין ואמצעי ייזום חשמלי ואליו הוצמדו דיסקיות במשקל </w:t>
      </w:r>
      <w:r>
        <w:rPr>
          <w:rFonts w:cs="Century" w:ascii="Century" w:hAnsi="Century"/>
        </w:rPr>
        <w:t>146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גרם כתוספת רסס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וזה תיאור המטען באישום השני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מטען צינור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מהחומרים שרכש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עשוי גליל מתכתי באורך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ובקוטר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בצדיו שני פקקי פליז ששימשו כרסס להגברת עוצמת מטען החבלה בעת התפוצצותו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למטען חוברה מערכת ייזום חשמלי זהה לזאת שבאישום הראשון</w:t>
      </w:r>
      <w:r>
        <w:rPr>
          <w:rFonts w:cs="Century" w:ascii="Century" w:hAnsi="Century"/>
          <w:rtl w:val="true"/>
        </w:rPr>
        <w:t>".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וזה תיאור המטען באישום השלישי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מטען העיקרי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שימש צינור מתכתי ישר באורך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ובקוטר של </w:t>
      </w:r>
      <w:r>
        <w:rPr>
          <w:rFonts w:cs="Century" w:ascii="Century" w:hAnsi="Century"/>
        </w:rPr>
        <w:t>3/4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בעל שני פקקי פליז תואמים אשר שימשו לסגירת הצינור משני צדיו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גוף המטען העיקרי וכן הפקקים התואמים לו המתוארים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שימשו כרסס להגברת עוצמת מטען החבלה בעת התפוצצותו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החומר העיקרי של המטען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הוכנס לתוך הצינור האמור </w:t>
      </w:r>
      <w:r>
        <w:rPr>
          <w:rFonts w:cs="Century" w:ascii="Century" w:hAnsi="Century"/>
          <w:rtl w:val="true"/>
        </w:rPr>
        <w:t>[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המטען העיקרי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כלל תערובת נפץ פירוטכנית מאולתרת מסוג ובכמות שאינם ידועים למאשימה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וזה תיאור המטען באישום הרביעי נושא דיוננו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"'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מטען העיקרי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החומר עיקרי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כלל חומר נפץ בעל תכונות מרסקות במשקל כללי של </w:t>
      </w:r>
      <w:r>
        <w:rPr>
          <w:rFonts w:cs="Century" w:ascii="Century" w:hAnsi="Century"/>
        </w:rPr>
        <w:t>643.3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למפורט כדלקמן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חומר נפץ מרסק מסוג </w:t>
      </w:r>
      <w:r>
        <w:rPr>
          <w:rFonts w:cs="Century" w:ascii="Century" w:hAnsi="Century"/>
        </w:rPr>
        <w:t>TNT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במשקל </w:t>
      </w:r>
      <w:r>
        <w:rPr>
          <w:rFonts w:cs="Century" w:ascii="Century" w:hAnsi="Century"/>
        </w:rPr>
        <w:t>307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גרם – לבנת חבלה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מספר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עטיפתה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חומר נפץ מרסק מסוג </w:t>
      </w:r>
      <w:r>
        <w:rPr>
          <w:rFonts w:cs="Century" w:ascii="Century" w:hAnsi="Century"/>
        </w:rPr>
        <w:t>RDX</w:t>
      </w:r>
      <w:r>
        <w:rPr>
          <w:rFonts w:cs="Century" w:ascii="Century" w:hAnsi="Century"/>
          <w:rtl w:val="true"/>
        </w:rPr>
        <w:t xml:space="preserve"> [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ציקלוניט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במשקל </w:t>
      </w:r>
      <w:r>
        <w:rPr>
          <w:rFonts w:cs="Century" w:ascii="Century" w:hAnsi="Century"/>
        </w:rPr>
        <w:t>327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גרם – חומר נפץ פלסטי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בתוכו הוטבעה לבנת החבלה המתוארת לעיל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המדובר במטען רב עוצמה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ובהקשר זה הוגשו מספר חוות דעת </w:t>
      </w:r>
      <w:r>
        <w:rPr>
          <w:rFonts w:ascii="Century" w:hAnsi="Century" w:cs="Century"/>
          <w:rtl w:val="true"/>
        </w:rPr>
        <w:t>באמצעות מומחי חבלה וחומרים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ובמיוחד רלוונטית לענייננו חוות הדעת של 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 בירנבאום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146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וחוות דעתו אשר משווה בין המטענים השונים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157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חוות דעת אלה לא נסתרו על ידי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 בירנבאום תיאר בעדותו בבית המשפט את עוצמתו וק</w:t>
      </w:r>
      <w:r>
        <w:rPr>
          <w:rFonts w:ascii="Century" w:hAnsi="Century" w:cs="Century"/>
          <w:rtl w:val="true"/>
        </w:rPr>
        <w:t xml:space="preserve">טלניותו של המטען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בו חומרי נפץ פלסטי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TNT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מפנה לחוות הדעת שערכת במסגרת האירוע ברמת השרון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17.02.17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האירוע שדיברת עליו הרגע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תספר בבקשה מה היה האפקט של המטען אם חלילה היה מופעל מתחת לרכב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אני מחזיק בחוות דעתי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חקרתי המון אירועים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זירות פיצוץ וגם זירות נטרול עם מטענים מהסוג הזה וגם בכמויות האלה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יותר גדולות ויותר קטנות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המטען הזה היה מתפוצץ במקום שהוא נמצא מתחת לרכב איפה שראיתי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דרך המוניטור של הרובוט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היה יוצר מכתש פיצוץ על גבי הקרקע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היה עושה נזק משמעותי מאוד לתחתית הרכב – נכנס פנימה ומכניס המון לחצים פנימה והמון חום והמון אפקטים וחלקי רכב גם לתחתית 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אני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מהניסיון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המקצועי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בטיפול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בעשרות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זירות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כאלה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מישהו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יושב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כיסא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הנהג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קטיעות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קטיעות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איברים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שגם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נקטעו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הרגליים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מהמצב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הזה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שמתו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ממטענים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כאלה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ובלי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לזה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הפוטנציאל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מטען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החבלה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הספציפי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בהרכב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בהחלט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ממית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אדם</w:t>
      </w:r>
      <w:r>
        <w:rPr>
          <w:rFonts w:cs="Century" w:ascii="Century" w:hAnsi="Century"/>
          <w:sz w:val="18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יש שם שילוב של שני חומרי נפץ – יש שם לבנה מספר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לית תקנית של </w:t>
      </w:r>
      <w:r>
        <w:rPr>
          <w:rFonts w:cs="Century" w:ascii="Century" w:hAnsi="Century"/>
        </w:rPr>
        <w:t>TNT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ועוטף אותה </w:t>
      </w:r>
      <w:r>
        <w:rPr>
          <w:rFonts w:cs="Century" w:ascii="Century" w:hAnsi="Century"/>
        </w:rPr>
        <w:t>327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גרם של </w:t>
      </w:r>
      <w:r>
        <w:rPr>
          <w:rFonts w:cs="Century" w:ascii="Century" w:hAnsi="Century"/>
        </w:rPr>
        <w:t>RDX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שזה בעצם המרכיב הנפיץ בלבנות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החומר הזה הוא בצבע ורוד ובהחלט ה</w:t>
      </w:r>
      <w:r>
        <w:rPr>
          <w:rFonts w:cs="Century" w:ascii="Century" w:hAnsi="Century"/>
        </w:rPr>
        <w:t>RDX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בעוצמה שלו הוא הרבה יותר חזק מה</w:t>
      </w:r>
      <w:r>
        <w:rPr>
          <w:rFonts w:cs="Century" w:ascii="Century" w:hAnsi="Century"/>
        </w:rPr>
        <w:t>TNT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 שאם היינו עושים אמביוולנט למטען שהוא רק </w:t>
      </w:r>
      <w:r>
        <w:rPr>
          <w:rFonts w:cs="Century" w:ascii="Century" w:hAnsi="Century"/>
        </w:rPr>
        <w:t>TNT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 מתקרב לכמעט קילו חומר נפץ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יש נפקות או משמעות לשאלה מבחינת הנזק של המטען אם הוא היה צמוד לרכב או מחוץ לכביש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אני הסברתי בחוות 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כוחו של המטען להמית אדם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ראיתי רכבים שאנשים יצאו משם בחיים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ראיתי אנשים שלא יצאו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כשחוות הדעת שלך נכתבת ונערכת ואתה מגיע למסקנה שהגעת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אתה כותב את זה בהנחה שמטען מוצמד לרכב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אני כותב על המטען כפי שהוא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הפוטנציאל של מטען החבלה הזה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המשפט</w:t>
      </w:r>
      <w:r>
        <w:rPr>
          <w:rFonts w:cs="Century" w:ascii="Century" w:hAnsi="Century"/>
          <w:sz w:val="18"/>
          <w:szCs w:val="24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כשהוא לא מוצמד</w:t>
      </w:r>
      <w:r>
        <w:rPr>
          <w:rFonts w:cs="Century" w:ascii="Century" w:hAnsi="Century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נכון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לא רק יכול לפגוע במי שנמצא בתוך הרכב – העפה של חלקי 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חלקי כביש מהמכתש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מהניסיון הסטטיסטי שלי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מטען כזה יכול לפגוע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 בערך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952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מחוות הדעת שהוגשו ומהעדות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עולה כי מדובר במטען קטלני רב עוצמה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כזה שהיה יוצר מכתש פיצוץ מתחת לרכב ומעיף חלקי רכב למרחק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והמגנט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sz w:val="18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המטען הוטמן מתחת למושב הנהג ברכב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נכון לקבל טענת בן דוד כי המטען הונח בצד הנהג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שזה היה צד המדרכה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שהיה קל יותר להניחו בצד זה מבלי להיחשף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ועדיין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היה למקם את המטען במושב האחורי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בין המושב הקדמי למושב האחורי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מתחת לתא המטען מאחור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העובדה שמטען כה עוצמתי הונח דווקא מתחת למושב הנהג מדברת בעד 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ומעידה על הכוונה למקסם את סיכויי הפגיעה בנהג עצמו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שהמטען הונח על חומת חצרו של בית בשעות הלילה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ובאישומים הראשון והשלישי הונחו המטענים בחיבור בין מכסה המנוע לשמשה הקדמית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מרזב השמשה הקדמית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מיקום שאינו מצריך מאמץ 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שניתן להניח את המטען בזריזות ובמהירות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למאמץ הכרוך בהטמנת המטען מתחת לרכב ובסיכון לחשיפה הכרוך בכך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לכך יש להוסיף את תיאור המטען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שעליו אין חולק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וממנו אנו למדים על עובדה חשובה נוספת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כא</w:t>
      </w:r>
      <w:r>
        <w:rPr>
          <w:rFonts w:ascii="Century" w:hAnsi="Century" w:cs="Century"/>
          <w:rtl w:val="true"/>
        </w:rPr>
        <w:t>מצעי הצמדה של מטען החבלה לאובייקט מתכתי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מגנט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נאונידיום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40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בעל קדח מרכזי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עליו הודבק דבק אפוקסי בצבע אפור ודבק חם שקוף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מטען החבלה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כלל חלקיו המתוארים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ולרבות המקלט האלחוטי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והמגנט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אוגד יחדיו באמצעות סרט דביק רחב בצבע שחור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צירוף המגנט למטען העיקרי נועדה להבטיח עוד יותר את הפגיעה בנהג 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</w:t>
      </w:r>
      <w:r>
        <w:rPr>
          <w:rFonts w:ascii="Century" w:hAnsi="Century" w:cs="Century"/>
          <w:rtl w:val="true"/>
        </w:rPr>
        <w:t xml:space="preserve">טען נמצא מונח על הקרקע ולא מוצמד לרכבו של </w:t>
      </w:r>
      <w:r>
        <w:rPr>
          <w:rFonts w:ascii="Century" w:hAnsi="Century" w:cs="Century"/>
          <w:rtl w:val="true"/>
        </w:rPr>
        <w:t>מוסא על אף המגנט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העובדה שבן דוד נכשל בהצמדת המטען לתחתית הרכב בשל החיפזון ומהירות הביצוע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שהניח מומחה החבלה בעדותו בבית המשפט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או שהמגנט נכשל בתפקידו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אינם גורעים מהכוונה הברורה שהייתה מלכתחילה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הצמדת המטען מתחת למושב הנהג ברכב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בפשטות ניתן לומר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כך לא מרתיעים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כך מחסלים</w:t>
      </w:r>
      <w:r>
        <w:rPr>
          <w:rFonts w:cs="Century" w:ascii="Century" w:hAnsi="Century"/>
          <w:rtl w:val="true"/>
        </w:rPr>
        <w:t>".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למטענים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 כל אחד מהמטענים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בכתב האישום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בכוחו של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מטען להזיק לאדם בעת התפוצצותו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ובאישום השלישי אף נכתב כי בכוחו של המטען להמית אדם בעת התפוצצותו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ההבדל בין המטענים הוא עצום ואין להשוות את אפקט ההרג ורדיוס הנזק של מטען המכיל חומר נפץ תקני גדול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מטען המכיל חומר נפץ פירוטכני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שפגיעתו תחומה לרדיוס קטן בהרבה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המטען שהונח במרזב שמשת הרכב הקדמי של הזמרת מרגלית צנעני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אותו מטען שלגביו נכתב בכתב האישום כי בכוחו להמית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אפילו לא שבר את שמשת 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שלושת המטענים בהם נעשה שימוש באישומים </w:t>
      </w:r>
      <w:r>
        <w:rPr>
          <w:rFonts w:cs="Century" w:ascii="Century" w:hAnsi="Century"/>
        </w:rPr>
        <w:t>3-1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שונים לחלוטין באופיים מהמטען שבו נעשה שימוש באישום נושא דיוננו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להשוות כלל בין מטעני צינור קטנים ומאולתרים עם תערובת נפץ פירוטכנית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גודל צינור הפלסטיק באישום הראשון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ובקוטר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גודל צינור המתכת באישום השני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אורך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וקוטר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גודל צינור המתכת באישום השלישי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אורך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ובקוטר של </w:t>
      </w:r>
      <w:r>
        <w:rPr>
          <w:rFonts w:cs="Century" w:ascii="Century" w:hAnsi="Century"/>
        </w:rPr>
        <w:t>3/4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להקל ראש במטענים כגון 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הם אינם ברי השוואה כלל ללבנת חבלה צה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לית תקנית שהוטבעה בתוך חומר נפץ פלסטי מסוג </w:t>
      </w:r>
      <w:r>
        <w:rPr>
          <w:rFonts w:cs="Century" w:ascii="Century" w:hAnsi="Century"/>
        </w:rPr>
        <w:t>RDX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במשקל רב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בדירת האמל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בה החזיק בן דוד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נתפס מטען צינור נוסף עם חומר נפץ פירוטכני ועוד רכיבים נוספים הנדרשים להפעלת מטענים מאולתרים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מדוע לא נעשה שימוש גם הפעם במטען צינור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צא ולמד עד כמה היה על בן דוד לטרוח ולעמול על מנת להשיג את כל הרכיבים הדרושים להרכבת המטען נושא דיוננו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היה עליו לשים ידו על חומר נפץ תקני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הסיכון הכרוך בכך מבחינת מגע עם אנשים נוספים ועל המשאבים הכספיים הכרוכים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ההשתדלות והמאמץ המיוחד בהרכבת המטען נשוא האישום הרביעי מעידה על עצמה שאין מדובר במטען לצורך הרתעה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לסיכום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ענייננו במטען נפץ תקני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חיסולי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ולא במטען נפץ פירוטכני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הרתעתי</w:t>
      </w:r>
      <w:r>
        <w:rPr>
          <w:rFonts w:cs="Century" w:ascii="Century" w:hAnsi="Century"/>
          <w:rtl w:val="true"/>
        </w:rPr>
        <w:t>".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הזדמנויות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להנחת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המטען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אילו ביקש בן דוד לפוצץ את המטען אך ורק כדי להרתיע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מדוע לא עשה זאת עוד לפני כן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בן דוד עקב אחרי מוסא במשך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ויכול היה לפעול עוד לפני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17.2.2017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היום שבו נלכד על ידי השוטרים בסמוך לאחר הנחת המטען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נרחיק את עדותנו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ונסתפק ביום </w:t>
      </w:r>
      <w:r>
        <w:rPr>
          <w:rFonts w:cs="Century" w:ascii="Century" w:hAnsi="Century"/>
        </w:rPr>
        <w:t>16.2.2017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שאז איתר בן דוד את מוסא מספר פעמים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מדוחות העיקוב עולה כי בשעה </w:t>
      </w:r>
      <w:r>
        <w:rPr>
          <w:rFonts w:cs="Century" w:ascii="Century" w:hAnsi="Century"/>
        </w:rPr>
        <w:t>14:30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תצפת בן דוד על ביתו של מוסא ועל שני הרכבים של מוסא שחנו בביתו משך זמן לא מבוטל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מבלי שניצל פרק זמן זה כדי להטמין את המטען ולהפעילו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14:53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כבר יצא מוסא מביתו בליווי אישה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בן דוד יכול היה להטמין את המטען גם בשעות הלילה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הרכבים של מוסא חונים ליד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נמנע מלעשות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שלמרות שהייתה לבן דוד אפשרות לפוצץ את רכבו של מוסא כשאינו מאויש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המתין לשעת כושר ולהזדמנות להטמין את המטען בפרק זמן שבו מוסא אמור לחזור לרכב בגפו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בתום האימון באצטדיון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המסקנה היא שלא בפיצוץ לצרכי הרתעה עסקינן אלא בפיצוץ לצרכי חיסול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להררי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בנושא זה יעסוק 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ד</w:t>
      </w:r>
      <w:r>
        <w:rPr>
          <w:rFonts w:cs="Miriam" w:ascii="Century" w:hAnsi="Century"/>
          <w:b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מינץ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בדיון בערעורו של הררי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לענייננו די אם אומר כי התצפית משך ימים ארוכים אחר מוסא והשיחות בין השניים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כל אלה מעידים על נחישות והתעקשות להשלים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העסקה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שתיקתו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"</w:t>
      </w:r>
      <w:r>
        <w:rPr>
          <w:rFonts w:ascii="Century" w:hAnsi="Century" w:cs="Century"/>
          <w:rtl w:val="true"/>
        </w:rPr>
        <w:t>מה הן המילים אם לא שתיקה</w:t>
      </w:r>
      <w:r>
        <w:rPr>
          <w:rFonts w:cs="Century" w:ascii="Century" w:hAnsi="Century"/>
          <w:rtl w:val="true"/>
        </w:rPr>
        <w:t xml:space="preserve">"? </w:t>
      </w:r>
      <w:r>
        <w:rPr>
          <w:rFonts w:ascii="Century" w:hAnsi="Century" w:cs="Century"/>
          <w:rtl w:val="true"/>
        </w:rPr>
        <w:t>כוחה של השתיקה יכול להיות חזק יותר ממלים רבות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בן דוד בחר לשתוק בחקירתו ולשתוק גם במשפטו ולכך נפקות של ממש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אסביר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בשתיקה כשלעצמה כדי למלא את החסר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 הבור מתמלא מחולייתו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ברכות 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שתיקתו של חשוד ושתיקתו של נאשם או שקריו של נאשם אינם ממלאים חוסר ראייתי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השוו 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543/79</w:t>
        </w:r>
      </w:hyperlink>
      <w:r>
        <w:rPr>
          <w:rFonts w:cs="Century" w:ascii="Century" w:hAnsi="Century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color w:val="000000"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ישראל</w:t>
      </w:r>
      <w:r>
        <w:rPr>
          <w:rFonts w:cs="Century" w:ascii="Century" w:hAnsi="Century"/>
          <w:color w:val="000000"/>
          <w:rtl w:val="true"/>
        </w:rPr>
        <w:t xml:space="preserve">, </w:t>
      </w:r>
      <w:r>
        <w:rPr>
          <w:rFonts w:ascii="Century" w:hAnsi="Century" w:cs="Century"/>
          <w:color w:val="000000"/>
          <w:rtl w:val="true"/>
        </w:rPr>
        <w:t>פ</w:t>
      </w:r>
      <w:r>
        <w:rPr>
          <w:rFonts w:cs="Century" w:ascii="Century" w:hAnsi="Century"/>
          <w:color w:val="000000"/>
          <w:rtl w:val="true"/>
        </w:rPr>
        <w:t>"</w:t>
      </w:r>
      <w:r>
        <w:rPr>
          <w:rFonts w:ascii="Century" w:hAnsi="Century" w:cs="Century"/>
          <w:color w:val="000000"/>
          <w:rtl w:val="true"/>
        </w:rPr>
        <w:t>ד לה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142-141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חובת ההוכחה רובצת לפתחה של התביעה עד סוף הדרך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שעמדנו לעיל על מכלול ראיות נסיבתיות עוצמתיות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שלכל הפחות יש בהן כדי להעביר אל בן דוד את נטל הבאת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מנטל השכנוע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7598/95</w:t>
        </w:r>
      </w:hyperlink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נב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385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הורשעו הנאשמים בהחזקת סם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שהסם לא נתפס ברשותם והם לא נתפסו במקום המסתור של הסם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נוכחותם של הנאשמים במפגשים ובמגעים שונים הקשורים בזמן ובמקום לסם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הביאה את בית המשפט למסקנה כי לא מדובר בנוכחות תמימה אלא בנוכחות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מסבכת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מפלילה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בהיעדר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הסבר מכשיר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מצד הנאשמים לאותה נוכחות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שורת הראיות הנסיבתיות שפורטו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מקיפות את בן דוד בבחינת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shd w:fill="FFFFFF" w:val="clear"/>
          <w:rtl w:val="true"/>
        </w:rPr>
        <w:t>סַבּוּנִי גַם סְבָבוּנִי</w:t>
      </w:r>
      <w:r>
        <w:rPr>
          <w:rFonts w:cs="Century" w:ascii="Century" w:hAnsi="Century"/>
          <w:shd w:fill="FFFFFF" w:val="clear"/>
          <w:rtl w:val="true"/>
        </w:rPr>
        <w:t xml:space="preserve">... </w:t>
      </w:r>
      <w:r>
        <w:rPr>
          <w:rFonts w:ascii="Century" w:hAnsi="Century" w:cs="Century"/>
          <w:shd w:fill="FFFFFF" w:val="clear"/>
          <w:rtl w:val="true"/>
        </w:rPr>
        <w:t>סַבּוּנִי כִדְבוֹרִים</w:t>
      </w:r>
      <w:r>
        <w:rPr>
          <w:rFonts w:cs="Century" w:ascii="Century" w:hAnsi="Century"/>
          <w:shd w:fill="FFFFFF" w:val="clear"/>
          <w:rtl w:val="true"/>
        </w:rPr>
        <w:t>" (</w:t>
      </w:r>
      <w:r>
        <w:rPr>
          <w:rFonts w:ascii="Century" w:hAnsi="Century" w:cs="Century"/>
          <w:shd w:fill="FFFFFF" w:val="clear"/>
          <w:rtl w:val="true"/>
        </w:rPr>
        <w:t>תהילים קיח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יא</w:t>
      </w:r>
      <w:r>
        <w:rPr>
          <w:rFonts w:cs="Century" w:ascii="Century" w:hAnsi="Century"/>
          <w:shd w:fill="FFFFFF" w:val="clear"/>
          <w:rtl w:val="true"/>
        </w:rPr>
        <w:t>-</w:t>
      </w:r>
      <w:r>
        <w:rPr>
          <w:rFonts w:ascii="Century" w:hAnsi="Century" w:cs="Century"/>
          <w:shd w:fill="FFFFFF" w:val="clear"/>
          <w:rtl w:val="true"/>
        </w:rPr>
        <w:t>יב</w:t>
      </w:r>
      <w:r>
        <w:rPr>
          <w:rFonts w:cs="Century" w:ascii="Century" w:hAnsi="Century"/>
          <w:shd w:fill="FFFFFF" w:val="clear"/>
          <w:rtl w:val="true"/>
        </w:rPr>
        <w:t xml:space="preserve">). </w:t>
      </w:r>
      <w:r>
        <w:rPr>
          <w:rFonts w:ascii="Century" w:hAnsi="Century" w:cs="Century"/>
          <w:shd w:fill="FFFFFF" w:val="clear"/>
          <w:rtl w:val="true"/>
        </w:rPr>
        <w:t>הנה כי כן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פושטות הראיות העוקצות כדבורים את ידיהן כלפי בן דוד ודורשות תשובה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אך פיו של בן דוד נותר חתום ותשובה אין</w:t>
      </w:r>
      <w:r>
        <w:rPr>
          <w:rFonts w:cs="Century" w:ascii="Century" w:hAnsi="Century"/>
          <w:shd w:fill="FFFFFF" w:val="clear"/>
          <w:rtl w:val="true"/>
        </w:rPr>
        <w:t xml:space="preserve">. </w:t>
      </w:r>
      <w:r>
        <w:rPr>
          <w:rFonts w:ascii="Century" w:hAnsi="Century" w:cs="Century"/>
          <w:shd w:fill="FFFFFF" w:val="clear"/>
          <w:rtl w:val="true"/>
        </w:rPr>
        <w:t>בן דוד לא הציע כל חלופה שיש בה כדי להדוף את המסקנה כי לא במטען קטלני</w:t>
      </w:r>
      <w:r>
        <w:rPr>
          <w:rFonts w:cs="Century" w:ascii="Century" w:hAnsi="Century"/>
          <w:shd w:fill="FFFFFF" w:val="clear"/>
          <w:rtl w:val="true"/>
        </w:rPr>
        <w:t>-</w:t>
      </w:r>
      <w:r>
        <w:rPr>
          <w:rFonts w:ascii="Century" w:hAnsi="Century" w:cs="Century"/>
          <w:shd w:fill="FFFFFF" w:val="clear"/>
          <w:rtl w:val="true"/>
        </w:rPr>
        <w:t>חיסולי עסקינן אלא במטען הרתעתי</w:t>
      </w:r>
      <w:r>
        <w:rPr>
          <w:rFonts w:cs="Century" w:ascii="Century" w:hAnsi="Century"/>
          <w:shd w:fill="FFFFFF" w:val="clear"/>
          <w:rtl w:val="true"/>
        </w:rPr>
        <w:t>-</w:t>
      </w:r>
      <w:r>
        <w:rPr>
          <w:rFonts w:ascii="Century" w:hAnsi="Century" w:cs="Century"/>
          <w:shd w:fill="FFFFFF" w:val="clear"/>
          <w:rtl w:val="true"/>
        </w:rPr>
        <w:t>פירוטכני</w:t>
      </w:r>
      <w:r>
        <w:rPr>
          <w:rFonts w:cs="Century" w:ascii="Century" w:hAnsi="Century"/>
          <w:shd w:fill="FFFFFF" w:val="clear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</w:rPr>
        <w:t>18</w:t>
      </w:r>
      <w:r>
        <w:rPr>
          <w:rFonts w:cs="Century" w:ascii="Century" w:hAnsi="Century"/>
          <w:shd w:fill="FFFFFF" w:val="clear"/>
          <w:rtl w:val="true"/>
        </w:rPr>
        <w:t>.</w:t>
        <w:tab/>
      </w:r>
      <w:r>
        <w:rPr>
          <w:rFonts w:ascii="Century" w:hAnsi="Century" w:cs="Century"/>
          <w:shd w:fill="FFFFFF" w:val="clear"/>
          <w:rtl w:val="true"/>
        </w:rPr>
        <w:t>יש כמה סיבות בגינן נאשמים מעדיפים לשתוק בחקירתם או במשפטם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ולא אדרש לכך במסגרת זו</w:t>
      </w:r>
      <w:r>
        <w:rPr>
          <w:rFonts w:cs="Century" w:ascii="Century" w:hAnsi="Century"/>
          <w:shd w:fill="FFFFFF" w:val="clear"/>
          <w:rtl w:val="true"/>
        </w:rPr>
        <w:t xml:space="preserve">. </w:t>
      </w:r>
      <w:r>
        <w:rPr>
          <w:rFonts w:ascii="Century" w:hAnsi="Century" w:cs="Century"/>
          <w:shd w:fill="FFFFFF" w:val="clear"/>
          <w:rtl w:val="true"/>
        </w:rPr>
        <w:t>במקרה דנן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לשתיקתו של בן דוד עוצמה רבה במיוחד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בהינתן ש</w:t>
      </w:r>
      <w:r>
        <w:rPr>
          <w:rFonts w:cs="Century" w:ascii="Century" w:hAnsi="Century"/>
          <w:shd w:fill="FFFFFF" w:val="clear"/>
          <w:rtl w:val="true"/>
        </w:rPr>
        <w:t>"</w:t>
      </w:r>
      <w:r>
        <w:rPr>
          <w:rFonts w:ascii="Century" w:hAnsi="Century" w:cs="Century"/>
          <w:shd w:fill="FFFFFF" w:val="clear"/>
          <w:rtl w:val="true"/>
        </w:rPr>
        <w:t>נתפס על חם</w:t>
      </w:r>
      <w:r>
        <w:rPr>
          <w:rFonts w:cs="Century" w:ascii="Century" w:hAnsi="Century"/>
          <w:shd w:fill="FFFFFF" w:val="clear"/>
          <w:rtl w:val="true"/>
        </w:rPr>
        <w:t xml:space="preserve">" </w:t>
      </w:r>
      <w:r>
        <w:rPr>
          <w:rFonts w:ascii="Century" w:hAnsi="Century" w:cs="Century"/>
          <w:shd w:fill="FFFFFF" w:val="clear"/>
          <w:rtl w:val="true"/>
        </w:rPr>
        <w:t xml:space="preserve">לאחר שהטמין את המטען </w:t>
      </w:r>
      <w:r>
        <w:rPr>
          <w:rFonts w:ascii="Century" w:hAnsi="Century" w:cs="Century"/>
          <w:shd w:fill="FFFFFF" w:val="clear"/>
          <w:rtl w:val="true"/>
        </w:rPr>
        <w:t>ולאחר שהדליק את מתג המקלט האלחוטי המוצמד למטען</w:t>
      </w:r>
      <w:r>
        <w:rPr>
          <w:rFonts w:cs="Century" w:ascii="Century" w:hAnsi="Century"/>
          <w:shd w:fill="FFFFFF" w:val="clear"/>
          <w:rtl w:val="true"/>
        </w:rPr>
        <w:t xml:space="preserve">. </w:t>
      </w:r>
      <w:r>
        <w:rPr>
          <w:rFonts w:ascii="Century" w:hAnsi="Century" w:cs="Century"/>
          <w:shd w:fill="FFFFFF" w:val="clear"/>
          <w:rtl w:val="true"/>
        </w:rPr>
        <w:t>במצב דברים זה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בן דוד לא יכול היה להרוויח דבר משתיקתו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שהרי ממילא נלכד בכף ואינו יכול להכחיש כי הוא אשר הטמין את המטען</w:t>
      </w:r>
      <w:r>
        <w:rPr>
          <w:rFonts w:cs="Century" w:ascii="Century" w:hAnsi="Century"/>
          <w:shd w:fill="FFFFFF" w:val="clear"/>
          <w:rtl w:val="true"/>
        </w:rPr>
        <w:t xml:space="preserve">. </w:t>
      </w:r>
      <w:r>
        <w:rPr>
          <w:rFonts w:ascii="Century" w:hAnsi="Century" w:cs="Century"/>
          <w:shd w:fill="FFFFFF" w:val="clear"/>
          <w:rtl w:val="true"/>
        </w:rPr>
        <w:t xml:space="preserve">בן דוד יכול היה לכאורה רק </w:t>
      </w:r>
      <w:r>
        <w:rPr>
          <w:rFonts w:cs="Century" w:ascii="Century" w:hAnsi="Century"/>
          <w:shd w:fill="FFFFFF" w:val="clear"/>
          <w:rtl w:val="true"/>
        </w:rPr>
        <w:t>"</w:t>
      </w:r>
      <w:r>
        <w:rPr>
          <w:rFonts w:ascii="Century" w:hAnsi="Century" w:cs="Century"/>
          <w:shd w:fill="FFFFFF" w:val="clear"/>
          <w:rtl w:val="true"/>
        </w:rPr>
        <w:t>להרוויח</w:t>
      </w:r>
      <w:r>
        <w:rPr>
          <w:rFonts w:cs="Century" w:ascii="Century" w:hAnsi="Century"/>
          <w:shd w:fill="FFFFFF" w:val="clear"/>
          <w:rtl w:val="true"/>
        </w:rPr>
        <w:t xml:space="preserve">" </w:t>
      </w:r>
      <w:r>
        <w:rPr>
          <w:rFonts w:ascii="Century" w:hAnsi="Century" w:cs="Century"/>
          <w:shd w:fill="FFFFFF" w:val="clear"/>
          <w:rtl w:val="true"/>
        </w:rPr>
        <w:t>אילו היה עולה לדוכן העדים וטוען כי לא היה לו יסוד נפשי לקטול את מוסא</w:t>
      </w:r>
      <w:r>
        <w:rPr>
          <w:rFonts w:cs="Century" w:ascii="Century" w:hAnsi="Century"/>
          <w:shd w:fill="FFFFFF" w:val="clear"/>
          <w:rtl w:val="true"/>
        </w:rPr>
        <w:t xml:space="preserve">. </w:t>
      </w:r>
      <w:r>
        <w:rPr>
          <w:rFonts w:ascii="Century" w:hAnsi="Century" w:cs="Century"/>
          <w:shd w:fill="FFFFFF" w:val="clear"/>
          <w:rtl w:val="true"/>
        </w:rPr>
        <w:t>לכן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לשתיקתו של בן דוד יש ערך פוזיטיבי בפני עצמו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כחיזוק שנוסף לראיות הנסיבתיות שפורטו לעיל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 xml:space="preserve">כאמור </w:t>
      </w:r>
      <w:hyperlink r:id="rId43">
        <w:r>
          <w:rPr>
            <w:rStyle w:val="Hyperlink"/>
            <w:rFonts w:ascii="Century" w:hAnsi="Century" w:cs="Century"/>
            <w:shd w:fill="FFFFFF" w:val="clear"/>
            <w:rtl w:val="true"/>
          </w:rPr>
          <w:t>בסעיף</w:t>
        </w:r>
        <w:r>
          <w:rPr>
            <w:rStyle w:val="Hyperlink"/>
            <w:rFonts w:ascii="Century" w:hAnsi="Century" w:cs="Century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hd w:fill="FFFFFF" w:val="clear"/>
          </w:rPr>
          <w:t>162</w:t>
        </w:r>
      </w:hyperlink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ascii="Century" w:hAnsi="Century" w:cs="Century"/>
          <w:shd w:fill="FFFFFF" w:val="clear"/>
          <w:rtl w:val="true"/>
        </w:rPr>
        <w:t>ל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הפלילי</w:t>
        </w:r>
      </w:hyperlink>
      <w:r>
        <w:rPr>
          <w:rFonts w:ascii="Century" w:hAnsi="Century" w:cs="Century"/>
          <w:shd w:fill="FFFFFF" w:val="clear"/>
          <w:rtl w:val="true"/>
        </w:rPr>
        <w:t xml:space="preserve"> </w:t>
      </w:r>
      <w:r>
        <w:rPr>
          <w:rFonts w:cs="Century" w:ascii="Century" w:hAnsi="Century"/>
          <w:shd w:fill="FFFFFF" w:val="clear"/>
          <w:rtl w:val="true"/>
        </w:rPr>
        <w:t>[</w:t>
      </w:r>
      <w:r>
        <w:rPr>
          <w:rFonts w:ascii="Century" w:hAnsi="Century" w:cs="Century"/>
          <w:shd w:fill="FFFFFF" w:val="clear"/>
          <w:rtl w:val="true"/>
        </w:rPr>
        <w:t>נוסח משולב</w:t>
      </w:r>
      <w:r>
        <w:rPr>
          <w:rFonts w:cs="Century" w:ascii="Century" w:hAnsi="Century"/>
          <w:shd w:fill="FFFFFF" w:val="clear"/>
          <w:rtl w:val="true"/>
        </w:rPr>
        <w:t xml:space="preserve">], </w:t>
      </w:r>
      <w:r>
        <w:rPr>
          <w:rFonts w:ascii="Century" w:hAnsi="Century" w:cs="Century"/>
          <w:shd w:fill="FFFFFF" w:val="clear"/>
          <w:rtl w:val="true"/>
        </w:rPr>
        <w:t>התשמ</w:t>
      </w:r>
      <w:r>
        <w:rPr>
          <w:rFonts w:cs="Century" w:ascii="Century" w:hAnsi="Century"/>
          <w:shd w:fill="FFFFFF" w:val="clear"/>
          <w:rtl w:val="true"/>
        </w:rPr>
        <w:t>"</w:t>
      </w:r>
      <w:r>
        <w:rPr>
          <w:rFonts w:ascii="Century" w:hAnsi="Century" w:cs="Century"/>
          <w:shd w:fill="FFFFFF" w:val="clear"/>
          <w:rtl w:val="true"/>
        </w:rPr>
        <w:t>ד</w:t>
      </w:r>
      <w:r>
        <w:rPr>
          <w:rFonts w:cs="Century" w:ascii="Century" w:hAnsi="Century"/>
          <w:shd w:fill="FFFFFF" w:val="clear"/>
          <w:rtl w:val="true"/>
        </w:rPr>
        <w:t>-</w:t>
      </w:r>
      <w:r>
        <w:rPr>
          <w:rFonts w:cs="Century" w:ascii="Century" w:hAnsi="Century"/>
          <w:shd w:fill="FFFFFF" w:val="clear"/>
        </w:rPr>
        <w:t>1984</w:t>
      </w:r>
      <w:r>
        <w:rPr>
          <w:rFonts w:cs="Century" w:ascii="Century" w:hAnsi="Century"/>
          <w:shd w:fill="FFFFFF" w:val="clear"/>
          <w:rtl w:val="true"/>
        </w:rPr>
        <w:t xml:space="preserve">. </w:t>
      </w:r>
      <w:r>
        <w:rPr>
          <w:rFonts w:ascii="Century" w:hAnsi="Century" w:cs="Century"/>
          <w:shd w:fill="FFFFFF" w:val="clear"/>
          <w:rtl w:val="true"/>
        </w:rPr>
        <w:t>וכפי שנזדמן לי לומר במקרה אחר</w:t>
      </w:r>
      <w:r>
        <w:rPr>
          <w:rFonts w:cs="Century" w:ascii="Century" w:hAnsi="Century"/>
          <w:shd w:fill="FFFFFF" w:val="clear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רק שהנאשם חדל באי מתן הסבר כדי להדוף מעליו את הראיות הנסיבתיות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ששתיקתו מהווה ראיה נוספת המצטברת למסת הראיות הנסיבתיות שפורטה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כביכול קמה השתיקה על רגליה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ועברה משולחן הסניגוריה אל שולחן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ומשם מצטרפת לראיות הנסיבתיות האחרות ושולחת אף היא אצבע מאשימה כלפי הנאשם</w:t>
      </w:r>
      <w:r>
        <w:rPr>
          <w:rFonts w:cs="Century" w:ascii="Century" w:hAnsi="Century"/>
          <w:rtl w:val="true"/>
        </w:rPr>
        <w:t>" (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חיפה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u w:val="single"/>
          </w:rPr>
          <w:t>472/02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תאפל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9.3.2004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</w:rPr>
        <w:t>19</w:t>
      </w:r>
      <w:r>
        <w:rPr>
          <w:rFonts w:cs="Century" w:ascii="Century" w:hAnsi="Century"/>
          <w:shd w:fill="FFFFFF" w:val="clear"/>
          <w:rtl w:val="true"/>
        </w:rPr>
        <w:t>.</w:t>
        <w:tab/>
      </w:r>
      <w:r>
        <w:rPr>
          <w:rFonts w:ascii="Century" w:hAnsi="Century" w:cs="Century"/>
          <w:shd w:fill="FFFFFF" w:val="clear"/>
          <w:rtl w:val="true"/>
        </w:rPr>
        <w:t>ערעורו של בן דוד נסב כאמור על היסוד הנפשי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ומשכך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לא ארחיב על יסודות העבירה</w:t>
      </w:r>
      <w:r>
        <w:rPr>
          <w:rFonts w:cs="Century" w:ascii="Century" w:hAnsi="Century"/>
          <w:shd w:fill="FFFFFF" w:val="clear"/>
          <w:rtl w:val="true"/>
        </w:rPr>
        <w:t xml:space="preserve">. </w:t>
      </w:r>
      <w:r>
        <w:rPr>
          <w:rFonts w:ascii="Century" w:hAnsi="Century" w:cs="Century"/>
          <w:shd w:fill="FFFFFF" w:val="clear"/>
          <w:rtl w:val="true"/>
        </w:rPr>
        <w:t>אומר בקצרה כי משהוכחה כוונת הקטילה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כל שנותר לבן דוד הוא ללחוץ על כפתור השלט לאחר שמוסא ייכנס לרכבו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כך שהיה כפסע בינו לבין השלמת העבירה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 xml:space="preserve">מרחק רב לאחר השלמת שלב </w:t>
      </w:r>
      <w:r>
        <w:rPr>
          <w:rFonts w:cs="Century" w:ascii="Century" w:hAnsi="Century"/>
          <w:shd w:fill="FFFFFF" w:val="clear"/>
          <w:rtl w:val="true"/>
        </w:rPr>
        <w:t>"</w:t>
      </w:r>
      <w:r>
        <w:rPr>
          <w:rFonts w:ascii="Century" w:hAnsi="Century" w:cs="Century"/>
          <w:shd w:fill="FFFFFF" w:val="clear"/>
          <w:rtl w:val="true"/>
        </w:rPr>
        <w:t>ההכנה</w:t>
      </w:r>
      <w:r>
        <w:rPr>
          <w:rFonts w:cs="Century" w:ascii="Century" w:hAnsi="Century"/>
          <w:shd w:fill="FFFFFF" w:val="clear"/>
          <w:rtl w:val="true"/>
        </w:rPr>
        <w:t xml:space="preserve">" </w:t>
      </w:r>
      <w:r>
        <w:rPr>
          <w:rFonts w:ascii="Century" w:hAnsi="Century" w:cs="Century"/>
          <w:shd w:fill="FFFFFF" w:val="clear"/>
          <w:rtl w:val="true"/>
        </w:rPr>
        <w:t>ועמוק בתוך מתחם הניסיון</w:t>
      </w:r>
      <w:r>
        <w:rPr>
          <w:rFonts w:cs="Century" w:ascii="Century" w:hAnsi="Century"/>
          <w:shd w:fill="FFFFFF" w:val="clear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  <w:tab/>
      </w:r>
      <w:r>
        <w:rPr>
          <w:rFonts w:ascii="Century" w:hAnsi="Century" w:cs="Century"/>
          <w:shd w:fill="FFFFFF" w:val="clear"/>
          <w:rtl w:val="true"/>
        </w:rPr>
        <w:t>אמליץ אפוא לחבריי לדחות את ערעורו של בן דוד</w:t>
      </w:r>
      <w:r>
        <w:rPr>
          <w:rFonts w:cs="Century" w:ascii="Century" w:hAnsi="Century"/>
          <w:shd w:fill="FFFFFF" w:val="clear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</w:rPr>
        <w:t>21</w:t>
      </w:r>
      <w:r>
        <w:rPr>
          <w:rFonts w:cs="Century" w:ascii="Century" w:hAnsi="Century"/>
          <w:shd w:fill="FFFFFF" w:val="clear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הדין</w:t>
      </w:r>
      <w:r>
        <w:rPr>
          <w:rFonts w:cs="Century" w:ascii="Century" w:hAnsi="Century"/>
          <w:shd w:fill="FFFFFF" w:val="clear"/>
          <w:rtl w:val="true"/>
        </w:rPr>
        <w:t xml:space="preserve">: </w:t>
      </w:r>
      <w:r>
        <w:rPr>
          <w:rFonts w:ascii="Century" w:hAnsi="Century" w:cs="Century"/>
          <w:shd w:fill="FFFFFF" w:val="clear"/>
          <w:rtl w:val="true"/>
        </w:rPr>
        <w:t xml:space="preserve">עונש כבד של </w:t>
      </w:r>
      <w:r>
        <w:rPr>
          <w:rFonts w:cs="Century" w:ascii="Century" w:hAnsi="Century"/>
          <w:shd w:fill="FFFFFF" w:val="clear"/>
        </w:rPr>
        <w:t>15</w:t>
      </w:r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ascii="Century" w:hAnsi="Century" w:cs="Century"/>
          <w:shd w:fill="FFFFFF" w:val="clear"/>
          <w:rtl w:val="true"/>
        </w:rPr>
        <w:t>שנות מאסר נגזר על בן דוד ומכאן ערעורו על חומרת העונש</w:t>
      </w:r>
      <w:r>
        <w:rPr>
          <w:rFonts w:cs="Century" w:ascii="Century" w:hAnsi="Century"/>
          <w:shd w:fill="FFFFFF" w:val="clear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  <w:tab/>
      </w:r>
      <w:r>
        <w:rPr>
          <w:rFonts w:ascii="Century" w:hAnsi="Century" w:cs="Century"/>
          <w:shd w:fill="FFFFFF" w:val="clear"/>
          <w:rtl w:val="true"/>
        </w:rPr>
        <w:t>נטען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בין היתר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לנסיבות אישיות הקשורות במשפחתו של בן דוד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ואשר לא יפורטו מחמת צנעת הפרט</w:t>
      </w:r>
      <w:r>
        <w:rPr>
          <w:rFonts w:cs="Century" w:ascii="Century" w:hAnsi="Century"/>
          <w:shd w:fill="FFFFFF" w:val="clear"/>
          <w:rtl w:val="true"/>
        </w:rPr>
        <w:t xml:space="preserve">; </w:t>
      </w:r>
      <w:r>
        <w:rPr>
          <w:rFonts w:ascii="Century" w:hAnsi="Century" w:cs="Century"/>
          <w:shd w:fill="FFFFFF" w:val="clear"/>
          <w:rtl w:val="true"/>
        </w:rPr>
        <w:t>ל</w:t>
      </w:r>
      <w:r>
        <w:rPr>
          <w:rFonts w:cs="Century" w:ascii="Century" w:hAnsi="Century"/>
          <w:shd w:fill="FFFFFF" w:val="clear"/>
          <w:rtl w:val="true"/>
        </w:rPr>
        <w:t>(</w:t>
      </w:r>
      <w:r>
        <w:rPr>
          <w:rFonts w:ascii="Century" w:hAnsi="Century" w:cs="Century"/>
          <w:shd w:fill="FFFFFF" w:val="clear"/>
          <w:rtl w:val="true"/>
        </w:rPr>
        <w:t>כמעט</w:t>
      </w:r>
      <w:r>
        <w:rPr>
          <w:rFonts w:cs="Century" w:ascii="Century" w:hAnsi="Century"/>
          <w:shd w:fill="FFFFFF" w:val="clear"/>
          <w:rtl w:val="true"/>
        </w:rPr>
        <w:t xml:space="preserve">) </w:t>
      </w:r>
      <w:r>
        <w:rPr>
          <w:rFonts w:ascii="Century" w:hAnsi="Century" w:cs="Century"/>
          <w:shd w:fill="FFFFFF" w:val="clear"/>
          <w:rtl w:val="true"/>
        </w:rPr>
        <w:t>היעדר עבר פלילי</w:t>
      </w:r>
      <w:r>
        <w:rPr>
          <w:rFonts w:cs="Century" w:ascii="Century" w:hAnsi="Century"/>
          <w:shd w:fill="FFFFFF" w:val="clear"/>
          <w:rtl w:val="true"/>
        </w:rPr>
        <w:t xml:space="preserve">; </w:t>
      </w:r>
      <w:r>
        <w:rPr>
          <w:rFonts w:ascii="Century" w:hAnsi="Century" w:cs="Century"/>
          <w:shd w:fill="FFFFFF" w:val="clear"/>
          <w:rtl w:val="true"/>
        </w:rPr>
        <w:t>ולהתנהגותו המופתית בכלא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 xml:space="preserve">שם הוא פועל לטובת הכלל </w:t>
      </w:r>
      <w:r>
        <w:rPr>
          <w:rFonts w:ascii="Times New Roman" w:hAnsi="Times New Roman" w:cs="Times New Roman"/>
          <w:shd w:fill="FFFFFF" w:val="clear"/>
          <w:rtl w:val="true"/>
        </w:rPr>
        <w:t>–</w:t>
      </w:r>
      <w:r>
        <w:rPr>
          <w:rFonts w:ascii="Century" w:hAnsi="Century" w:cs="Century"/>
          <w:shd w:fill="FFFFFF" w:val="clear"/>
          <w:rtl w:val="true"/>
        </w:rPr>
        <w:t xml:space="preserve"> החל מבניית בית כנסת וכלה בבניית חדר כושר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 xml:space="preserve">ועוד עבודות כפיים רבות בהן הוא מנצל את כשרונו ואת </w:t>
      </w:r>
      <w:r>
        <w:rPr>
          <w:rFonts w:cs="Century" w:ascii="Century" w:hAnsi="Century"/>
          <w:shd w:fill="FFFFFF" w:val="clear"/>
          <w:rtl w:val="true"/>
        </w:rPr>
        <w:t>"</w:t>
      </w:r>
      <w:r>
        <w:rPr>
          <w:rFonts w:ascii="Century" w:hAnsi="Century" w:cs="Century"/>
          <w:shd w:fill="FFFFFF" w:val="clear"/>
          <w:rtl w:val="true"/>
        </w:rPr>
        <w:t>ידי הזהב</w:t>
      </w:r>
      <w:r>
        <w:rPr>
          <w:rFonts w:cs="Century" w:ascii="Century" w:hAnsi="Century"/>
          <w:shd w:fill="FFFFFF" w:val="clear"/>
          <w:rtl w:val="true"/>
        </w:rPr>
        <w:t xml:space="preserve">" </w:t>
      </w:r>
      <w:r>
        <w:rPr>
          <w:rFonts w:ascii="Century" w:hAnsi="Century" w:cs="Century"/>
          <w:shd w:fill="FFFFFF" w:val="clear"/>
          <w:rtl w:val="true"/>
        </w:rPr>
        <w:t>שניחן בהן</w:t>
      </w:r>
      <w:r>
        <w:rPr>
          <w:rFonts w:cs="Century" w:ascii="Century" w:hAnsi="Century"/>
          <w:shd w:fill="FFFFFF" w:val="clear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</w:rPr>
        <w:t>22</w:t>
      </w:r>
      <w:r>
        <w:rPr>
          <w:rFonts w:cs="Century" w:ascii="Century" w:hAnsi="Century"/>
          <w:shd w:fill="FFFFFF" w:val="clear"/>
          <w:rtl w:val="true"/>
        </w:rPr>
        <w:t>.</w:t>
        <w:tab/>
      </w:r>
      <w:r>
        <w:rPr>
          <w:rFonts w:ascii="Century" w:hAnsi="Century" w:cs="Century"/>
          <w:shd w:fill="FFFFFF" w:val="clear"/>
          <w:rtl w:val="true"/>
        </w:rPr>
        <w:t>דין הערעור להידחות</w:t>
      </w:r>
      <w:r>
        <w:rPr>
          <w:rFonts w:cs="Century" w:ascii="Century" w:hAnsi="Century"/>
          <w:shd w:fill="FFFFFF" w:val="clear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  <w:tab/>
      </w:r>
      <w:r>
        <w:rPr>
          <w:rFonts w:ascii="Century" w:hAnsi="Century" w:cs="Century"/>
          <w:rtl w:val="true"/>
        </w:rPr>
        <w:t>אקדים ואומר כי עברו הפלילי של בן דוד אינו כה מינורי כפי שנטען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שאין מדובר בעבר פלילי מהשנים האחרונות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בן דוד הורשע מספר פעמים במהלך השנים </w:t>
      </w:r>
      <w:r>
        <w:rPr>
          <w:rFonts w:cs="Century" w:ascii="Century" w:hAnsi="Century"/>
        </w:rPr>
        <w:t>2007-2002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בשורה ארוכה של עבירות רכוש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בעבירות של שבל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גניבת 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גניבה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התפרצות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בגינן נדון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2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shd w:fill="FFFFFF" w:val="clear"/>
          <w:rtl w:val="true"/>
        </w:rPr>
        <w:tab/>
      </w:r>
      <w:r>
        <w:rPr>
          <w:rFonts w:ascii="Century" w:hAnsi="Century" w:cs="Century"/>
          <w:shd w:fill="FFFFFF" w:val="clear"/>
          <w:rtl w:val="true"/>
        </w:rPr>
        <w:t>בתיקים שלפנינו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בן דוד הורשע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בין היתר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 xml:space="preserve">בארבע עבירות של </w:t>
      </w:r>
      <w:r>
        <w:rPr>
          <w:rFonts w:ascii="Century" w:hAnsi="Century" w:cs="Century"/>
          <w:shd w:fill="FFFFFF" w:val="clear"/>
          <w:rtl w:val="true"/>
        </w:rPr>
        <w:t xml:space="preserve">ניסיון להרוס נכס בחומר נפיץ לפי </w:t>
      </w:r>
      <w:hyperlink r:id="rId46">
        <w:r>
          <w:rPr>
            <w:rStyle w:val="Hyperlink"/>
            <w:rFonts w:ascii="Century" w:hAnsi="Century" w:cs="Century"/>
            <w:shd w:fill="FFFFFF" w:val="clear"/>
            <w:rtl w:val="true"/>
          </w:rPr>
          <w:t>סעיף</w:t>
        </w:r>
        <w:r>
          <w:rPr>
            <w:rStyle w:val="Hyperlink"/>
            <w:rFonts w:ascii="Century" w:hAnsi="Century" w:cs="Century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hd w:fill="FFFFFF" w:val="clear"/>
          </w:rPr>
          <w:t>456</w:t>
        </w:r>
      </w:hyperlink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ascii="Century" w:hAnsi="Century" w:cs="Century"/>
          <w:shd w:fill="FFFFFF" w:val="clear"/>
          <w:rtl w:val="true"/>
        </w:rPr>
        <w:t>ל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העונשין</w:t>
        </w:r>
      </w:hyperlink>
      <w:r>
        <w:rPr>
          <w:rFonts w:ascii="Century" w:hAnsi="Century" w:cs="Century"/>
          <w:shd w:fill="FFFFFF" w:val="clear"/>
          <w:rtl w:val="true"/>
        </w:rPr>
        <w:t xml:space="preserve"> הקובע כלהלן</w:t>
      </w:r>
      <w:r>
        <w:rPr>
          <w:rFonts w:cs="Century" w:ascii="Century" w:hAnsi="Century"/>
          <w:shd w:fill="FFFFFF" w:val="clear"/>
          <w:rtl w:val="true"/>
        </w:rPr>
        <w:t>: "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מניח שלא כדין חומר נפיץ במקום כלשהו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בכוונה להרוס נכס או להזיק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דינו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חמש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לא בכדי קבע המחוקק עונש כה חמור לצד עבירה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הפוטנציאל הקטלני הכרוך 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 בהתעלם מהעבירה של ניסיון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ההרשעה בעבירות הרבות שבארבעת האישומים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החזקת דירת אמל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והעדר מניע והיכרות קודמת בין בן דוד לבין קרבנותיו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כל אלה מעידים כי לפנינו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קבלן ביצוע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ברמה גבוהה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לשם ייצור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הכנה והנחה של מטעני חבלה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בן דוד הורשע בשורה של עבירות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שכל אחת מהן חמורה 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אחת מהן מצדיקה עונש כבד 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 אחד מהאישומים יש פוטנציאל לפגיעה חמורה באדם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לפגיעה בשלום הציבור ובתחושת הביטחון האישי של הציבור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רוצה לומר כי גם ללא העבירה של ניסיון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העונש של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אינו מצדיק התערבות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אחת כמה וכמה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 הטוב הזה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נוספת גם עבירה של ניסיון 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אמליץ לחבריי לדחות גם את הערעור על חומרת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ד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מינץ</w:t>
      </w:r>
      <w:r>
        <w:rPr>
          <w:rFonts w:cs="Miriam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לפיה דין ערעורו של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1969/22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אבישי בן דוד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להידחות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מוסא</w:t>
      </w:r>
      <w:r>
        <w:rPr>
          <w:rtl w:val="true"/>
        </w:rPr>
        <w:t xml:space="preserve">). </w:t>
      </w:r>
      <w:r>
        <w:rPr>
          <w:rtl w:val="true"/>
        </w:rPr>
        <w:t>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לנבכי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מחשבתו</w:t>
      </w:r>
      <w:r>
        <w:rPr>
          <w:rtl w:val="true"/>
        </w:rPr>
        <w:t xml:space="preserve">, </w:t>
      </w:r>
      <w:r>
        <w:rPr>
          <w:rtl w:val="true"/>
        </w:rPr>
        <w:t>מודעותו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דנקנר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21-20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דנקנר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7473/20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מחאמיד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29.6.2021</w:t>
      </w:r>
      <w:r>
        <w:rPr>
          <w:rtl w:val="true"/>
        </w:rPr>
        <w:t xml:space="preserve">);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סעיד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22.7.2013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טיב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ואיכות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צינור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ומאולתרים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/>
        <w:t>307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העטופה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327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מרסק</w:t>
      </w:r>
      <w:r>
        <w:rPr>
          <w:rtl w:val="true"/>
        </w:rPr>
        <w:t xml:space="preserve">); </w:t>
      </w:r>
      <w:r>
        <w:rPr>
          <w:rFonts w:cs="Miriam"/>
          <w:b/>
          <w:b/>
          <w:spacing w:val="0"/>
          <w:szCs w:val="24"/>
          <w:rtl w:val="true"/>
        </w:rPr>
        <w:t>מיקום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הנחת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) </w:t>
      </w:r>
      <w:r>
        <w:rPr>
          <w:rtl w:val="true"/>
        </w:rPr>
        <w:t>ובחומת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); </w:t>
      </w:r>
      <w:r>
        <w:rPr>
          <w:rFonts w:cs="Miriam"/>
          <w:b/>
          <w:b/>
          <w:spacing w:val="0"/>
          <w:szCs w:val="24"/>
          <w:rtl w:val="true"/>
        </w:rPr>
        <w:t>ההזדמנויות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נוצלו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cs="Miriam"/>
          <w:b/>
          <w:b/>
          <w:spacing w:val="0"/>
          <w:szCs w:val="24"/>
          <w:rtl w:val="true"/>
        </w:rPr>
        <w:t>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"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כשר</w:t>
      </w:r>
      <w:r>
        <w:rPr>
          <w:rFonts w:cs="Miriam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rFonts w:eastAsia="Century" w:cs="Century" w:ascii="Century" w:hAnsi="Century"/>
                <w:rtl w:val="true"/>
              </w:rPr>
              <w:t xml:space="preserve">   </w:t>
            </w:r>
          </w:p>
        </w:tc>
        <w:tc>
          <w:tcPr>
            <w:tcW w:w="2769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</w:r>
    </w:p>
    <w:p>
      <w:pPr>
        <w:pStyle w:val="Ruller42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ד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מינץ</w:t>
      </w:r>
      <w:r>
        <w:rPr>
          <w:rFonts w:cs="Miriam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הררי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u w:val="single"/>
        </w:rPr>
        <w:t>2228/22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)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הרביעי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האזנות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בשבועיים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העיקוב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המלמדים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שקיימו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פעילויות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בעסקו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התקשורת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עיסוק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משהוצג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מפריכות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תפיסת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אבטחה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תפיסת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רשימת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לקוחותיו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לקיפוח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התמקדו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הקושרת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כלשהן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באשמתו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בהתבסס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בררנית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נכללה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שלחלקם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נסיבתיות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נבדלות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מוכיח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במישרין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מוכיחות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המשמש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5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2050/21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אלהואשלה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54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16.5.2023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אלהואשלה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5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6392/13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96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21.1.2015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נופל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מכוחן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בפלילים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5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8957/21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קרא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22.5.2023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קרא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דנקנר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הנדל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תתאפשר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המתיישבת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5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3965/22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טל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30.3.2023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5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8328/17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ג</w:t>
      </w:r>
      <w:r>
        <w:rPr>
          <w:rFonts w:cs="Miriam" w:ascii="Century" w:hAnsi="Century"/>
          <w:b/>
          <w:sz w:val="24"/>
          <w:rtl w:val="true"/>
        </w:rPr>
        <w:t>'</w:t>
      </w:r>
      <w:r>
        <w:rPr>
          <w:rFonts w:ascii="Century" w:hAnsi="Century" w:cs="Miriam"/>
          <w:b/>
          <w:b/>
          <w:sz w:val="24"/>
          <w:sz w:val="24"/>
          <w:rtl w:val="true"/>
        </w:rPr>
        <w:t>בר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28.7.2019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5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4354/08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רבינוביץ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22.4.2010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רבינוביץ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המרשיעה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והיחידה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ולשלול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תרחיש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חלופי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תרחיש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חלופי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תאורטית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רבינוביץ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גרוניס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5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728/84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חרמון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617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632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1987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5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3372/11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175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10.11.2011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5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8030/21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זיינב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43-42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25.12.2022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6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1464/21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קפוסטין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11.9.2022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שהונחו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מובילה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הנחתו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לערוך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מדוקדק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שהונח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ולוּ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ההדגמה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ארגזים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במוצגים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לאופיין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וטיבן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הנלמדות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למעורבותו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הסוגיות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במחלוקת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שלעניות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מופרז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שחשיבותו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הרלוונטיים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והשפע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בהרצליה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החנות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משלוחים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ללקוחותיה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עיסוק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שנשמעו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ובכללן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(-)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הודעתו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במשטרה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החשבון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משכורותיהם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מזכירתו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48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משיחותיהם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הוזכר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כגורם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משכורתו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eastAsia="Garamond" w:cs="Garamond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(-) </w:t>
      </w:r>
      <w:r>
        <w:rPr>
          <w:rFonts w:ascii="Century" w:hAnsi="Century" w:cs="Miriam"/>
          <w:b/>
          <w:b/>
          <w:sz w:val="24"/>
          <w:sz w:val="24"/>
          <w:rtl w:val="true"/>
        </w:rPr>
        <w:t>עדותו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של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עובד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החנות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דרור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סימן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טוב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דרור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עבדו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עוזיאל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בוכריס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עוזי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משלוחים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הבוקר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קיילה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מוגו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שעבדה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בימי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שישי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ואדם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שכּוּנה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אופניים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משלוחים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הצהרים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לעזור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להררי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עוזב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מבצע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משלוח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מהחנות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אולי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עוזי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הבוקר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מביא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תותים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4"/>
          <w:szCs w:val="28"/>
        </w:rPr>
        <w:t>315-304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);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(-) </w:t>
      </w:r>
      <w:r>
        <w:rPr>
          <w:rFonts w:ascii="Century" w:hAnsi="Century" w:cs="Miriam"/>
          <w:b/>
          <w:b/>
          <w:sz w:val="24"/>
          <w:sz w:val="24"/>
          <w:rtl w:val="true"/>
        </w:rPr>
        <w:t>הודעותיו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במשטרה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של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עוזי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hyperlink r:id="rId61">
        <w:r>
          <w:rPr>
            <w:rStyle w:val="Hyperlink"/>
            <w:rFonts w:ascii="Century" w:hAnsi="Century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4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 w:val="24"/>
            <w:sz w:val="24"/>
            <w:szCs w:val="28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</w:t>
      </w:r>
      <w:hyperlink r:id="rId62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4"/>
          <w:szCs w:val="28"/>
        </w:rPr>
        <w:t>1971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שהוכרז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עוין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הכחשת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דוכן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חלוקת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העבודה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דרור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ודרור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העובדים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הקבועים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היחידים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בשביל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לפגוש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לדעתו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עוזי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חייל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גובֶה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כשבועיים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מישהו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שואל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4"/>
          <w:szCs w:val="28"/>
        </w:rPr>
        <w:t>104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4"/>
          <w:szCs w:val="28"/>
        </w:rPr>
        <w:t>104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4"/>
          <w:szCs w:val="28"/>
        </w:rPr>
        <w:t>104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);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(-)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העיקוב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המצביעים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117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117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125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132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);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(-)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87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1933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ופעילותה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התמצתה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רעיונות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הבשילו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2145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נסמכת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במסקנתו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ובכללם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וכדבריו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האמנתי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כבושה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וכחנית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ולעומתית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42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אמצעית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שנשמעה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6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2455/21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ישראל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נ</w:t>
      </w:r>
      <w:r>
        <w:rPr>
          <w:rFonts w:cs="Miriam" w:ascii="Garamond" w:hAnsi="Garamond"/>
          <w:b/>
          <w:sz w:val="24"/>
          <w:rtl w:val="true"/>
        </w:rPr>
        <w:t xml:space="preserve">' </w:t>
      </w:r>
      <w:r>
        <w:rPr>
          <w:rFonts w:ascii="Garamond" w:hAnsi="Garamond" w:cs="Miriam"/>
          <w:b/>
          <w:b/>
          <w:sz w:val="24"/>
          <w:sz w:val="24"/>
          <w:rtl w:val="true"/>
        </w:rPr>
        <w:t>ברמלי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א</w:t>
      </w:r>
      <w:r>
        <w:rPr>
          <w:rFonts w:cs="Miriam" w:ascii="Garamond" w:hAnsi="Garamond"/>
          <w:b/>
          <w:sz w:val="24"/>
          <w:rtl w:val="true"/>
        </w:rPr>
        <w:t xml:space="preserve">' </w:t>
      </w:r>
      <w:r>
        <w:rPr>
          <w:rFonts w:ascii="Garamond" w:hAnsi="Garamond" w:cs="Miriam"/>
          <w:b/>
          <w:b/>
          <w:sz w:val="24"/>
          <w:sz w:val="24"/>
          <w:rtl w:val="true"/>
        </w:rPr>
        <w:t>שטיין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6.7.2023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קרא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6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6277/20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24.3.2021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הוכרז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6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10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6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ונטועה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שנשמעו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6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5268/17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שוויש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81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16.2.2022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8140/11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</w:rPr>
        <w:t>33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3.9.2015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לעדויותיהם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להיבנות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בפרוטוקולי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פנימיות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בתדירות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יומיומית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מחלוקת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מוגדר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תפקידו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גובֶה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317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לפרוטוקול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מוגו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משלוחים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שברגיל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ושידיעותיה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ההתנהלות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2210-2205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לפרוטוקול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סמוכה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משלוחים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חלוקת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מחלוקת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שגויה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מתרחש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2183-2182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לפרוטוקול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ראובי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מחסן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ירקות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לרכוש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בליווי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בוודאות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2160-2158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לפרוטוקול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שהתקיימו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שוחחו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מעמיק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6.2.2017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משכורתו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373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704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משכורתו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מדווחת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בערוצים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רשמיים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במזומן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1949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לפרוטוקול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סגירה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393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704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סגירות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32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נצפה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בסביבות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19:00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125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נסגרה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בסביבות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21:00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274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304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לפרוטוקול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להיתלות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כעובד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כשליח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לגיטימיים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הנסמכת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מבססת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בפעילותו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העבריינית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בשבועיים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משתקפת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מהמארג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שהונח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שופכת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העיקריות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המלמדות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ופועלם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בשבועיים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שהונחו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האזנות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לשיחותיהם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שיחותיהם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מלשוחח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והעדיפו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דוגמה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306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307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393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485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679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690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704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688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694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1374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1513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1827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703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שוחחו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שלישיים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הקפידו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מלהזכיר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להבהיר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הבחורה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הזאתי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..."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679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704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);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עכשיו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מפתח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תקווה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..."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379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704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);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..."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1432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703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המאמצים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הושקעו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הטלפוניות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בפגישותיהם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הקפידו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להשאיר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הסלולריים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ולצאת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לשוחח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287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294-293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309-308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לפרוטוקול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ובפגישותיהם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מגבשת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הנדונים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מצרפים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העיקוב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נוצרת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השבועיים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העברייני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שילובן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תקשורת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אינטנסיבית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בשבועיים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לביקורים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ולתצפיות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אצטדיון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הכדורגל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ששימש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קבוצתו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האצטדיון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לכסות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בתמצית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בהרחבה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(-)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1.2.2017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נצפה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10:10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לאצטדיון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117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117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(-)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2.2.2017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שוחחו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טלפונית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הצהריים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המוקדמות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מוזכרת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כשעתיים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1972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688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69</w:t>
      </w: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696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703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(-)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ביומיים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השבוע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הטלפונית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התמצתה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מתועדות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3.2.2017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והציע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לשבת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336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704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והשנייה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4.2.2017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לוודא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לעבודה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מהעבודה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בשבילו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343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704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ספק;Times New Roman"/>
          <w:spacing w:val="10"/>
          <w:sz w:val="22"/>
          <w:szCs w:val="28"/>
        </w:rPr>
      </w:pPr>
      <w:r>
        <w:rPr>
          <w:rFonts w:cs="ספק;Times New Roman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(-)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5.2.2017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טלפונית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8:00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בבוקר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התותים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בשטח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?"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9:10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10:20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מתצפת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האצטדיון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כשלוחית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117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11:50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ומשוחחים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לסירוגין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117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סלולריות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256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362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(-)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393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כשעתיים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התותים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פנחס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125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125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האצטדיון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הקדמית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117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117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לאצטדיון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ובכיסוי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מתצפת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המגרש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117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125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117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117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האוטו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וחיכיתי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(-)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תותים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9:15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בהרצליה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באינטרנט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הכדורגל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178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האצטדיון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342-341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(-)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האצטדיון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התעניינות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וגוברת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1243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1327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1462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1582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להתעניינות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ומגוונים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?"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תתחזק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אתמול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מתקדמים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לוחצים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תדאג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מעכשיו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(-)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התצפיות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יאסוף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לרעננה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10:15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ורעננה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13:40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ומתצפת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131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599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131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16:50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131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תצלומים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129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129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131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17:50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המשלוח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679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לאצטדיון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131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התפתחויות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תדאג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שצריך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20:20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התפצלו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131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(-)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17.2.2017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הבוקר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נתפס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לרכבו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שהונחו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בשבועיים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תצפיות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אצטדיון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הכדורגל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התאמנה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קבוצתו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לתצפיות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שוחח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טלפוני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בפגישות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ובפגישות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ולהימנע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מלחשוף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שוחחו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נשמעו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משוחחים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לגיטימיים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לכאורה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לחלוטין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שעניינן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בקידום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משלוחים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תותים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סחורה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משלוחים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שנזכר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שמפעיל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העבודה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משאית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אוטו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שנערכו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לתצפיותיו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ולהפסקות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סלולריות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סגירת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מהמארג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בשיחותיהם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תחליף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לתרחיש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המרשיע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במוסא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הכרחית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בפלילים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במארג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המוצק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6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3834/20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קלפון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29.7.2021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7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4656/03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מירופולסקי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1.12.2004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שרצו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במוסא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בהרחבה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שקדמה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להנחת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להפלילו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טבען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מוכיחות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במשקלן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והצטרפותן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למארג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הלוגית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7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1081/14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צעלוק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53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18.12.2016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7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9020/14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מזרחי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9.7.2015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אלהואשלה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המפורטות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הצטברות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הקריטית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הנחוצה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המיוחסת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ולהפריכה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ובצדק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המהוות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המוכיחות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73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85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7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משולב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1982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7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5955/22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אלוביץ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56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13.7.2023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התצפיות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וההכנה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ובהנחייתו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המוכיחות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האינטנסיבית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ובכללן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צריכות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בהיבט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נרחב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בסיכומיה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בסיכומים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טקסט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שנשלחה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הטקסט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במעורבותו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הטקסט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בסיכומיו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נזכרה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טקסט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הטרוניה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הוזכרה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לזיכויו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להוכחת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המקפח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והיורד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לשורשו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7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8199/20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זיאדאת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30.4.2023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7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1682/22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11.9.2022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להיבנות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רשימה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מוגבלת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ומצומצמת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מחדלים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שעיקרם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נקיטת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להפליל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hyperlink r:id="rId7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9306/20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ברגות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29.4.2021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ההדגשה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שלפנינו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ומקיפה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במחדלים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תפיסת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האצטדיון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לקפח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באשמתו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ולבסוף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בררנית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והורשע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שיכולה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בררנית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שמתשובת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לרשותה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ההבחנה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7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6322/20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רחאל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43-42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18.9.2022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8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8204/14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24-23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15.4.2015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הרביעי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במצטבר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ופיצויים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למוסא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תואמת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והמינורי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במשפחתו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במצטבר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בחופף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לעקרון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ועקרון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בחמישה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hyperlink r:id="rId8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1977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העוסקת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בהחמרת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דוגמת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להסתפק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שריצה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ולבטל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הפיצויים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נפיץ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החמורות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לנקוט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שתבטא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סלידתה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העמוקה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8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7039/21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מריאם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5.7.2023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8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3879/21</w:t>
        </w:r>
      </w:hyperlink>
      <w:r>
        <w:rPr>
          <w:rFonts w:cs="FrankRuehl" w:ascii="Garamond" w:hAnsi="Garamond"/>
          <w:spacing w:val="10"/>
          <w:sz w:val="24"/>
          <w:szCs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סלומון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10.8.2022</w:t>
      </w:r>
      <w:r>
        <w:rPr>
          <w:rFonts w:cs="FrankRuehl" w:ascii="Garamond" w:hAnsi="Garamond"/>
          <w:spacing w:val="10"/>
          <w:sz w:val="24"/>
          <w:szCs w:val="22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8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7049/20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אלטורה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26.6.2022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הצריכים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ובכללן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המכביד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והתמשכות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מתקיימות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המצדיקות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התחתון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פוטנציאל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8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4071/23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12.7.2023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8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3867/23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שנקור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11.7.2023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להוסיף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לקביעתו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במצטבר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8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58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8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8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2471/21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ערישה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16.1.2022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spacing w:lineRule="auto" w:line="360"/>
              <w:ind w:end="0"/>
              <w:jc w:val="both"/>
              <w:rPr>
                <w:rFonts w:ascii="Arial TUR" w:hAnsi="Arial TUR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" w:hAnsi="Arial TUR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spacing w:lineRule="auto" w:line="360"/>
              <w:ind w:end="0"/>
              <w:jc w:val="center"/>
              <w:rPr>
                <w:rFonts w:ascii="Arial TUR" w:hAnsi="Arial TUR" w:cs="FrankRuehl"/>
                <w:spacing w:val="10"/>
                <w:sz w:val="22"/>
                <w:szCs w:val="28"/>
              </w:rPr>
            </w:pPr>
            <w:r>
              <w:rPr>
                <w:rFonts w:cs="FrankRuehl" w:ascii="Arial TUR" w:hAnsi="Arial TUR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עמית</w:t>
      </w:r>
      <w:r>
        <w:rPr>
          <w:rFonts w:cs="Miriam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כשר</w:t>
      </w:r>
      <w:r>
        <w:rPr>
          <w:rFonts w:cs="Miriam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לפיכך הוחלט פה אחד לדחות את שני הערעורים הן על הכרעת הדין והן על גזר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bookmarkStart w:id="15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8.8.2023</w:t>
      </w:r>
      <w:r>
        <w:rPr>
          <w:rFonts w:cs="Century" w:ascii="Century" w:hAnsi="Century"/>
          <w:rtl w:val="true"/>
        </w:rPr>
        <w:t xml:space="preserve">). </w:t>
      </w:r>
      <w:bookmarkEnd w:id="15"/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both"/>
              <w:rPr/>
            </w:pPr>
            <w:bookmarkStart w:id="16" w:name="Start_Write"/>
            <w:bookmarkEnd w:id="16"/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22019690</w:t>
      </w:r>
      <w:r>
        <w:rPr>
          <w:sz w:val="16"/>
          <w:rtl w:val="true"/>
        </w:rPr>
        <w:t>_</w:t>
      </w:r>
      <w:r>
        <w:rPr>
          <w:sz w:val="16"/>
        </w:rPr>
        <w:t>E17.docx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54678313-1969/22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92"/>
      <w:footerReference w:type="default" r:id="rId9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1969/22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אבישי בן דוד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David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spacing w:lineRule="auto" w:line="240"/>
      <w:textAlignment w:val="auto"/>
    </w:pPr>
    <w:rPr>
      <w:rFonts w:ascii="Garamond" w:hAnsi="Garamond" w:cs="David"/>
      <w:spacing w:val="0"/>
      <w:sz w:val="24"/>
      <w:szCs w:val="24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5373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58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/305" TargetMode="External"/><Relationship Id="rId12" Type="http://schemas.openxmlformats.org/officeDocument/2006/relationships/hyperlink" Target="http://www.nevo.co.il/law/70301/307" TargetMode="External"/><Relationship Id="rId13" Type="http://schemas.openxmlformats.org/officeDocument/2006/relationships/hyperlink" Target="http://www.nevo.co.il/law/70301/428" TargetMode="External"/><Relationship Id="rId14" Type="http://schemas.openxmlformats.org/officeDocument/2006/relationships/hyperlink" Target="http://www.nevo.co.il/law/70301/456" TargetMode="External"/><Relationship Id="rId15" Type="http://schemas.openxmlformats.org/officeDocument/2006/relationships/hyperlink" Target="http://www.nevo.co.il/law/70301/497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85" TargetMode="External"/><Relationship Id="rId19" Type="http://schemas.openxmlformats.org/officeDocument/2006/relationships/hyperlink" Target="http://www.nevo.co.il/law/74903/162" TargetMode="External"/><Relationship Id="rId20" Type="http://schemas.openxmlformats.org/officeDocument/2006/relationships/hyperlink" Target="http://www.nevo.co.il/law/98569" TargetMode="External"/><Relationship Id="rId21" Type="http://schemas.openxmlformats.org/officeDocument/2006/relationships/hyperlink" Target="http://www.nevo.co.il/law/98569/10a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/144.c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144.c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144.c" TargetMode="External"/><Relationship Id="rId30" Type="http://schemas.openxmlformats.org/officeDocument/2006/relationships/hyperlink" Target="http://www.nevo.co.il/law/70301/456" TargetMode="External"/><Relationship Id="rId31" Type="http://schemas.openxmlformats.org/officeDocument/2006/relationships/hyperlink" Target="http://www.nevo.co.il/law/70301/428" TargetMode="External"/><Relationship Id="rId32" Type="http://schemas.openxmlformats.org/officeDocument/2006/relationships/hyperlink" Target="http://www.nevo.co.il/law/70301/307" TargetMode="External"/><Relationship Id="rId33" Type="http://schemas.openxmlformats.org/officeDocument/2006/relationships/hyperlink" Target="http://www.nevo.co.il/law/70301/305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/497" TargetMode="External"/><Relationship Id="rId36" Type="http://schemas.openxmlformats.org/officeDocument/2006/relationships/hyperlink" Target="http://www.nevo.co.il/law/70301/144.b2" TargetMode="External"/><Relationship Id="rId37" Type="http://schemas.openxmlformats.org/officeDocument/2006/relationships/hyperlink" Target="http://www.nevo.co.il/law/70301/144.c" TargetMode="External"/><Relationship Id="rId38" Type="http://schemas.openxmlformats.org/officeDocument/2006/relationships/hyperlink" Target="http://www.nevo.co.il/law/70301/25" TargetMode="External"/><Relationship Id="rId39" Type="http://schemas.openxmlformats.org/officeDocument/2006/relationships/hyperlink" Target="http://www.nevo.co.il/law/70301/456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17937212" TargetMode="External"/><Relationship Id="rId42" Type="http://schemas.openxmlformats.org/officeDocument/2006/relationships/hyperlink" Target="http://www.nevo.co.il/case/6108060" TargetMode="External"/><Relationship Id="rId43" Type="http://schemas.openxmlformats.org/officeDocument/2006/relationships/hyperlink" Target="http://www.nevo.co.il/law/74903/162" TargetMode="External"/><Relationship Id="rId44" Type="http://schemas.openxmlformats.org/officeDocument/2006/relationships/hyperlink" Target="http://www.nevo.co.il/law/74903" TargetMode="External"/><Relationship Id="rId45" Type="http://schemas.openxmlformats.org/officeDocument/2006/relationships/hyperlink" Target="http://www.nevo.co.il/case/244246" TargetMode="External"/><Relationship Id="rId46" Type="http://schemas.openxmlformats.org/officeDocument/2006/relationships/hyperlink" Target="http://www.nevo.co.il/law/70301/456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2079573" TargetMode="External"/><Relationship Id="rId49" Type="http://schemas.openxmlformats.org/officeDocument/2006/relationships/hyperlink" Target="http://www.nevo.co.il/case/27115374" TargetMode="External"/><Relationship Id="rId50" Type="http://schemas.openxmlformats.org/officeDocument/2006/relationships/hyperlink" Target="http://www.nevo.co.il/case/5691461" TargetMode="External"/><Relationship Id="rId51" Type="http://schemas.openxmlformats.org/officeDocument/2006/relationships/hyperlink" Target="http://www.nevo.co.il/case/27494791" TargetMode="External"/><Relationship Id="rId52" Type="http://schemas.openxmlformats.org/officeDocument/2006/relationships/hyperlink" Target="http://www.nevo.co.il/case/8245382" TargetMode="External"/><Relationship Id="rId53" Type="http://schemas.openxmlformats.org/officeDocument/2006/relationships/hyperlink" Target="http://www.nevo.co.il/case/28210519" TargetMode="External"/><Relationship Id="rId54" Type="http://schemas.openxmlformats.org/officeDocument/2006/relationships/hyperlink" Target="http://www.nevo.co.il/case/28681495" TargetMode="External"/><Relationship Id="rId55" Type="http://schemas.openxmlformats.org/officeDocument/2006/relationships/hyperlink" Target="http://www.nevo.co.il/case/23354214" TargetMode="External"/><Relationship Id="rId56" Type="http://schemas.openxmlformats.org/officeDocument/2006/relationships/hyperlink" Target="http://www.nevo.co.il/case/5951969" TargetMode="External"/><Relationship Id="rId57" Type="http://schemas.openxmlformats.org/officeDocument/2006/relationships/hyperlink" Target="http://www.nevo.co.il/case/17930873" TargetMode="External"/><Relationship Id="rId58" Type="http://schemas.openxmlformats.org/officeDocument/2006/relationships/hyperlink" Target="http://www.nevo.co.il/case/5573732" TargetMode="External"/><Relationship Id="rId59" Type="http://schemas.openxmlformats.org/officeDocument/2006/relationships/hyperlink" Target="http://www.nevo.co.il/case/28116157" TargetMode="External"/><Relationship Id="rId60" Type="http://schemas.openxmlformats.org/officeDocument/2006/relationships/hyperlink" Target="http://www.nevo.co.il/case/27443208" TargetMode="External"/><Relationship Id="rId61" Type="http://schemas.openxmlformats.org/officeDocument/2006/relationships/hyperlink" Target="http://www.nevo.co.il/law/98569/10a" TargetMode="External"/><Relationship Id="rId62" Type="http://schemas.openxmlformats.org/officeDocument/2006/relationships/hyperlink" Target="http://www.nevo.co.il/law/98569" TargetMode="External"/><Relationship Id="rId63" Type="http://schemas.openxmlformats.org/officeDocument/2006/relationships/hyperlink" Target="http://www.nevo.co.il/case/27535026" TargetMode="External"/><Relationship Id="rId64" Type="http://schemas.openxmlformats.org/officeDocument/2006/relationships/hyperlink" Target="http://www.nevo.co.il/case/26986954" TargetMode="External"/><Relationship Id="rId65" Type="http://schemas.openxmlformats.org/officeDocument/2006/relationships/hyperlink" Target="http://www.nevo.co.il/law/98569/10a" TargetMode="External"/><Relationship Id="rId66" Type="http://schemas.openxmlformats.org/officeDocument/2006/relationships/hyperlink" Target="http://www.nevo.co.il/law/98569" TargetMode="External"/><Relationship Id="rId67" Type="http://schemas.openxmlformats.org/officeDocument/2006/relationships/hyperlink" Target="http://www.nevo.co.il/case/22793929" TargetMode="External"/><Relationship Id="rId68" Type="http://schemas.openxmlformats.org/officeDocument/2006/relationships/hyperlink" Target="http://www.nevo.co.il/case/5605886" TargetMode="External"/><Relationship Id="rId69" Type="http://schemas.openxmlformats.org/officeDocument/2006/relationships/hyperlink" Target="http://www.nevo.co.il/case/26751953" TargetMode="External"/><Relationship Id="rId70" Type="http://schemas.openxmlformats.org/officeDocument/2006/relationships/hyperlink" Target="http://www.nevo.co.il/case/5574106" TargetMode="External"/><Relationship Id="rId71" Type="http://schemas.openxmlformats.org/officeDocument/2006/relationships/hyperlink" Target="http://www.nevo.co.il/case/11303299" TargetMode="External"/><Relationship Id="rId72" Type="http://schemas.openxmlformats.org/officeDocument/2006/relationships/hyperlink" Target="http://www.nevo.co.il/case/18773882" TargetMode="External"/><Relationship Id="rId73" Type="http://schemas.openxmlformats.org/officeDocument/2006/relationships/hyperlink" Target="http://www.nevo.co.il/law/74903/85" TargetMode="External"/><Relationship Id="rId74" Type="http://schemas.openxmlformats.org/officeDocument/2006/relationships/hyperlink" Target="http://www.nevo.co.il/law/74903" TargetMode="External"/><Relationship Id="rId75" Type="http://schemas.openxmlformats.org/officeDocument/2006/relationships/hyperlink" Target="http://www.nevo.co.il/case/28920878" TargetMode="External"/><Relationship Id="rId76" Type="http://schemas.openxmlformats.org/officeDocument/2006/relationships/hyperlink" Target="http://www.nevo.co.il/case/27189912" TargetMode="External"/><Relationship Id="rId77" Type="http://schemas.openxmlformats.org/officeDocument/2006/relationships/hyperlink" Target="http://www.nevo.co.il/case/28384638" TargetMode="External"/><Relationship Id="rId78" Type="http://schemas.openxmlformats.org/officeDocument/2006/relationships/hyperlink" Target="http://www.nevo.co.il/case/27292055" TargetMode="External"/><Relationship Id="rId79" Type="http://schemas.openxmlformats.org/officeDocument/2006/relationships/hyperlink" Target="http://www.nevo.co.il/case/26991449" TargetMode="External"/><Relationship Id="rId80" Type="http://schemas.openxmlformats.org/officeDocument/2006/relationships/hyperlink" Target="http://www.nevo.co.il/case/20191648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case/27992372" TargetMode="External"/><Relationship Id="rId83" Type="http://schemas.openxmlformats.org/officeDocument/2006/relationships/hyperlink" Target="http://www.nevo.co.il/case/27672788" TargetMode="External"/><Relationship Id="rId84" Type="http://schemas.openxmlformats.org/officeDocument/2006/relationships/hyperlink" Target="http://www.nevo.co.il/case/27070289" TargetMode="External"/><Relationship Id="rId85" Type="http://schemas.openxmlformats.org/officeDocument/2006/relationships/hyperlink" Target="http://www.nevo.co.il/case/29700360" TargetMode="External"/><Relationship Id="rId86" Type="http://schemas.openxmlformats.org/officeDocument/2006/relationships/hyperlink" Target="http://www.nevo.co.il/case/29677356" TargetMode="External"/><Relationship Id="rId87" Type="http://schemas.openxmlformats.org/officeDocument/2006/relationships/hyperlink" Target="http://www.nevo.co.il/law/70301/58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case/27535102" TargetMode="External"/><Relationship Id="rId90" Type="http://schemas.openxmlformats.org/officeDocument/2006/relationships/hyperlink" Target="https://supreme.court.gov.il/" TargetMode="External"/><Relationship Id="rId91" Type="http://schemas.openxmlformats.org/officeDocument/2006/relationships/hyperlink" Target="http://www.nevo.co.il/advertisements/nevo-100.doc" TargetMode="External"/><Relationship Id="rId92" Type="http://schemas.openxmlformats.org/officeDocument/2006/relationships/header" Target="header1.xml"/><Relationship Id="rId93" Type="http://schemas.openxmlformats.org/officeDocument/2006/relationships/footer" Target="footer1.xml"/><Relationship Id="rId94" Type="http://schemas.openxmlformats.org/officeDocument/2006/relationships/numbering" Target="numbering.xml"/><Relationship Id="rId95" Type="http://schemas.openxmlformats.org/officeDocument/2006/relationships/fontTable" Target="fontTable.xml"/><Relationship Id="rId96" Type="http://schemas.openxmlformats.org/officeDocument/2006/relationships/settings" Target="settings.xml"/><Relationship Id="rId9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2023-08-14T10:12:00Z</dcterms:created>
  <dc:creator>h4</dc:creator>
  <dc:description/>
  <cp:keywords/>
  <dc:language>en-IL</dc:language>
  <cp:lastModifiedBy>h1</cp:lastModifiedBy>
  <cp:lastPrinted>2023-08-09T08:48:00Z</cp:lastPrinted>
  <dcterms:modified xsi:type="dcterms:W3CDTF">2023-08-14T10:12:00Z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אבישי בן דוד;אבנר הררי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22353733;17937212;6108060;244246;22079573;27115374;5691461;27494791;8245382;28210519;28681495;23354214;5951969;17930873;5573732;28116157;27443208;27535026;26986954;22793929;5605886;26751953;5574106;11303299;18773882;28920878;27189912;28384638;27292055</vt:lpwstr>
  </property>
  <property fmtid="{D5CDD505-2E9C-101B-9397-08002B2CF9AE}" pid="9" name="CASESLISTTMP2">
    <vt:lpwstr>26991449;20191648;27992372;27672788;27070289;29700360;29677356;27535102</vt:lpwstr>
  </property>
  <property fmtid="{D5CDD505-2E9C-101B-9397-08002B2CF9AE}" pid="10" name="CITY">
    <vt:lpwstr/>
  </property>
  <property fmtid="{D5CDD505-2E9C-101B-9397-08002B2CF9AE}" pid="11" name="DATE">
    <vt:lpwstr>20230808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עמית;ד' מינץ;י' כשר</vt:lpwstr>
  </property>
  <property fmtid="{D5CDD505-2E9C-101B-9397-08002B2CF9AE}" pid="15" name="LAWLISTTMP1">
    <vt:lpwstr>70301/499.a.1;144.b2:2;144.c:4;144.b;144.a;456:3;428;307;305;029;497;025;058</vt:lpwstr>
  </property>
  <property fmtid="{D5CDD505-2E9C-101B-9397-08002B2CF9AE}" pid="16" name="LAWLISTTMP2">
    <vt:lpwstr>74903/162;085</vt:lpwstr>
  </property>
  <property fmtid="{D5CDD505-2E9C-101B-9397-08002B2CF9AE}" pid="17" name="LAWLISTTMP3">
    <vt:lpwstr>98569/010a:2</vt:lpwstr>
  </property>
  <property fmtid="{D5CDD505-2E9C-101B-9397-08002B2CF9AE}" pid="18" name="LAWYER">
    <vt:lpwstr>איתמר גלבפיש;חגי בנימין;מיכאל כהן;איתן סבג;לירז בן מאיר;אייל בסרגליק;ליזה בנאיון;דניאל הרמן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ראיות</vt:lpwstr>
  </property>
  <property fmtid="{D5CDD505-2E9C-101B-9397-08002B2CF9AE}" pid="32" name="NOSE13">
    <vt:lpwstr>ראיות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18;89;89;77;77;77</vt:lpwstr>
  </property>
  <property fmtid="{D5CDD505-2E9C-101B-9397-08002B2CF9AE}" pid="40" name="NOSE21">
    <vt:lpwstr>הרשעה</vt:lpwstr>
  </property>
  <property fmtid="{D5CDD505-2E9C-101B-9397-08002B2CF9AE}" pid="41" name="NOSE210">
    <vt:lpwstr/>
  </property>
  <property fmtid="{D5CDD505-2E9C-101B-9397-08002B2CF9AE}" pid="42" name="NOSE22">
    <vt:lpwstr>ראיות נסיבתיות</vt:lpwstr>
  </property>
  <property fmtid="{D5CDD505-2E9C-101B-9397-08002B2CF9AE}" pid="43" name="NOSE23">
    <vt:lpwstr>ראיות נסיבתיות</vt:lpwstr>
  </property>
  <property fmtid="{D5CDD505-2E9C-101B-9397-08002B2CF9AE}" pid="44" name="NOSE24">
    <vt:lpwstr>עבירות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465;1663;1663;1443;1446;1446</vt:lpwstr>
  </property>
  <property fmtid="{D5CDD505-2E9C-101B-9397-08002B2CF9AE}" pid="51" name="NOSE31">
    <vt:lpwstr>על יסוד ראיות נסיבתיות</vt:lpwstr>
  </property>
  <property fmtid="{D5CDD505-2E9C-101B-9397-08002B2CF9AE}" pid="52" name="NOSE310">
    <vt:lpwstr/>
  </property>
  <property fmtid="{D5CDD505-2E9C-101B-9397-08002B2CF9AE}" pid="53" name="NOSE32">
    <vt:lpwstr>שתיקת הנאשם</vt:lpwstr>
  </property>
  <property fmtid="{D5CDD505-2E9C-101B-9397-08002B2CF9AE}" pid="54" name="NOSE33">
    <vt:lpwstr>בחינתן</vt:lpwstr>
  </property>
  <property fmtid="{D5CDD505-2E9C-101B-9397-08002B2CF9AE}" pid="55" name="NOSE34">
    <vt:lpwstr>ניסיון לרצח</vt:lpwstr>
  </property>
  <property fmtid="{D5CDD505-2E9C-101B-9397-08002B2CF9AE}" pid="56" name="NOSE35">
    <vt:lpwstr>מדיניות ענישה: ניסיון לרצח</vt:lpwstr>
  </property>
  <property fmtid="{D5CDD505-2E9C-101B-9397-08002B2CF9AE}" pid="57" name="NOSE36">
    <vt:lpwstr>מדיניות ענישה: התערבות ערכאת ערעור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3637;10534;10520;8867;18350;8982</vt:lpwstr>
  </property>
  <property fmtid="{D5CDD505-2E9C-101B-9397-08002B2CF9AE}" pid="62" name="PADIDATE">
    <vt:lpwstr>20230810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1969;2228</vt:lpwstr>
  </property>
  <property fmtid="{D5CDD505-2E9C-101B-9397-08002B2CF9AE}" pid="68" name="PROCYEAR">
    <vt:lpwstr>22;22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410120230808</vt:lpwstr>
  </property>
  <property fmtid="{D5CDD505-2E9C-101B-9397-08002B2CF9AE}" pid="72" name="TYPE_N_DATE">
    <vt:lpwstr>41020230808</vt:lpwstr>
  </property>
  <property fmtid="{D5CDD505-2E9C-101B-9397-08002B2CF9AE}" pid="73" name="VOLUME">
    <vt:lpwstr/>
  </property>
  <property fmtid="{D5CDD505-2E9C-101B-9397-08002B2CF9AE}" pid="74" name="WORDNUMPAGES">
    <vt:lpwstr>34</vt:lpwstr>
  </property>
</Properties>
</file>