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1978/21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אלרחמן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אליקים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sz w:val="24"/>
                <w:sz w:val="24"/>
                <w:szCs w:val="24"/>
                <w:rtl w:val="true"/>
              </w:rPr>
              <w:t>ס</w:t>
            </w:r>
            <w:r>
              <w:rPr>
                <w:rFonts w:cs="David" w:ascii="David" w:hAnsi="David"/>
                <w:b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b/>
                <w:b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 w:ascii="David" w:hAnsi="David"/>
                <w:b/>
                <w:sz w:val="24"/>
                <w:szCs w:val="24"/>
                <w:rtl w:val="true"/>
              </w:rPr>
              <w:t>;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נאות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פרי</w:t>
            </w:r>
            <w:r>
              <w:rPr>
                <w:rFonts w:cs="David" w:ascii="David" w:hAnsi="David"/>
                <w:b/>
                <w:sz w:val="24"/>
                <w:szCs w:val="24"/>
                <w:rtl w:val="true"/>
              </w:rPr>
              <w:t>,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spacing w:val="1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 w:ascii="David" w:hAnsi="David"/>
                <w:spacing w:val="10"/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018294-06-17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6.6.2022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4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מטר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בלומנפלד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קטן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יש להחמיר בעונשו של המשיב בגין הרשעתו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כהגדרתה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 מאסר עולם בלתי קצוב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הרשעת המשיב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 וקשירת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יושת 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ירוצו בחפיפה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מוסכם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הסכמות בהסדר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 לא היה מקום לגזור על המשיב עונשי מאסר חופפים במלואם בגין עבירת הרצח ושלוש עבירות ניסיון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הדבר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עולה בקנה אחד עם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קדושת חיי כל אחד 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קורבנות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מחייבת ככלל הטלת עונשים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 לפחות חפיפה 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מאסר עולם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במקרה רצח בעקבות סכסוך בין משפחות במגזר הערבי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שימוש בלתי חוקי בנשק 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הודה בבי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 בכך שירה מטווח קצר אל עבר ארבעה 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 קרובי משפחה של אדם שעמו היה מסוכסך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בפתח ביתם וללא כל התגרות מצידם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גרם למות אחד האחים ופצע באורח קשה אח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הסדר טיעון הורשע המשיב בביצוע עבירת 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כהגדרתה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ובביצוע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 וקשירת קשר לביצוע 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השית על המשיב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מאסרים מותנים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ופיצוי לנפגעי העבירה בסכום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218,000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ברון ובהסכמת השופטים אלרון ושוחט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זהו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 מאותם מקרים חריגים המצדיקים התערבות ערכא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הערעור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המשיב אינו משקף כנדרש את חומרתה המיוחדת של עבירת הרצח שביצע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 שהעונש כולל את כל העבירות שבהן הורשע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לעמדת המדינה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בגין העבירות הנוספות יושתו על המשיב עונשי מאסר חופפים לעונש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המשיב חורג לקולה ממדיניות הענישה הראויה ביחס לעבירת הרצח כשהיא 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אחת כמה וכמה מדובר בעונש מקל משנקבע מתחם ענישה אחד לכל העבירות שבהן הורשע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שנגזר הוא בגין עבירת הרצח והעבירות הנוספות גם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יצר מדרג חדש בעבירות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בעוד לפני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 דין אחד על כל עבירות הרצח בכוונה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שיקול דעת להתאים את העונש בעבירות אלה לנסיבות העבירה ולנסיבות המבצע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 הובהר כי יש להקפיד על קביעת מתחם ענישה צר בעבירות של רצח בכוונה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שעבירת הרצח היא מהחמורות שבספר החוקים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לכלל שלפיו נסיבות מבצע העבירה מתגמדות לנוכח הפגיעה בקדושת החיים הגלומה בעבירות ההמתה השונות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קיימת חפיפה מסוימת בין הענישה שקבע המחוקק לצד עבירת הרצח בנסיבות מחמירות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עולם 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ובין הענישה שנקבעה לצד עבירת הרצח הבסיסית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עולם כעונש 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חפיפה זו מבטאת הכרה של המחוקק כי יש מקרים שאינם באים בגדר העבירה של 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למרות זאת 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מחייבת הטלת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קירבה לנסיבות הקבועות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עשויה ללמד כי גם עונשו של נאשם זה צריך להיות קרוב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לא דומה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 של מי שהורשע בעבירת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קודם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 גם על עבירות ההמתה 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שדינה מאסר עולם ולא נקבע שהוא 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המאסר שיטיל בית המשפט לא תעלה על עשרים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ואולם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הוסף 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מחריג את 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מעבירות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המשמעות היא שלמרות שלצד עבירת הרצח בכוונה קבוע עונש מאסר עולם כעונש מרבי ולא 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זו ניתן לגזור באופן ייחודי מאסר עולם לתקופה בלתי קצובה או מאסר לתקופה של עד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עסקינן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 של אלימות קשה תוך שימוש בנשק חם באופן בלתי חוקי ככלי לפתרון סכסוכים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הדגישה חומרת עבירות ממין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פגיעתן הקשה בתחושת הביטחון האישי של כלל אזרחי המדינה ובמגזר הערבי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כך שנדרשת ענישה מחמירה ומרתיעה בעבירות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קביעת מתחם העונש ההולם יש לקחת בחשבון את העובדה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עמדת המדינה היא שבגין העבירות הנוספות יש להשית על המשיב עונשי מאסר חופפים לעונש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לכאורה קושי בכך 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 התייחס להסכמות הצדדים שעה שקבע מתחם עונש כולל לכל העבירות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 העונש מתחדדת בהינתן שעונש המאסר הוא בגין עבירת הרצח והעבירות הנוספות גם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ינו הולם את חומרת עבירת הרצח וחורג לקולה באופן בלתי סביר כאשר מדובר בעונש כולל לעבירת הרצח ולעבירות הנוספות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הסכמות בהסדר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מקום לגזור על המשיב עונשי מאסר חופפים במלואם בגין עבירת הרצח ושלוש עבירות ניסיון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הדבר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עולה בקנה אחד עם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קדושת חיי כל אחד 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קורבנות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מחייבת ככלל הטלת עונשים במצטבר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לכל הפחות חפיפה 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משהצהירה המדינה כי תטען לחפיפ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עונשי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 בהסכמות שהושגו בנדון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לקבוע מתחם עונש הולם לעבירת הרצח בנפרד ממתחם העונש ההולם לעבירות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עצם חפיפת עונשי המאסר חלף הטלתם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 הקלה משמעותית שניתנה למשיב בגדרו של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לעובדה זו יש משמעות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מתחם העונש ההולם 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נסיבותיו הקיצוניות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הקרבה הממשית לנסיבות המחמירות שבסעיף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ובפרט לכך שהרצח סיכן באופן ממשי את חייהם של שלושת אחיו של המנוח כאמור בסעיף קטן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ובשים לב לצורך לנקוט במדיניות ענישה שיש בה משום הרתעה ממשית מפני שימוש בנשק חם ורצח במגזר הערבי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מתחם העונש ההולם בגין עבירת הרצח 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העניין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עונשו של המשיב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לקבוע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בקצה העליון של המתחם ולהעמידו על מאסר עולם בלתי קצוב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לעבירות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מתחם ענישה שבין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הולם את חומרתן היתרה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המשיב בתוך המתחם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לגילו הצעיר בעת ביצוע העבירה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נעדר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עונש המאסר שהושת על המשיב יהא עליו לרצות עונש מאסר עולם בגין עבירת הרצח בכוונה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בגין העבירות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המאסר ירוצו בחפיפה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כמוסכם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   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כהגדרתה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17.7.1998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18294-06-17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4.2.2021</w:t>
      </w:r>
      <w:r>
        <w:rPr>
          <w:rtl w:val="true"/>
        </w:rPr>
        <w:t xml:space="preserve">).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משיב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עותמאן</w:t>
      </w:r>
      <w:r>
        <w:rPr>
          <w:rtl w:val="true"/>
        </w:rPr>
        <w:t xml:space="preserve">)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ולעותמאן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עלאא</w:t>
      </w:r>
      <w:r>
        <w:rPr>
          <w:rtl w:val="true"/>
        </w:rPr>
        <w:t xml:space="preserve">),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הכפר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10.5.2017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21:20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החבורה</w:t>
      </w:r>
      <w:r>
        <w:rPr>
          <w:rtl w:val="true"/>
        </w:rPr>
        <w:t xml:space="preserve">) </w:t>
      </w:r>
      <w:r>
        <w:rPr>
          <w:rtl w:val="true"/>
        </w:rPr>
        <w:t>להצטייד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הקרלו</w:t>
      </w:r>
      <w:r>
        <w:rPr>
          <w:rtl w:val="true"/>
        </w:rPr>
        <w:t xml:space="preserve">),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והחבורה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שהחזיקו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עקביה</w:t>
      </w:r>
      <w:r>
        <w:rPr>
          <w:rtl w:val="true"/>
        </w:rPr>
        <w:t xml:space="preserve">, </w:t>
      </w:r>
      <w:r>
        <w:rPr>
          <w:rtl w:val="true"/>
        </w:rPr>
        <w:t>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tl w:val="true"/>
        </w:rPr>
        <w:t xml:space="preserve">, </w:t>
      </w:r>
      <w:r>
        <w:rPr>
          <w:rtl w:val="true"/>
        </w:rPr>
        <w:t>ווהאח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כשבידיהם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עללא</w:t>
      </w:r>
      <w:r>
        <w:rPr>
          <w:rtl w:val="true"/>
        </w:rPr>
        <w:t xml:space="preserve">, </w:t>
      </w:r>
      <w:r>
        <w:rPr>
          <w:rtl w:val="true"/>
        </w:rPr>
        <w:t>וכשהגיעו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: </w:t>
      </w:r>
      <w:r>
        <w:rPr>
          <w:rtl w:val="true"/>
        </w:rPr>
        <w:t>לואי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עבאס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עבאס</w:t>
      </w:r>
      <w:r>
        <w:rPr>
          <w:rtl w:val="true"/>
        </w:rPr>
        <w:t xml:space="preserve">),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לאל</w:t>
      </w:r>
      <w:r>
        <w:rPr>
          <w:rtl w:val="true"/>
        </w:rPr>
        <w:t xml:space="preserve">) </w:t>
      </w:r>
      <w:r>
        <w:rPr>
          <w:rtl w:val="true"/>
        </w:rPr>
        <w:t>ונעימה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נעימה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tl w:val="true"/>
        </w:rPr>
        <w:t xml:space="preserve">.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ובירך</w:t>
      </w:r>
      <w:r>
        <w:rPr>
          <w:rtl w:val="true"/>
        </w:rPr>
        <w:t xml:space="preserve">, </w:t>
      </w:r>
      <w:r>
        <w:rPr>
          <w:rtl w:val="true"/>
        </w:rPr>
        <w:t>ונפטר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ההחייאה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לעבאס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ונעימה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מהקליעים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במאוחד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למוסכם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14.9.2020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ההסדר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הנוספות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הרצח</w:t>
      </w:r>
      <w:r>
        <w:rPr>
          <w:rFonts w:cs="FrankRuehl" w:ascii="FrankRuehl" w:hAnsi="FrankRuehl"/>
          <w:sz w:val="28"/>
          <w:rtl w:val="true"/>
        </w:rPr>
        <w:t>;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חתימתו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שנחקקה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2779</w:t>
      </w:r>
      <w:r>
        <w:rPr>
          <w:rtl w:val="true"/>
        </w:rPr>
        <w:t xml:space="preserve"> (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ושבצידה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הוחלפה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להגדרתה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cs="Miriam" w:ascii="Century" w:hAnsi="Century"/>
          <w:b/>
          <w:spacing w:val="0"/>
          <w:szCs w:val="24"/>
          <w:rtl w:val="true"/>
        </w:rPr>
        <w:t>;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14.9.2020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כהגדרתן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4.2.2021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; </w:t>
      </w:r>
      <w:r>
        <w:rPr>
          <w:rtl w:val="true"/>
        </w:rPr>
        <w:t>והמשמעות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באדישות</w:t>
      </w:r>
      <w:r>
        <w:rPr>
          <w:rtl w:val="true"/>
        </w:rPr>
        <w:t xml:space="preserve">)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"),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אימפולסיבית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ילדותית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ומצד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שנחסכה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לעיזבון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178,000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העיזבון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לעבאס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tl w:val="true"/>
        </w:rPr>
        <w:t xml:space="preserve">). </w:t>
      </w:r>
      <w:r>
        <w:rPr>
          <w:rtl w:val="true"/>
        </w:rPr>
        <w:t>לנעימה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, "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"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2.3.2022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השמור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דירוג</w:t>
      </w:r>
      <w:r>
        <w:rPr>
          <w:rtl w:val="true"/>
        </w:rPr>
        <w:t xml:space="preserve">"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21.3.2022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rtl w:val="true"/>
        </w:rPr>
        <w:t>טמן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סלימאן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2.2.2023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והתעצבות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166</w:t>
      </w:r>
      <w:r>
        <w:rPr>
          <w:rtl w:val="true"/>
        </w:rPr>
        <w:t xml:space="preserve">). </w:t>
      </w:r>
      <w:r>
        <w:rPr>
          <w:rtl w:val="true"/>
        </w:rPr>
        <w:t>במדרג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מעשה המתה ביסוד נפשי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cs="Century"/>
          <w:rtl w:val="true"/>
        </w:rPr>
        <w:t xml:space="preserve"> ומעשה המתה ביסוד נפשי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</w:t>
      </w:r>
      <w:r>
        <w:rPr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)). </w:t>
      </w:r>
      <w:r>
        <w:rPr>
          <w:rtl w:val="true"/>
        </w:rPr>
        <w:t>במדרג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מיקומה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משקפת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החמרה</w:t>
      </w:r>
      <w:r>
        <w:rPr>
          <w:rFonts w:ascii="Century" w:hAnsi="Century" w:cs="Century"/>
          <w:rtl w:val="true"/>
        </w:rPr>
        <w:t xml:space="preserve"> מהותית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ערכית ועונשית בעבירה של המתה 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 xml:space="preserve">)).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כשלצידה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וטבעה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מלשונם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בכפוף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הנייר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מגבשים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  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21-14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25.3.2021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השפעתן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).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color w:val="000000"/>
          <w:spacing w:val="0"/>
          <w:szCs w:val="24"/>
        </w:rPr>
        <w:t>301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 xml:space="preserve">)).  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ואולם במסגרת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הוסף 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hyperlink r:id="rId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 הוראה ייחודית לעבירות המתה שזו לשונה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 w:val="22"/>
          <w:szCs w:val="24"/>
        </w:rPr>
        <w:t>41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שדינה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נקבע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קצובה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שלושים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Style w:val="default"/>
          <w:rFonts w:cs="Century" w:ascii="Century" w:hAnsi="Century"/>
          <w:sz w:val="22"/>
          <w:szCs w:val="28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443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471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עורכים</w:t>
      </w:r>
      <w:r>
        <w:rPr>
          <w:rFonts w:cs="Miriam" w:ascii="Century" w:hAnsi="Century"/>
          <w:b/>
          <w:spacing w:val="0"/>
          <w:szCs w:val="24"/>
          <w:rtl w:val="true"/>
        </w:rPr>
        <w:t>, (</w:t>
      </w:r>
      <w:r>
        <w:rPr>
          <w:rFonts w:cs="Miriam" w:ascii="Century" w:hAnsi="Century"/>
          <w:b/>
          <w:spacing w:val="0"/>
          <w:szCs w:val="24"/>
        </w:rPr>
        <w:t>2020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98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107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111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113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121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>" (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990/21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/>
        <w:t>30.11.2022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הזמינות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.11.2019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26.12.2023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, </w:t>
      </w:r>
      <w:r>
        <w:rPr>
          <w:rtl w:val="true"/>
        </w:rPr>
        <w:t>ושהביא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 xml:space="preserve">, </w:t>
      </w:r>
      <w:r>
        <w:rPr>
          <w:rtl w:val="true"/>
        </w:rPr>
        <w:t>וקדושת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שוחט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8.6.2022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עמנואלוב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דורנר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טכנית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מוסרית</w:t>
      </w:r>
      <w:r>
        <w:rPr>
          <w:rtl w:val="true"/>
        </w:rPr>
        <w:t xml:space="preserve">,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וסלידתנו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גזירה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כהחלשה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?</w:t>
      </w:r>
      <w:r>
        <w:rPr>
          <w:rtl w:val="true"/>
        </w:rPr>
        <w:t>" 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303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משהצהירה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ובטוח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הקורבן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ברוטליות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שגמל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מסוכסכים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>" (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)).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בנחישותו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תוצאותיהם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והתגבר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תוכניתו</w:t>
      </w:r>
      <w:r>
        <w:rPr>
          <w:rtl w:val="true"/>
        </w:rPr>
        <w:t>" 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היומיומי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קטן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) </w:t>
      </w:r>
      <w:r>
        <w:rPr>
          <w:rtl w:val="true"/>
        </w:rPr>
        <w:t>מגלים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למסגרות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ועברייניים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; </w:t>
      </w:r>
      <w:r>
        <w:rPr>
          <w:rtl w:val="true"/>
        </w:rPr>
        <w:t>ויצוין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).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בחפיפה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ש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שוחט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7.6.2023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21019780</w:t>
      </w:r>
      <w:r>
        <w:rPr>
          <w:sz w:val="16"/>
          <w:rtl w:val="true"/>
        </w:rPr>
        <w:t>_</w:t>
      </w:r>
      <w:r>
        <w:rPr>
          <w:sz w:val="16"/>
        </w:rPr>
        <w:t>G10.docx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54678313-1978/21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1978/21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אלרחמן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18183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.a" TargetMode="External"/><Relationship Id="rId5" Type="http://schemas.openxmlformats.org/officeDocument/2006/relationships/hyperlink" Target="http://www.nevo.co.il/law/70301/41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00.a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00a" TargetMode="External"/><Relationship Id="rId10" Type="http://schemas.openxmlformats.org/officeDocument/2006/relationships/hyperlink" Target="http://www.nevo.co.il/law/70301/300a.a" TargetMode="External"/><Relationship Id="rId11" Type="http://schemas.openxmlformats.org/officeDocument/2006/relationships/hyperlink" Target="http://www.nevo.co.il/law/70301/300a.a.9" TargetMode="External"/><Relationship Id="rId12" Type="http://schemas.openxmlformats.org/officeDocument/2006/relationships/hyperlink" Target="http://www.nevo.co.il/law/70301/301a" TargetMode="External"/><Relationship Id="rId13" Type="http://schemas.openxmlformats.org/officeDocument/2006/relationships/hyperlink" Target="http://www.nevo.co.il/law/70301/301a.9" TargetMode="External"/><Relationship Id="rId14" Type="http://schemas.openxmlformats.org/officeDocument/2006/relationships/hyperlink" Target="http://www.nevo.co.il/law/70301/301a.a" TargetMode="External"/><Relationship Id="rId15" Type="http://schemas.openxmlformats.org/officeDocument/2006/relationships/hyperlink" Target="http://www.nevo.co.il/law/70301/311a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2718183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.a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.a" TargetMode="External"/><Relationship Id="rId26" Type="http://schemas.openxmlformats.org/officeDocument/2006/relationships/hyperlink" Target="http://www.nevo.co.il/law/70301/5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0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0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0.a" TargetMode="External"/><Relationship Id="rId33" Type="http://schemas.openxmlformats.org/officeDocument/2006/relationships/hyperlink" Target="http://www.nevo.co.il/law/70301/300a" TargetMode="External"/><Relationship Id="rId34" Type="http://schemas.openxmlformats.org/officeDocument/2006/relationships/hyperlink" Target="http://www.nevo.co.il/law/70301/300.a" TargetMode="External"/><Relationship Id="rId35" Type="http://schemas.openxmlformats.org/officeDocument/2006/relationships/hyperlink" Target="http://www.nevo.co.il/case/27608320" TargetMode="External"/><Relationship Id="rId36" Type="http://schemas.openxmlformats.org/officeDocument/2006/relationships/hyperlink" Target="http://www.nevo.co.il/case/27555133" TargetMode="External"/><Relationship Id="rId37" Type="http://schemas.openxmlformats.org/officeDocument/2006/relationships/hyperlink" Target="http://www.nevo.co.il/case/26538270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.a" TargetMode="External"/><Relationship Id="rId40" Type="http://schemas.openxmlformats.org/officeDocument/2006/relationships/hyperlink" Target="http://www.nevo.co.il/case/27443208" TargetMode="External"/><Relationship Id="rId41" Type="http://schemas.openxmlformats.org/officeDocument/2006/relationships/hyperlink" Target="http://www.nevo.co.il/law/70301/301a" TargetMode="External"/><Relationship Id="rId42" Type="http://schemas.openxmlformats.org/officeDocument/2006/relationships/hyperlink" Target="http://www.nevo.co.il/law/70301/298" TargetMode="External"/><Relationship Id="rId43" Type="http://schemas.openxmlformats.org/officeDocument/2006/relationships/hyperlink" Target="http://www.nevo.co.il/case/28912788" TargetMode="External"/><Relationship Id="rId44" Type="http://schemas.openxmlformats.org/officeDocument/2006/relationships/hyperlink" Target="http://www.nevo.co.il/law/70301/300.a.2" TargetMode="External"/><Relationship Id="rId45" Type="http://schemas.openxmlformats.org/officeDocument/2006/relationships/hyperlink" Target="http://www.nevo.co.il/case/28313659" TargetMode="External"/><Relationship Id="rId46" Type="http://schemas.openxmlformats.org/officeDocument/2006/relationships/hyperlink" Target="http://www.nevo.co.il/case/26978057" TargetMode="External"/><Relationship Id="rId47" Type="http://schemas.openxmlformats.org/officeDocument/2006/relationships/hyperlink" Target="http://www.nevo.co.il/case/27418439" TargetMode="External"/><Relationship Id="rId48" Type="http://schemas.openxmlformats.org/officeDocument/2006/relationships/hyperlink" Target="http://www.nevo.co.il/law/70301/4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11a" TargetMode="External"/><Relationship Id="rId52" Type="http://schemas.openxmlformats.org/officeDocument/2006/relationships/hyperlink" Target="http://www.nevo.co.il/law/70301/311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1" TargetMode="External"/><Relationship Id="rId55" Type="http://schemas.openxmlformats.org/officeDocument/2006/relationships/hyperlink" Target="http://www.nevo.co.il/case/27397243" TargetMode="External"/><Relationship Id="rId56" Type="http://schemas.openxmlformats.org/officeDocument/2006/relationships/hyperlink" Target="http://www.nevo.co.il/case/25824863" TargetMode="External"/><Relationship Id="rId57" Type="http://schemas.openxmlformats.org/officeDocument/2006/relationships/hyperlink" Target="http://www.nevo.co.il/case/28266120" TargetMode="External"/><Relationship Id="rId58" Type="http://schemas.openxmlformats.org/officeDocument/2006/relationships/hyperlink" Target="http://www.nevo.co.il/case/25274374" TargetMode="External"/><Relationship Id="rId59" Type="http://schemas.openxmlformats.org/officeDocument/2006/relationships/hyperlink" Target="http://www.nevo.co.il/case/5573766" TargetMode="External"/><Relationship Id="rId60" Type="http://schemas.openxmlformats.org/officeDocument/2006/relationships/hyperlink" Target="http://www.nevo.co.il/case/5788915" TargetMode="External"/><Relationship Id="rId61" Type="http://schemas.openxmlformats.org/officeDocument/2006/relationships/hyperlink" Target="http://www.nevo.co.il/law/70301/300a.a.9" TargetMode="External"/><Relationship Id="rId62" Type="http://schemas.openxmlformats.org/officeDocument/2006/relationships/hyperlink" Target="http://www.nevo.co.il/law/70301/300a.a" TargetMode="External"/><Relationship Id="rId63" Type="http://schemas.openxmlformats.org/officeDocument/2006/relationships/hyperlink" Target="http://www.nevo.co.il/case/26205760" TargetMode="External"/><Relationship Id="rId64" Type="http://schemas.openxmlformats.org/officeDocument/2006/relationships/hyperlink" Target="http://www.nevo.co.il/law/70301/301a.a" TargetMode="External"/><Relationship Id="rId65" Type="http://schemas.openxmlformats.org/officeDocument/2006/relationships/hyperlink" Target="http://www.nevo.co.il/law/70301/301a.9" TargetMode="External"/><Relationship Id="rId66" Type="http://schemas.openxmlformats.org/officeDocument/2006/relationships/hyperlink" Target="https://supreme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2023-06-20T10:09:00Z</dcterms:created>
  <dc:creator>h4</dc:creator>
  <dc:description/>
  <cp:keywords/>
  <dc:language>en-IL</dc:language>
  <cp:lastModifiedBy>h1</cp:lastModifiedBy>
  <cp:lastPrinted>2023-06-07T13:16:00Z</cp:lastPrinted>
  <dcterms:modified xsi:type="dcterms:W3CDTF">2023-06-20T10:09:00Z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אלרחמן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22718183:2;27608320;27555133;26538270;27443208;28912788;28313659;26978057;27418439;27397243;25824863;28266120;25274374;5573766;5788915;26205760</vt:lpwstr>
  </property>
  <property fmtid="{D5CDD505-2E9C-101B-9397-08002B2CF9AE}" pid="9" name="CITY">
    <vt:lpwstr/>
  </property>
  <property fmtid="{D5CDD505-2E9C-101B-9397-08002B2CF9AE}" pid="10" name="DATE">
    <vt:lpwstr>20230607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אלרון;ש' שוחט</vt:lpwstr>
  </property>
  <property fmtid="{D5CDD505-2E9C-101B-9397-08002B2CF9AE}" pid="14" name="LAWLISTTMP1">
    <vt:lpwstr>70301/300.a:7;300.a.2:4;005.a;300a;301a;298;041:2;311a:2;300a.a.9;300a.a;301a.a;301a.9</vt:lpwstr>
  </property>
  <property fmtid="{D5CDD505-2E9C-101B-9397-08002B2CF9AE}" pid="15" name="LAWYER">
    <vt:lpwstr>שלומי בלומנפלד;הילה גורני;רחל מטר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עבירת הרצח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1446;1446;12455;1446;1446</vt:lpwstr>
  </property>
  <property fmtid="{D5CDD505-2E9C-101B-9397-08002B2CF9AE}" pid="48" name="NOSE31">
    <vt:lpwstr>מדיניות ענישה: עבירת רצח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תיקון 137</vt:lpwstr>
  </property>
  <property fmtid="{D5CDD505-2E9C-101B-9397-08002B2CF9AE}" pid="52" name="NOSE34">
    <vt:lpwstr>מתחם הענישה</vt:lpwstr>
  </property>
  <property fmtid="{D5CDD505-2E9C-101B-9397-08002B2CF9AE}" pid="53" name="NOSE35">
    <vt:lpwstr>מאסר עולם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14615;8982;18905;14985;15651</vt:lpwstr>
  </property>
  <property fmtid="{D5CDD505-2E9C-101B-9397-08002B2CF9AE}" pid="59" name="PADIDATE">
    <vt:lpwstr>20230608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1978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410120230607</vt:lpwstr>
  </property>
  <property fmtid="{D5CDD505-2E9C-101B-9397-08002B2CF9AE}" pid="69" name="TYPE_N_DATE">
    <vt:lpwstr>41020230607</vt:lpwstr>
  </property>
  <property fmtid="{D5CDD505-2E9C-101B-9397-08002B2CF9AE}" pid="70" name="VOLUME">
    <vt:lpwstr/>
  </property>
  <property fmtid="{D5CDD505-2E9C-101B-9397-08002B2CF9AE}" pid="71" name="WORDNUMPAGES">
    <vt:lpwstr>19</vt:lpwstr>
  </property>
</Properties>
</file>