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1986/22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כשר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רונן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יהונתן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רבינוביץ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תביעות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עיריית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העמית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קפאח</w:t>
            </w:r>
            <w:r>
              <w:rPr>
                <w:sz w:val="24"/>
                <w:szCs w:val="24"/>
                <w:rtl w:val="true"/>
              </w:rPr>
              <w:t xml:space="preserve">),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.2022</w:t>
            </w:r>
            <w:r>
              <w:rPr>
                <w:sz w:val="24"/>
                <w:szCs w:val="24"/>
                <w:rtl w:val="true"/>
              </w:rPr>
              <w:t>,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עפמ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ק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1141-11-21</w:t>
              </w:r>
            </w:hyperlink>
            <w:r>
              <w:rPr>
                <w:color w:val="0000FF"/>
                <w:sz w:val="24"/>
                <w:szCs w:val="24"/>
                <w:u w:val="single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בתשרי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20.10.2022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4"/>
        <w:gridCol w:w="5149"/>
      </w:tblGrid>
      <w:tr>
        <w:trPr/>
        <w:tc>
          <w:tcPr>
            <w:tcW w:w="321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4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בעצמו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רינת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חנוך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עמי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80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80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6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עזר לתל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אביב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יפו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העמדת רכב וחנייתו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ד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8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סדר הדין הפלילי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229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0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תקנות התעבורה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1961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 -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לא מרובדות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1">
        <w:r>
          <w:rPr>
            <w:rStyle w:val="Hyperlink"/>
            <w:rFonts w:cs="FrankRuehl" w:ascii="FrankRuehl" w:hAnsi="FrankRuehl"/>
            <w:sz w:val="24"/>
            <w:u w:val="none"/>
          </w:rPr>
          <w:t>72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לא כל חזרה מאישום או זיכוי יובילו בהכרח לפסיקת פיצויים לנאשם או לחיוב המאשימה בהוצאות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מכוח </w:t>
      </w:r>
      <w:hyperlink r:id="rId1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פסיקת פיצויים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יכולה שתעשה אך ורק בהתקיים אחת משתי החלופות המנויות בסעיף – כאשר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יסוד להאשמה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בהתקיים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אחרות המצדיקות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שתי החלופות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לא מתקיימות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פיצויים והוצאות – פיצויים לנאשם שזוכה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ערעור על החלטת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מחוזי בגדרה נדחתה בקשת המערער לחיוב המשיבה בהוצאות על פי </w:t>
      </w:r>
      <w:hyperlink r:id="rId1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רקע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החנה רכב דו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גלגלי על מדרכה בסמוך לתחנת רכבת השלום וקיבל הודעת תשלום קנס בסך </w:t>
      </w:r>
      <w:r>
        <w:rPr>
          <w:rFonts w:cs="Times New Roman" w:ascii="Times New Roman" w:hAnsi="Times New Roman"/>
          <w:spacing w:val="0"/>
          <w:szCs w:val="26"/>
        </w:rPr>
        <w:t>250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ובה צוין כי העמדת הרכב במקום מהווה עבירה לפי סעיף סעיף </w:t>
      </w:r>
      <w:hyperlink r:id="rId16">
        <w:r>
          <w:rPr>
            <w:rStyle w:val="Hyperlink"/>
            <w:rFonts w:cs="Times New Roman" w:ascii="Times New Roman" w:hAnsi="Times New Roman"/>
            <w:spacing w:val="0"/>
            <w:szCs w:val="26"/>
          </w:rPr>
          <w:t>6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2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עזר לתל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אביב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-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יפו 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העמדת רכב וחנייתו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מיאן לשלם את הקנס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וביקש להישפט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הוגש נגד המערער כתב אישום בגין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הליך ממושך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טען כי התמרור הסמוך היה תקול והוא לא סבר כי החניה במקום אסורה ו</w:t>
      </w:r>
      <w:r>
        <w:rPr>
          <w:rFonts w:ascii="Times New Roman" w:hAnsi="Times New Roman" w:cs="Times New Roman"/>
          <w:spacing w:val="0"/>
          <w:szCs w:val="26"/>
          <w:rtl w:val="true"/>
        </w:rPr>
        <w:t>כי אף אם החניה במקום אסורה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רישום הודעת תשלום הקנס עולה לכדי אכיפה בררנית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לעניינים מקומיים הרשיע את המערער במיוחס לו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קבע שעליו לשלם קנס בסך </w:t>
      </w:r>
      <w:r>
        <w:rPr>
          <w:rFonts w:cs="Times New Roman" w:ascii="Times New Roman" w:hAnsi="Times New Roman"/>
          <w:spacing w:val="0"/>
          <w:szCs w:val="26"/>
        </w:rPr>
        <w:t>250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המערער הגיש ערעור על הכרעת הדין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לאחר דיון במעמד הצדדים המליץ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למשיבה לשקול את עמדתה ביחס לערעור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המלצה זו מקורה בקביעות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לעניינים מקומיים כי הוא מוצא הן את עדות המערער והן עדות המשיבה כמהימנות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קביעות שלעמדת המחוזי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אינן יכולות לדור בכפיפה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בעקבות הסכמת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קיבל את הערעור וזיכה את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בקשת המערער לחיוב המשיבה בהוצאות על פי </w:t>
      </w:r>
      <w:hyperlink r:id="rId1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1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נדחתה ומכאן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כשר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בהסכמת השופטים 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אלרון 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Cs w:val="26"/>
          <w:rtl w:val="true"/>
        </w:rPr>
        <w:t>רונן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hyperlink r:id="rId2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ascii="Times New Roman" w:hAnsi="Times New Roman" w:cs="Times New Roman"/>
          <w:spacing w:val="0"/>
          <w:szCs w:val="26"/>
          <w:rtl w:val="true"/>
        </w:rPr>
        <w:t xml:space="preserve"> מקנה לנאשם שזוכה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 שכתב האישום נגדו בוטל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זכות לעתור 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לקבלת פיצויים ולפסיקת הוצאות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מדובר בזכות יחסית הנתונה לשיקול דעתו של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בהכריעו האם להיעתר לבקשה מכוח סעיף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שומה על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לאזן בין הנזק שנגרם לנאשם מקיום ההליך הפלילי בעניינו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לבין האינטרס הציבורי באכיפת החוק והחשש מהרתעת יתר של המדינה מניהול הליכים פליליים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בעריכת איזון זה נודעת חשיבות יתרה לכך שהערכאה שהכריעה בבקשת הפיצוי היא גם הערכאה שדנה בהליך הפלילי העיקרי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שכן לה היכרות מעמיקה ובלתי אמצעית עם ההליך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חומר הראיות שבו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בהתאם לכך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נקבע בפסיקה כי התערבות ערכאת הערעור בהחלטות הערכאות הדיוניות בבקשות לפי </w:t>
      </w:r>
      <w:hyperlink r:id="rId22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3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תיעשה במשורה ובמקרים חריגים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מקרה זה אינו נמנה על אותם מקרים חריגים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ראשית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לטענת המערער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לא ניתן ללמוד גזירה שווה מהדין הנוגע לפסיקת הוצאת משפט בהליכים אזרחיים לעניין פסיקת הוצאות משפט או פיצויים מכוח </w:t>
      </w:r>
      <w:hyperlink r:id="rId24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בהליכים פליליים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בניגוד למשפט האזרחי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כלל הבסיס הוא שהצד המפסיד חייב לשאת בהוצאותיו של הצד שזכה בדין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במשפט הפלילי תשלום הוצאות משפט הוא החריג לכלל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על רקע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טענת המערער כי בכל מקרה שבו משפטו של נאשם מסתיים בזיכוי עומדת לו זכות להוצאות משפט ולפיצויים מכוח </w:t>
      </w:r>
      <w:hyperlink r:id="rId25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טעות ביסודה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ועניין זה כבר הובהר בפסיקה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אם כן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הכלל הוא שלא כל חזרה מאישום או זיכוי יובילו בהכרח לפסיקת פיצויים לנאשם או לחיוב המאשימה בהוצאות המשפט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פסיקת פיצויים או הוצאות משפט כאמור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מכוח </w:t>
      </w:r>
      <w:hyperlink r:id="rId26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hyperlink r:id="rId27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חוק העונשין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יכולה שתעשה אך ורק בהתקיימותה של אחת משתי חלופות המנויות בסעיף זה – כאשר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יסוד להאשמה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או בהתקיים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אחרות המצדיקות זאת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שתי החלופות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 לא מתקיימות 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אשר לחלופה הראשונה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בפסיקת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זה נקבע שהנטל על הטוען כי 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לא היה יסוד להאשמה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>הוא נטל כבד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נדרש הטוען להראות כי כתב האישום הוגש ללא בסיס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כלומר בשל זדון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חוסר תום 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רשלנות חמורה או 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סבירות מהותית ובולטת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לא זה המצב דכאן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טענתו הבסיסית של המערער בעניין זה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היא כי המלצת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לקבלת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והיעתרות המשיבה 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עולות לכדי אשרור של כל אחת מטענותיו בערעור – שם טען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בפרוטרוט ובחריפות מרובה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כי כתב האישום בעניינו הוגש בחוסר תום לב וכי לא היה מקום להאשימו מלכתחילה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על רקע זו טוען המערער כי התקיים התנאי הקבוע </w:t>
      </w:r>
      <w:hyperlink r:id="rId28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כי לא היה יסוד להאשמה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המלצת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לקבלת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יכולה לנבוע ממגוון רחב של טעמים שונים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אשר אינם בהכרח קשורים להסכמה עם טיעוני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השופט הדן בתיק הוא היודע מה הניע אותו להמליץ את אשר המליץ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גם מטעם זה נועדת חשיבות לכך שהשופט שדן בהליך הפלילי העיקרי הוא אשר יכריע בבקשה לפי </w:t>
      </w:r>
      <w:hyperlink r:id="rId29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וגם מסיבה זו נטיית ערכאת הערעור תהא שלא להתערב בהחלטות מסוג זה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בהחלטה מושא ערעור זה הבהיר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את שיקוליו בצורה שאינה משתמעת לשתי פנים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ציין כי הוא מוצא קושי בקביעת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לעניינים מקומיים לפיה הוא מוצא הן את גרסת המערער והן את גרסת 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כאמינות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כלשונו</w:t>
      </w:r>
      <w:r>
        <w:rPr>
          <w:rFonts w:cs="Times New Roman" w:ascii="Times New Roman" w:hAnsi="Times New Roman"/>
          <w:spacing w:val="0"/>
          <w:szCs w:val="26"/>
          <w:rtl w:val="true"/>
        </w:rPr>
        <w:t>: "</w:t>
      </w:r>
      <w:r>
        <w:rPr>
          <w:rFonts w:ascii="Times New Roman" w:hAnsi="Times New Roman" w:cs="Times New Roman"/>
          <w:spacing w:val="0"/>
          <w:szCs w:val="26"/>
          <w:rtl w:val="true"/>
        </w:rPr>
        <w:t>שתי הקביעות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זו בהכרעת הדין וזו בפתקית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אודות מהימנות העדויות מזה ומזה אינן יכולות לדור בכפיפה אחת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". </w:t>
      </w:r>
      <w:r>
        <w:rPr>
          <w:rFonts w:ascii="Times New Roman" w:hAnsi="Times New Roman" w:cs="Times New Roman"/>
          <w:spacing w:val="0"/>
          <w:szCs w:val="26"/>
          <w:rtl w:val="true"/>
        </w:rPr>
        <w:t>ברי כי הנימוק הנ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העומד בבסיס המלצת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אינו יכול ללמד כי כתב האישום בעניינו הוגש ללא בסיס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בחוסר תום לב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ברשלנות חמורה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סבירות בולטת או בזדון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כנדרש לצורך התקיימות התנאי הראשון הקבוע </w:t>
      </w:r>
      <w:hyperlink r:id="rId30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בסעיף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ascii="Times New Roman" w:hAnsi="Times New Roman" w:cs="Times New Roman"/>
          <w:spacing w:val="0"/>
          <w:szCs w:val="26"/>
          <w:rtl w:val="true"/>
        </w:rPr>
        <w:t>הוא הדין באשר להסכמת המשיבה לקבלת הערעור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המשיבה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כרשות מנהלית האמונה על האינטרס הציבורי וניהול כספי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רשאית הייתה להיעתר להמלצת ביהמ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מטעמיה שלה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בפרט נוכח העובדה כי בשלב זה נוהל ההליך בעניין המערער כבר במשך מספר שנים על העלויות הכרוכות בכך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והכל ביחס לקנס בגובה של </w:t>
      </w:r>
      <w:r>
        <w:rPr>
          <w:rFonts w:cs="Times New Roman" w:ascii="Times New Roman" w:hAnsi="Times New Roman"/>
          <w:spacing w:val="0"/>
          <w:szCs w:val="26"/>
        </w:rPr>
        <w:t>250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אשר לחלופה השנייה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בפסיקה הוטעם כי את ה</w:t>
      </w:r>
      <w:r>
        <w:rPr>
          <w:rFonts w:cs="Times New Roman" w:ascii="Times New Roman" w:hAnsi="Times New Roman"/>
          <w:spacing w:val="0"/>
          <w:szCs w:val="26"/>
          <w:rtl w:val="true"/>
        </w:rPr>
        <w:t>-"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אחרות המצדיקות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פסיקת פיצויים או הוצאות משפט מכוח </w:t>
      </w:r>
      <w:hyperlink r:id="rId31">
        <w:r>
          <w:rPr>
            <w:rStyle w:val="Hyperlink"/>
            <w:rFonts w:ascii="Times New Roman" w:hAnsi="Times New Roman" w:cs="Times New Roman"/>
            <w:spacing w:val="0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Cs w:val="26"/>
          </w:rPr>
          <w:t>80</w:t>
        </w:r>
      </w:hyperlink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ניתן לחלק לשלוש קטגוריות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הנוגעות לאופן ניהולו של ההליך המשפטי עצמו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כגון משכו של ההליך המשפטי ואורך תקופת המעצר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 הקשורות לטיב זיכויו של הנאשם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ולנסיבותיו האישיות של הנאשם 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ascii="Times New Roman" w:hAnsi="Times New Roman" w:cs="Times New Roman"/>
          <w:spacing w:val="0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לא מתקיימות נסיבות המצדיקות את קבלת הערעור תחת אף אחת מהקטגוריות דנן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כשר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העמית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קפאח</w:t>
      </w:r>
      <w:r>
        <w:rPr>
          <w:rtl w:val="true"/>
        </w:rPr>
        <w:t xml:space="preserve">),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11.2.2022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32">
        <w:r>
          <w:rPr>
            <w:rStyle w:val="Hyperlink"/>
            <w:rtl w:val="true"/>
          </w:rPr>
          <w:t>עפמ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ק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1141-11-21</w:t>
        </w:r>
      </w:hyperlink>
      <w:r>
        <w:rPr>
          <w:color w:val="0000FF"/>
          <w:u w:val="single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tl w:val="true"/>
        </w:rPr>
        <w:t xml:space="preserve">. </w:t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או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Fonts w:cs="Century" w:ascii="Century" w:hAnsi="Century"/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הדברים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7.8.2018</w:t>
      </w:r>
      <w:r>
        <w:rPr>
          <w:rtl w:val="true"/>
        </w:rPr>
        <w:t xml:space="preserve"> </w:t>
      </w:r>
      <w:r>
        <w:rPr>
          <w:rtl w:val="true"/>
        </w:rPr>
        <w:t>חנה המערער רכב דו גלגלי על המדרכה הסמוכה לתחנת הרכבת השלום 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. </w:t>
      </w:r>
      <w:r>
        <w:rPr>
          <w:rtl w:val="true"/>
        </w:rPr>
        <w:t xml:space="preserve">פקח אשר עבר במקום רשם למערער </w:t>
      </w:r>
      <w:r>
        <w:rPr>
          <w:rtl w:val="true"/>
        </w:rPr>
        <w:t>הודעת</w:t>
      </w:r>
      <w:r>
        <w:rPr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 בסך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ובה צוין כי</w:t>
      </w:r>
      <w:r>
        <w:rPr>
          <w:rtl w:val="true"/>
        </w:rPr>
        <w:t xml:space="preserve"> </w:t>
      </w:r>
      <w:r>
        <w:rPr>
          <w:rtl w:val="true"/>
        </w:rPr>
        <w:t xml:space="preserve">העמדת הרכב במקום מהווה </w:t>
      </w:r>
      <w:r>
        <w:rPr>
          <w:rtl w:val="true"/>
        </w:rPr>
        <w:t>עבירה</w:t>
      </w:r>
      <w:r>
        <w:rPr>
          <w:rtl w:val="true"/>
        </w:rPr>
        <w:t xml:space="preserve"> </w:t>
      </w:r>
      <w:r>
        <w:rPr>
          <w:rtl w:val="true"/>
        </w:rPr>
        <w:t>לפי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hyperlink r:id="rId35">
        <w:r>
          <w:rPr>
            <w:rStyle w:val="Hyperlink"/>
          </w:rPr>
          <w:t>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עזר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לתל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אביב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יפו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העמדת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וחנייתו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ascii="Times New Roman" w:hAnsi="Times New Roman" w:cs="Times New Roman"/>
          <w:rtl w:val="true"/>
        </w:rPr>
        <w:t>–</w:t>
      </w:r>
      <w:r>
        <w:rPr/>
        <w:t>1983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העזר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מיאן לשלם את הקנס</w:t>
      </w:r>
      <w:r>
        <w:rPr>
          <w:rtl w:val="true"/>
        </w:rPr>
        <w:t xml:space="preserve">, </w:t>
      </w:r>
      <w:r>
        <w:rPr>
          <w:rtl w:val="true"/>
        </w:rPr>
        <w:t xml:space="preserve">וביקש להישפט בגין העבירה האמורה בהתאם </w:t>
      </w:r>
      <w:hyperlink r:id="rId37">
        <w:r>
          <w:rPr>
            <w:rStyle w:val="Hyperlink"/>
            <w:rtl w:val="true"/>
          </w:rPr>
          <w:t>לסעיף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 משולב</w:t>
      </w:r>
      <w:r>
        <w:rPr>
          <w:rtl w:val="true"/>
        </w:rPr>
        <w:t xml:space="preserve">],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. </w:t>
      </w:r>
      <w:r>
        <w:rPr>
          <w:rtl w:val="true"/>
        </w:rPr>
        <w:t>על רקע זה</w:t>
      </w:r>
      <w:r>
        <w:rPr>
          <w:rtl w:val="true"/>
        </w:rPr>
        <w:t xml:space="preserve">, </w:t>
      </w:r>
      <w:r>
        <w:rPr>
          <w:rtl w:val="true"/>
        </w:rPr>
        <w:t>הוגש נגד המערער כתב אישום בגין העבירה האמורה לבית המשפט לעניינים מקומיים 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בטיעונו בפני בית המשפט לעניינים מקומיים טען המערער</w:t>
      </w:r>
      <w:r>
        <w:rPr>
          <w:rtl w:val="true"/>
        </w:rPr>
        <w:t xml:space="preserve">, </w:t>
      </w:r>
      <w:r>
        <w:rPr>
          <w:rtl w:val="true"/>
        </w:rPr>
        <w:t>בעיקרו של דבר</w:t>
      </w:r>
      <w:r>
        <w:rPr>
          <w:rtl w:val="true"/>
        </w:rPr>
        <w:t xml:space="preserve">, </w:t>
      </w:r>
      <w:r>
        <w:rPr>
          <w:rtl w:val="true"/>
        </w:rPr>
        <w:t>כי התמרור הקרוב ביותר למקום בו חנה את רכבו היה מקופל ומכוסה בכתובות גרפיטי</w:t>
      </w:r>
      <w:r>
        <w:rPr>
          <w:rtl w:val="true"/>
        </w:rPr>
        <w:t xml:space="preserve">. </w:t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סבר המערער כי אין בנמצא תמרור האוסר עליו לחנות את רכבו על המדרכה</w:t>
      </w:r>
      <w:r>
        <w:rPr>
          <w:rtl w:val="true"/>
        </w:rPr>
        <w:t xml:space="preserve">, </w:t>
      </w:r>
      <w:r>
        <w:rPr>
          <w:rtl w:val="true"/>
        </w:rPr>
        <w:t>כך שהחניה במקום היא מותרת</w:t>
      </w:r>
      <w:r>
        <w:rPr>
          <w:rtl w:val="true"/>
        </w:rPr>
        <w:t xml:space="preserve">. </w:t>
      </w:r>
      <w:r>
        <w:rPr>
          <w:rtl w:val="true"/>
        </w:rPr>
        <w:t>עוד טען המערער כי אף אם החניה במקום אסורה</w:t>
      </w:r>
      <w:r>
        <w:rPr>
          <w:rtl w:val="true"/>
        </w:rPr>
        <w:t xml:space="preserve">, </w:t>
      </w:r>
      <w:r>
        <w:rPr>
          <w:rtl w:val="true"/>
        </w:rPr>
        <w:t>עיריית 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 אימצה מדיניות אכיפה</w:t>
      </w:r>
      <w:r>
        <w:rPr>
          <w:rtl w:val="true"/>
        </w:rPr>
        <w:t xml:space="preserve">, </w:t>
      </w:r>
      <w:r>
        <w:rPr>
          <w:rtl w:val="true"/>
        </w:rPr>
        <w:t>הדוגלת בהימנעות מאכיפת עבירות מהסוג הנדון</w:t>
      </w:r>
      <w:r>
        <w:rPr>
          <w:rtl w:val="true"/>
        </w:rPr>
        <w:t xml:space="preserve">. </w:t>
      </w:r>
      <w:r>
        <w:rPr>
          <w:rtl w:val="true"/>
        </w:rPr>
        <w:t>על כן</w:t>
      </w:r>
      <w:r>
        <w:rPr>
          <w:rtl w:val="true"/>
        </w:rPr>
        <w:t xml:space="preserve">, </w:t>
      </w:r>
      <w:r>
        <w:rPr>
          <w:rtl w:val="true"/>
        </w:rPr>
        <w:t>לשיטת המערער</w:t>
      </w:r>
      <w:r>
        <w:rPr>
          <w:rtl w:val="true"/>
        </w:rPr>
        <w:t xml:space="preserve">, </w:t>
      </w:r>
      <w:r>
        <w:rPr>
          <w:rtl w:val="true"/>
        </w:rPr>
        <w:t>רישום הודעת תשלום הקנס עולה בנסיבות המקרה לכדי אכיפה בררנית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מתצלומים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שצורפו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שנרשמה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39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0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tl w:val="true"/>
        </w:rPr>
        <w:t xml:space="preserve">, </w:t>
      </w:r>
      <w:r>
        <w:rPr>
          <w:rtl w:val="true"/>
        </w:rPr>
        <w:t>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תקנות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התעבורה</w:t>
      </w:r>
      <w:r>
        <w:rPr>
          <w:rFonts w:cs="Century" w:ascii="Century" w:hAnsi="Century"/>
          <w:rtl w:val="true"/>
        </w:rPr>
        <w:t xml:space="preserve">) </w:t>
      </w:r>
      <w:r>
        <w:rPr>
          <w:rFonts w:ascii="Century" w:hAnsi="Century" w:cs="Century"/>
          <w:rtl w:val="true"/>
        </w:rPr>
        <w:t>קובע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, </w:t>
      </w:r>
      <w:r>
        <w:rPr>
          <w:rtl w:val="true"/>
        </w:rPr>
        <w:t>ותפקידם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התמרורים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להבהיר</w:t>
      </w:r>
      <w:r>
        <w:rPr>
          <w:rtl w:val="true"/>
        </w:rPr>
        <w:t xml:space="preserve">, </w:t>
      </w:r>
      <w:r>
        <w:rPr>
          <w:rtl w:val="true"/>
        </w:rPr>
        <w:t>למעלה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לכן</w:t>
      </w:r>
      <w:r>
        <w:rPr>
          <w:rtl w:val="true"/>
        </w:rPr>
        <w:t xml:space="preserve">, </w:t>
      </w:r>
      <w:r>
        <w:rPr>
          <w:rtl w:val="true"/>
        </w:rPr>
        <w:t>לטענת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חניית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גלגלי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תקול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האכיפה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יישומה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9.9.2021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אחר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 </w:t>
      </w:r>
      <w:r>
        <w:rPr>
          <w:rtl w:val="true"/>
        </w:rPr>
        <w:t>וממ</w:t>
      </w:r>
      <w:r>
        <w:rPr>
          <w:rtl w:val="true"/>
        </w:rPr>
        <w:t>ו</w:t>
      </w:r>
      <w:r>
        <w:rPr>
          <w:rtl w:val="true"/>
        </w:rPr>
        <w:t>שך</w:t>
      </w:r>
      <w:r>
        <w:rPr>
          <w:rtl w:val="true"/>
        </w:rPr>
        <w:t xml:space="preserve"> </w:t>
      </w:r>
      <w:r>
        <w:rPr>
          <w:rtl w:val="true"/>
        </w:rPr>
        <w:t>בגדרו</w:t>
      </w:r>
      <w:r>
        <w:rPr>
          <w:rtl w:val="true"/>
        </w:rPr>
        <w:t xml:space="preserve"> </w:t>
      </w:r>
      <w:r>
        <w:rPr>
          <w:rtl w:val="true"/>
        </w:rPr>
        <w:t>הובאו</w:t>
      </w:r>
      <w:r>
        <w:rPr>
          <w:rtl w:val="true"/>
        </w:rPr>
        <w:t xml:space="preserve"> </w:t>
      </w:r>
      <w:r>
        <w:rPr>
          <w:rtl w:val="true"/>
        </w:rPr>
        <w:t>להעיד</w:t>
      </w:r>
      <w:r>
        <w:rPr>
          <w:rtl w:val="true"/>
        </w:rPr>
        <w:t xml:space="preserve"> </w:t>
      </w:r>
      <w:r>
        <w:rPr>
          <w:rtl w:val="true"/>
        </w:rPr>
        <w:t>נושאי</w:t>
      </w:r>
      <w:r>
        <w:rPr>
          <w:rtl w:val="true"/>
        </w:rPr>
        <w:t xml:space="preserve"> </w:t>
      </w:r>
      <w:r>
        <w:rPr>
          <w:rtl w:val="true"/>
        </w:rPr>
        <w:t>תפקידים</w:t>
      </w:r>
      <w:r>
        <w:rPr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 </w:t>
      </w:r>
      <w:r>
        <w:rPr>
          <w:rtl w:val="true"/>
        </w:rPr>
        <w:t>בעיריית</w:t>
      </w:r>
      <w:r>
        <w:rPr>
          <w:rtl w:val="true"/>
        </w:rPr>
        <w:t xml:space="preserve"> </w:t>
      </w:r>
      <w:r>
        <w:rPr>
          <w:rtl w:val="true"/>
        </w:rPr>
        <w:t>תל</w:t>
      </w:r>
      <w:r>
        <w:rPr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הרשיע בית המשפט לעניינים מקומיים בתל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 xml:space="preserve">יפו </w:t>
      </w:r>
      <w:r>
        <w:rPr>
          <w:rtl w:val="true"/>
        </w:rPr>
        <w:t>(</w:t>
      </w:r>
      <w:r>
        <w:rPr>
          <w:rtl w:val="true"/>
        </w:rPr>
        <w:t xml:space="preserve">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יעקובוביץ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tl w:val="true"/>
        </w:rPr>
        <w:t xml:space="preserve">) </w:t>
      </w:r>
      <w:r>
        <w:rPr>
          <w:rtl w:val="true"/>
        </w:rPr>
        <w:t>את המערער בעבירה שיוחסה לו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29.9.2021</w:t>
      </w:r>
      <w:r>
        <w:rPr>
          <w:rtl w:val="true"/>
        </w:rPr>
        <w:t xml:space="preserve"> </w:t>
      </w:r>
      <w:r>
        <w:rPr>
          <w:rtl w:val="true"/>
        </w:rPr>
        <w:t xml:space="preserve">נגזר דינו של המערער ונקבע שעליו לשלם קנס בסך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ששמעתי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מצאתי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כקוהרנטית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מחלוקת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שכלי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במקום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ובזמן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כמפורט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בדו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החניה</w:t>
      </w:r>
      <w:r>
        <w:rPr>
          <w:rtl w:val="true"/>
        </w:rPr>
        <w:t>"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אסורה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כמהימנה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וקוהרנטית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תמונות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צולמו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לרעתו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המנהלית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תקנות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אוסרות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חניית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המדרכה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עוד באותו היום</w:t>
      </w:r>
      <w:r>
        <w:rPr>
          <w:rtl w:val="true"/>
        </w:rPr>
        <w:t xml:space="preserve">, </w:t>
      </w:r>
      <w:r>
        <w:rPr/>
        <w:t>9.9.2022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על ידי בית המשפט לעניינים מקומיים החלטת פתקית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לצדדים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הסב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תשומת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לבי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ט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קולמוס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שנפלה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ולפיה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20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בשורה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נשמטה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המילה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קוהרנטית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'...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החלטת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הפתקית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tl w:val="true"/>
        </w:rPr>
        <w:t xml:space="preserve"> </w:t>
      </w:r>
      <w:r>
        <w:rPr>
          <w:rtl w:val="true"/>
        </w:rPr>
        <w:t>תיקון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לקרוא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סעיף</w:t>
      </w:r>
      <w:r>
        <w:rPr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 "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לאחר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ששמעתי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עדותו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הנאשם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אותה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מצאתי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כקוהרנטית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ומהימנה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...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1.11.2021</w:t>
      </w:r>
      <w:r>
        <w:rPr>
          <w:rtl w:val="true"/>
        </w:rPr>
        <w:t xml:space="preserve"> </w:t>
      </w:r>
      <w:r>
        <w:rPr>
          <w:rtl w:val="true"/>
        </w:rPr>
        <w:t>הגיש המערער ערעור על הכרעת הדין</w:t>
      </w:r>
      <w:r>
        <w:rPr>
          <w:rtl w:val="true"/>
        </w:rPr>
        <w:t xml:space="preserve">, </w:t>
      </w:r>
      <w:r>
        <w:rPr>
          <w:rtl w:val="true"/>
        </w:rPr>
        <w:t xml:space="preserve">וביום </w:t>
      </w:r>
      <w:r>
        <w:rPr/>
        <w:t>2.1.2022</w:t>
      </w:r>
      <w:r>
        <w:rPr>
          <w:rtl w:val="true"/>
        </w:rPr>
        <w:t xml:space="preserve"> </w:t>
      </w:r>
      <w:r>
        <w:rPr>
          <w:rtl w:val="true"/>
        </w:rPr>
        <w:t>התקיים דיון במעמד הצדדים בערעור בבית המשפט המחוזי תל</w:t>
      </w:r>
      <w:r>
        <w:rPr>
          <w:rtl w:val="true"/>
        </w:rPr>
        <w:t>-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. </w:t>
      </w:r>
      <w:r>
        <w:rPr>
          <w:rtl w:val="true"/>
        </w:rPr>
        <w:t xml:space="preserve">במסגרת הדיון האמור המליץ בית המשפט </w:t>
      </w:r>
      <w:r>
        <w:rPr>
          <w:rtl w:val="true"/>
        </w:rPr>
        <w:t>(</w:t>
      </w:r>
      <w:r>
        <w:rPr>
          <w:rtl w:val="true"/>
        </w:rPr>
        <w:t xml:space="preserve">השופט העמית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צ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קפאח</w:t>
      </w:r>
      <w:r>
        <w:rPr>
          <w:rtl w:val="true"/>
        </w:rPr>
        <w:t xml:space="preserve">) </w:t>
      </w:r>
      <w:r>
        <w:rPr>
          <w:rtl w:val="true"/>
        </w:rPr>
        <w:t>למשיבה</w:t>
      </w:r>
      <w:r>
        <w:rPr>
          <w:rtl w:val="true"/>
        </w:rPr>
        <w:t xml:space="preserve"> </w:t>
      </w:r>
      <w:r>
        <w:rPr>
          <w:rtl w:val="true"/>
        </w:rPr>
        <w:t>לשקול</w:t>
      </w:r>
      <w:r>
        <w:rPr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עמדתה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לערעור</w:t>
      </w:r>
      <w:r>
        <w:rPr>
          <w:rtl w:val="true"/>
        </w:rPr>
        <w:t xml:space="preserve"> </w:t>
      </w:r>
      <w:r>
        <w:rPr>
          <w:rtl w:val="true"/>
        </w:rPr>
        <w:t>ולעדכנו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tl w:val="true"/>
        </w:rPr>
        <w:t xml:space="preserve"> </w:t>
      </w:r>
      <w:r>
        <w:rPr>
          <w:rtl w:val="true"/>
        </w:rPr>
        <w:t>אליה</w:t>
      </w:r>
      <w:r>
        <w:rPr>
          <w:rtl w:val="true"/>
        </w:rPr>
        <w:t xml:space="preserve"> </w:t>
      </w:r>
      <w:r>
        <w:rPr>
          <w:rtl w:val="true"/>
        </w:rPr>
        <w:t>בתוך</w:t>
      </w:r>
      <w:r>
        <w:rPr>
          <w:rtl w:val="true"/>
        </w:rPr>
        <w:t xml:space="preserve"> </w:t>
      </w:r>
      <w:r>
        <w:rPr>
          <w:rtl w:val="true"/>
        </w:rPr>
        <w:t>יומיים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tl w:val="true"/>
        </w:rPr>
        <w:t xml:space="preserve"> </w:t>
      </w:r>
      <w:r>
        <w:rPr>
          <w:rtl w:val="true"/>
        </w:rPr>
        <w:t>המלצה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4.1.2022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tl w:val="true"/>
        </w:rPr>
        <w:t xml:space="preserve"> </w:t>
      </w:r>
      <w:r>
        <w:rPr>
          <w:rtl w:val="true"/>
        </w:rPr>
        <w:t>הודעה</w:t>
      </w:r>
      <w:r>
        <w:rPr>
          <w:rtl w:val="true"/>
        </w:rPr>
        <w:t xml:space="preserve"> </w:t>
      </w:r>
      <w:r>
        <w:rPr>
          <w:rtl w:val="true"/>
        </w:rPr>
        <w:t>מטעם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ובו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 </w:t>
      </w:r>
      <w:r>
        <w:rPr>
          <w:rtl w:val="true"/>
        </w:rPr>
        <w:t>האחרונה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 </w:t>
      </w:r>
      <w:r>
        <w:rPr>
          <w:rtl w:val="true"/>
        </w:rPr>
        <w:t>נעתרת</w:t>
      </w:r>
      <w:r>
        <w:rPr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מלצת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ומסכימה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>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הדגישה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 </w:t>
      </w:r>
      <w:r>
        <w:rPr>
          <w:rtl w:val="true"/>
        </w:rPr>
        <w:t>האמורה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אך</w:t>
      </w:r>
      <w:r>
        <w:rPr>
          <w:rtl w:val="true"/>
        </w:rPr>
        <w:t xml:space="preserve"> </w:t>
      </w:r>
      <w:r>
        <w:rPr>
          <w:rtl w:val="true"/>
        </w:rPr>
        <w:t>ורק</w:t>
      </w:r>
      <w:r>
        <w:rPr>
          <w:rtl w:val="true"/>
        </w:rPr>
        <w:t xml:space="preserve"> </w:t>
      </w:r>
      <w:r>
        <w:rPr>
          <w:rtl w:val="true"/>
        </w:rPr>
        <w:t>בשל</w:t>
      </w:r>
      <w:r>
        <w:rPr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 </w:t>
      </w:r>
      <w:r>
        <w:rPr>
          <w:rtl w:val="true"/>
        </w:rPr>
        <w:t>הייחודיות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/>
        <w:t>4.1.2022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בעמפ</w:t>
      </w:r>
      <w:r>
        <w:rPr>
          <w:rtl w:val="true"/>
        </w:rPr>
        <w:t>"</w:t>
      </w:r>
      <w:r>
        <w:rPr>
          <w:rtl w:val="true"/>
        </w:rPr>
        <w:t>ק</w:t>
      </w:r>
      <w:r>
        <w:rPr>
          <w:rFonts w:eastAsia="Arial TUR;Arial" w:cs="Arial TUR;Arial"/>
          <w:rtl w:val="true"/>
        </w:rPr>
        <w:t xml:space="preserve"> </w:t>
      </w:r>
      <w:r>
        <w:rPr/>
        <w:t>1141-11-21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וזיכה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ביום</w:t>
      </w:r>
      <w:r>
        <w:rPr>
          <w:rtl w:val="true"/>
        </w:rPr>
        <w:t xml:space="preserve"> </w:t>
      </w:r>
      <w:r>
        <w:rPr/>
        <w:t>2.2.2022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tl w:val="true"/>
        </w:rPr>
        <w:t xml:space="preserve"> </w:t>
      </w:r>
      <w:r>
        <w:rPr>
          <w:rtl w:val="true"/>
        </w:rPr>
        <w:t>שהוכתרה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בקשה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למתן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פיצוי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לנאשם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שזוכה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בהתאם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לסעיף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80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</w:t>
      </w:r>
      <w:hyperlink r:id="rId42"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 w:val="22"/>
            <w:sz w:val="22"/>
            <w:szCs w:val="24"/>
            <w:u w:val="single"/>
            <w:rtl w:val="true"/>
          </w:rPr>
          <w:t>העונשין</w:t>
        </w:r>
      </w:hyperlink>
      <w:r>
        <w:rPr>
          <w:rtl w:val="true"/>
        </w:rPr>
        <w:t xml:space="preserve">". </w:t>
      </w:r>
      <w:r>
        <w:rPr>
          <w:rtl w:val="true"/>
        </w:rPr>
        <w:t>בבקשתו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המבקש</w:t>
      </w:r>
      <w:r>
        <w:rPr>
          <w:rtl w:val="true"/>
        </w:rPr>
        <w:t xml:space="preserve"> </w:t>
      </w:r>
      <w:r>
        <w:rPr>
          <w:rtl w:val="true"/>
        </w:rPr>
        <w:t>כי ניתן היה לקבל את טענותיו בדבר חפותו כבר בדיון הראשון שהתנהל בפני בית המשפט לעניינים מקומיים</w:t>
      </w:r>
      <w:r>
        <w:rPr>
          <w:rtl w:val="true"/>
        </w:rPr>
        <w:t xml:space="preserve">. </w:t>
      </w:r>
      <w:r>
        <w:rPr>
          <w:rtl w:val="true"/>
        </w:rPr>
        <w:t>ברם</w:t>
      </w:r>
      <w:r>
        <w:rPr>
          <w:rtl w:val="true"/>
        </w:rPr>
        <w:t xml:space="preserve">, </w:t>
      </w:r>
      <w:r>
        <w:rPr>
          <w:rtl w:val="true"/>
        </w:rPr>
        <w:t xml:space="preserve">התנהלות המשיבה אילצה אותו לנהל הליך משפטי ארוך וממושך </w:t>
      </w:r>
      <w:r>
        <w:rPr>
          <w:rtl w:val="true"/>
        </w:rPr>
        <w:t>שכלל</w:t>
      </w:r>
      <w:r>
        <w:rPr>
          <w:rtl w:val="true"/>
        </w:rPr>
        <w:t xml:space="preserve"> </w:t>
      </w:r>
      <w:r>
        <w:rPr>
          <w:rtl w:val="true"/>
        </w:rPr>
        <w:t>דיונים</w:t>
      </w:r>
      <w:r>
        <w:rPr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בקשות</w:t>
      </w:r>
      <w:r>
        <w:rPr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 </w:t>
      </w:r>
      <w:r>
        <w:rPr>
          <w:rtl w:val="true"/>
        </w:rPr>
        <w:t>גילוי</w:t>
      </w:r>
      <w:r>
        <w:rPr>
          <w:rtl w:val="true"/>
        </w:rPr>
        <w:t xml:space="preserve"> </w:t>
      </w:r>
      <w:r>
        <w:rPr>
          <w:rtl w:val="true"/>
        </w:rPr>
        <w:t>חומרי</w:t>
      </w:r>
      <w:r>
        <w:rPr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המערער טען כי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tl w:val="true"/>
        </w:rPr>
        <w:t xml:space="preserve"> </w:t>
      </w:r>
      <w:r>
        <w:rPr>
          <w:rtl w:val="true"/>
        </w:rPr>
        <w:t>אורך</w:t>
      </w:r>
      <w:r>
        <w:rPr>
          <w:rtl w:val="true"/>
        </w:rPr>
        <w:t xml:space="preserve"> </w:t>
      </w:r>
      <w:r>
        <w:rPr>
          <w:rtl w:val="true"/>
        </w:rPr>
        <w:t>הדרך</w:t>
      </w:r>
      <w:r>
        <w:rPr>
          <w:rtl w:val="true"/>
        </w:rPr>
        <w:t xml:space="preserve"> </w:t>
      </w:r>
      <w:r>
        <w:rPr>
          <w:rtl w:val="true"/>
        </w:rPr>
        <w:t>עשתה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שלאל</w:t>
      </w:r>
      <w:r>
        <w:rPr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 </w:t>
      </w:r>
      <w:r>
        <w:rPr>
          <w:rtl w:val="true"/>
        </w:rPr>
        <w:t>כדי</w:t>
      </w:r>
      <w:r>
        <w:rPr>
          <w:rtl w:val="true"/>
        </w:rPr>
        <w:t xml:space="preserve"> </w:t>
      </w:r>
      <w:r>
        <w:rPr>
          <w:rtl w:val="true"/>
        </w:rPr>
        <w:t>לסכל</w:t>
      </w:r>
      <w:r>
        <w:rPr>
          <w:rtl w:val="true"/>
        </w:rPr>
        <w:t xml:space="preserve"> </w:t>
      </w:r>
      <w:r>
        <w:rPr>
          <w:rtl w:val="true"/>
        </w:rPr>
        <w:t>ולהכביד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מבקש</w:t>
      </w:r>
      <w:r>
        <w:rPr>
          <w:rtl w:val="true"/>
        </w:rPr>
        <w:t xml:space="preserve"> </w:t>
      </w:r>
      <w:r>
        <w:rPr>
          <w:rtl w:val="true"/>
        </w:rPr>
        <w:t>מלהשיג</w:t>
      </w:r>
      <w:r>
        <w:rPr>
          <w:rtl w:val="true"/>
        </w:rPr>
        <w:t xml:space="preserve"> </w:t>
      </w:r>
      <w:r>
        <w:rPr>
          <w:rtl w:val="true"/>
        </w:rPr>
        <w:t>ראיות</w:t>
      </w:r>
      <w:r>
        <w:rPr>
          <w:rtl w:val="true"/>
        </w:rPr>
        <w:t xml:space="preserve"> </w:t>
      </w:r>
      <w:r>
        <w:rPr>
          <w:rtl w:val="true"/>
        </w:rPr>
        <w:t xml:space="preserve">לצורך הוכחת </w:t>
      </w:r>
      <w:r>
        <w:rPr>
          <w:rtl w:val="true"/>
        </w:rPr>
        <w:t>חפותו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מהצורך</w:t>
      </w:r>
      <w:r>
        <w:rPr>
          <w:rtl w:val="true"/>
        </w:rPr>
        <w:t xml:space="preserve"> </w:t>
      </w:r>
      <w:r>
        <w:rPr>
          <w:rtl w:val="true"/>
        </w:rPr>
        <w:t>בניהול</w:t>
      </w:r>
      <w:r>
        <w:rPr>
          <w:rtl w:val="true"/>
        </w:rPr>
        <w:t xml:space="preserve"> </w:t>
      </w:r>
      <w:r>
        <w:rPr>
          <w:rtl w:val="true"/>
        </w:rPr>
        <w:t>הליך</w:t>
      </w:r>
      <w:r>
        <w:rPr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 </w:t>
      </w:r>
      <w:r>
        <w:rPr>
          <w:rtl w:val="true"/>
        </w:rPr>
        <w:t>ומסורבל</w:t>
      </w:r>
      <w:r>
        <w:rPr>
          <w:rtl w:val="true"/>
        </w:rPr>
        <w:t xml:space="preserve">, </w:t>
      </w:r>
      <w:r>
        <w:rPr>
          <w:rtl w:val="true"/>
        </w:rPr>
        <w:t>הוצאו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ידו</w:t>
      </w:r>
      <w:r>
        <w:rPr>
          <w:rtl w:val="true"/>
        </w:rPr>
        <w:t xml:space="preserve"> </w:t>
      </w:r>
      <w:r>
        <w:rPr>
          <w:rtl w:val="true"/>
        </w:rPr>
        <w:t>הוצאות</w:t>
      </w:r>
      <w:r>
        <w:rPr>
          <w:rtl w:val="true"/>
        </w:rPr>
        <w:t xml:space="preserve"> </w:t>
      </w:r>
      <w:r>
        <w:rPr>
          <w:rtl w:val="true"/>
        </w:rPr>
        <w:t>המסתכמות</w:t>
      </w:r>
      <w:r>
        <w:rPr>
          <w:rtl w:val="true"/>
        </w:rPr>
        <w:t xml:space="preserve"> </w:t>
      </w:r>
      <w:r>
        <w:rPr>
          <w:rtl w:val="true"/>
        </w:rPr>
        <w:t>בכ</w:t>
      </w:r>
      <w:r>
        <w:rPr>
          <w:rtl w:val="true"/>
        </w:rPr>
        <w:t>-</w:t>
      </w:r>
      <w:r>
        <w:rPr/>
        <w:t>66,00</w:t>
      </w:r>
      <w:r>
        <w:rPr/>
        <w:t>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כפי</w:t>
      </w:r>
      <w:r>
        <w:rPr>
          <w:rtl w:val="true"/>
        </w:rPr>
        <w:t xml:space="preserve"> </w:t>
      </w:r>
      <w:r>
        <w:rPr>
          <w:rtl w:val="true"/>
        </w:rPr>
        <w:t>שבהליכים</w:t>
      </w:r>
      <w:r>
        <w:rPr>
          <w:rtl w:val="true"/>
        </w:rPr>
        <w:t xml:space="preserve"> </w:t>
      </w:r>
      <w:r>
        <w:rPr>
          <w:rtl w:val="true"/>
        </w:rPr>
        <w:t>אזרחיים</w:t>
      </w:r>
      <w:r>
        <w:rPr>
          <w:rtl w:val="true"/>
        </w:rPr>
        <w:t xml:space="preserve"> </w:t>
      </w:r>
      <w:r>
        <w:rPr>
          <w:rtl w:val="true"/>
        </w:rPr>
        <w:t>ברירת</w:t>
      </w:r>
      <w:r>
        <w:rPr>
          <w:rtl w:val="true"/>
        </w:rPr>
        <w:t xml:space="preserve"> </w:t>
      </w:r>
      <w:r>
        <w:rPr>
          <w:rtl w:val="true"/>
        </w:rPr>
        <w:t>המחדל</w:t>
      </w:r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פסיקת</w:t>
      </w:r>
      <w:r>
        <w:rPr>
          <w:rtl w:val="true"/>
        </w:rPr>
        <w:t xml:space="preserve"> </w:t>
      </w:r>
      <w:r>
        <w:rPr>
          <w:rtl w:val="true"/>
        </w:rPr>
        <w:t>הוצאות</w:t>
      </w:r>
      <w:r>
        <w:rPr>
          <w:rtl w:val="true"/>
        </w:rPr>
        <w:t xml:space="preserve"> </w:t>
      </w:r>
      <w:r>
        <w:rPr>
          <w:rtl w:val="true"/>
        </w:rPr>
        <w:t>ריאליות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tl w:val="true"/>
        </w:rPr>
        <w:t xml:space="preserve"> </w:t>
      </w:r>
      <w:r>
        <w:rPr>
          <w:rtl w:val="true"/>
        </w:rPr>
        <w:t>יש</w:t>
      </w:r>
      <w:r>
        <w:rPr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 </w:t>
      </w:r>
      <w:r>
        <w:rPr>
          <w:rtl w:val="true"/>
        </w:rPr>
        <w:t>אף</w:t>
      </w:r>
      <w:r>
        <w:rPr>
          <w:rtl w:val="true"/>
        </w:rPr>
        <w:t xml:space="preserve"> </w:t>
      </w:r>
      <w:r>
        <w:rPr>
          <w:rtl w:val="true"/>
        </w:rPr>
        <w:t>שאין</w:t>
      </w:r>
      <w:r>
        <w:rPr>
          <w:rtl w:val="true"/>
        </w:rPr>
        <w:t xml:space="preserve"> </w:t>
      </w:r>
      <w:r>
        <w:rPr>
          <w:rtl w:val="true"/>
        </w:rPr>
        <w:t>המדובר</w:t>
      </w:r>
      <w:r>
        <w:rPr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 </w:t>
      </w:r>
      <w:r>
        <w:rPr>
          <w:rtl w:val="true"/>
        </w:rPr>
        <w:t>אזרחי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בתגוב</w:t>
      </w:r>
      <w:r>
        <w:rPr>
          <w:rtl w:val="true"/>
        </w:rPr>
        <w:t>ת</w:t>
      </w:r>
      <w:r>
        <w:rPr>
          <w:rtl w:val="true"/>
        </w:rPr>
        <w:t>ה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10.2.2022</w:t>
      </w:r>
      <w:r>
        <w:rPr>
          <w:rtl w:val="true"/>
        </w:rPr>
        <w:t xml:space="preserve">, </w:t>
      </w:r>
      <w:r>
        <w:rPr>
          <w:rtl w:val="true"/>
        </w:rPr>
        <w:t>השיבה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הסכמתה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המלצת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ובשל</w:t>
      </w:r>
      <w:r>
        <w:rPr>
          <w:rtl w:val="true"/>
        </w:rPr>
        <w:t xml:space="preserve"> </w:t>
      </w:r>
      <w:r>
        <w:rPr>
          <w:rtl w:val="true"/>
        </w:rPr>
        <w:t>נסיבותי</w:t>
      </w:r>
      <w:r>
        <w:rPr>
          <w:rtl w:val="true"/>
        </w:rPr>
        <w:t>ו</w:t>
      </w:r>
      <w:r>
        <w:rPr>
          <w:rtl w:val="true"/>
        </w:rPr>
        <w:t xml:space="preserve"> </w:t>
      </w:r>
      <w:r>
        <w:rPr>
          <w:rtl w:val="true"/>
        </w:rPr>
        <w:t>הייחודית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התיק</w:t>
      </w:r>
      <w:r>
        <w:rPr>
          <w:rtl w:val="true"/>
        </w:rPr>
        <w:t xml:space="preserve"> דנן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הנחת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לעניינים</w:t>
      </w:r>
      <w:r>
        <w:rPr>
          <w:rtl w:val="true"/>
        </w:rPr>
        <w:t xml:space="preserve"> </w:t>
      </w:r>
      <w:r>
        <w:rPr>
          <w:rtl w:val="true"/>
        </w:rPr>
        <w:t>מקומיים</w:t>
      </w:r>
      <w:r>
        <w:rPr>
          <w:rtl w:val="true"/>
        </w:rPr>
        <w:t xml:space="preserve"> </w:t>
      </w:r>
      <w:r>
        <w:rPr>
          <w:rtl w:val="true"/>
        </w:rPr>
        <w:t xml:space="preserve">–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הוסיפה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נקודת</w:t>
      </w:r>
      <w:r>
        <w:rPr>
          <w:rtl w:val="true"/>
        </w:rPr>
        <w:t xml:space="preserve"> </w:t>
      </w:r>
      <w:r>
        <w:rPr>
          <w:rtl w:val="true"/>
        </w:rPr>
        <w:t>המוצא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הינה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עצם</w:t>
      </w:r>
      <w:r>
        <w:rPr>
          <w:rtl w:val="true"/>
        </w:rPr>
        <w:t xml:space="preserve"> </w:t>
      </w:r>
      <w:r>
        <w:rPr>
          <w:rtl w:val="true"/>
        </w:rPr>
        <w:t>הזיכוי</w:t>
      </w:r>
      <w:r>
        <w:rPr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 </w:t>
      </w:r>
      <w:r>
        <w:rPr>
          <w:rtl w:val="true"/>
        </w:rPr>
        <w:t>אינה</w:t>
      </w:r>
      <w:r>
        <w:rPr>
          <w:rtl w:val="true"/>
        </w:rPr>
        <w:t xml:space="preserve"> </w:t>
      </w:r>
      <w:r>
        <w:rPr>
          <w:rtl w:val="true"/>
        </w:rPr>
        <w:t>מקנה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מניה</w:t>
      </w:r>
      <w:r>
        <w:rPr>
          <w:rtl w:val="true"/>
        </w:rPr>
        <w:t xml:space="preserve"> </w:t>
      </w:r>
      <w:r>
        <w:rPr>
          <w:rtl w:val="true"/>
        </w:rPr>
        <w:t>וביה</w:t>
      </w:r>
      <w:r>
        <w:rPr>
          <w:rtl w:val="true"/>
        </w:rPr>
        <w:t xml:space="preserve">, </w:t>
      </w:r>
      <w:r>
        <w:rPr>
          <w:rtl w:val="true"/>
        </w:rPr>
        <w:t>זכות</w:t>
      </w:r>
      <w:r>
        <w:rPr>
          <w:rtl w:val="true"/>
        </w:rPr>
        <w:t xml:space="preserve"> </w:t>
      </w:r>
      <w:r>
        <w:rPr>
          <w:rtl w:val="true"/>
        </w:rPr>
        <w:t>לפיצויים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מנת</w:t>
      </w:r>
      <w:r>
        <w:rPr>
          <w:rtl w:val="true"/>
        </w:rPr>
        <w:t xml:space="preserve"> </w:t>
      </w:r>
      <w:r>
        <w:rPr>
          <w:rtl w:val="true"/>
        </w:rPr>
        <w:t>שזכות</w:t>
      </w:r>
      <w:r>
        <w:rPr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 </w:t>
      </w:r>
      <w:r>
        <w:rPr>
          <w:rtl w:val="true"/>
        </w:rPr>
        <w:t>תקום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מערער</w:t>
      </w:r>
      <w:r>
        <w:rPr>
          <w:rtl w:val="true"/>
        </w:rPr>
        <w:t xml:space="preserve"> </w:t>
      </w:r>
      <w:r>
        <w:rPr>
          <w:rtl w:val="true"/>
        </w:rPr>
        <w:t>להוכיח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tl w:val="true"/>
        </w:rPr>
        <w:t xml:space="preserve"> </w:t>
      </w:r>
      <w:r>
        <w:rPr>
          <w:rtl w:val="true"/>
        </w:rPr>
        <w:t>יסוד</w:t>
      </w:r>
      <w:r>
        <w:rPr>
          <w:rtl w:val="true"/>
        </w:rPr>
        <w:t xml:space="preserve"> </w:t>
      </w:r>
      <w:r>
        <w:rPr>
          <w:rtl w:val="true"/>
        </w:rPr>
        <w:t>להאש</w:t>
      </w:r>
      <w:r>
        <w:rPr>
          <w:rtl w:val="true"/>
        </w:rPr>
        <w:t>י</w:t>
      </w:r>
      <w:r>
        <w:rPr>
          <w:rtl w:val="true"/>
        </w:rPr>
        <w:t>מו</w:t>
      </w:r>
      <w:r>
        <w:rPr>
          <w:rtl w:val="true"/>
        </w:rPr>
        <w:t xml:space="preserve">, </w:t>
      </w:r>
      <w:r>
        <w:rPr>
          <w:rtl w:val="true"/>
        </w:rPr>
        <w:t xml:space="preserve">או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קיימות</w:t>
      </w:r>
      <w:r>
        <w:rPr>
          <w:rtl w:val="true"/>
        </w:rPr>
        <w:t xml:space="preserve">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 </w:t>
      </w:r>
      <w:r>
        <w:rPr>
          <w:rtl w:val="true"/>
        </w:rPr>
        <w:t>המצדיקות</w:t>
      </w:r>
      <w:r>
        <w:rPr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; </w:t>
      </w:r>
      <w:r>
        <w:rPr>
          <w:rtl w:val="true"/>
        </w:rPr>
        <w:t>ולשיטת המשיבה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שתי</w:t>
      </w:r>
      <w:r>
        <w:rPr>
          <w:rtl w:val="true"/>
        </w:rPr>
        <w:t xml:space="preserve"> </w:t>
      </w:r>
      <w:r>
        <w:rPr>
          <w:rtl w:val="true"/>
        </w:rPr>
        <w:t>החלופות</w:t>
      </w:r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tl w:val="true"/>
        </w:rPr>
        <w:t xml:space="preserve"> </w:t>
      </w:r>
      <w:r>
        <w:rPr>
          <w:rtl w:val="true"/>
        </w:rPr>
        <w:t>מתקיימות</w:t>
      </w:r>
      <w:r>
        <w:rPr>
          <w:rtl w:val="true"/>
        </w:rPr>
        <w:t xml:space="preserve"> </w:t>
      </w:r>
      <w:r>
        <w:rPr>
          <w:rtl w:val="true"/>
        </w:rPr>
        <w:t>בעניין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>סברה המשיבה כי יש לדחות את בקשת 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11.2.2022</w:t>
      </w:r>
      <w:r>
        <w:rPr>
          <w:rtl w:val="true"/>
        </w:rPr>
        <w:t xml:space="preserve"> </w:t>
      </w:r>
      <w:r>
        <w:rPr>
          <w:rtl w:val="true"/>
        </w:rPr>
        <w:t>ניתנה</w:t>
      </w:r>
      <w:r>
        <w:rPr>
          <w:rtl w:val="true"/>
        </w:rPr>
        <w:t xml:space="preserve"> </w:t>
      </w:r>
      <w:r>
        <w:rPr>
          <w:rtl w:val="true"/>
        </w:rPr>
        <w:t>החלטת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ושא</w:t>
      </w:r>
      <w:r>
        <w:rPr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במסגרתה</w:t>
      </w:r>
      <w:r>
        <w:rPr>
          <w:rtl w:val="true"/>
        </w:rPr>
        <w:t xml:space="preserve"> </w:t>
      </w:r>
      <w:r>
        <w:rPr>
          <w:rtl w:val="true"/>
        </w:rPr>
        <w:t>נדחתה</w:t>
      </w:r>
      <w:r>
        <w:rPr>
          <w:rtl w:val="true"/>
        </w:rPr>
        <w:t xml:space="preserve"> </w:t>
      </w:r>
      <w:r>
        <w:rPr>
          <w:rtl w:val="true"/>
        </w:rPr>
        <w:t>בקשת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 </w:t>
      </w:r>
      <w:r>
        <w:rPr>
          <w:rtl w:val="true"/>
        </w:rPr>
        <w:t>לחיוב</w:t>
      </w:r>
      <w:r>
        <w:rPr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 </w:t>
      </w:r>
      <w:r>
        <w:rPr>
          <w:rtl w:val="true"/>
        </w:rPr>
        <w:t>בהוצאות</w:t>
      </w:r>
      <w:r>
        <w:rPr>
          <w:rtl w:val="true"/>
        </w:rPr>
        <w:t xml:space="preserve"> </w:t>
      </w:r>
      <w:r>
        <w:rPr>
          <w:rtl w:val="true"/>
        </w:rPr>
        <w:t>מכ</w:t>
      </w:r>
      <w:r>
        <w:rPr>
          <w:rtl w:val="true"/>
        </w:rPr>
        <w:t>ו</w:t>
      </w:r>
      <w:r>
        <w:rPr>
          <w:rtl w:val="true"/>
        </w:rPr>
        <w:t>ח</w:t>
      </w:r>
      <w:r>
        <w:rPr>
          <w:rtl w:val="true"/>
        </w:rPr>
        <w:t xml:space="preserve"> 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בהחלטתו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 </w:t>
      </w:r>
      <w:r>
        <w:rPr>
          <w:rtl w:val="true"/>
        </w:rPr>
        <w:t>המלצתו</w:t>
      </w:r>
      <w:r>
        <w:rPr>
          <w:rtl w:val="true"/>
        </w:rPr>
        <w:t xml:space="preserve"> </w:t>
      </w:r>
      <w:r>
        <w:rPr>
          <w:rtl w:val="true"/>
        </w:rPr>
        <w:t>למשיבה</w:t>
      </w:r>
      <w:r>
        <w:rPr>
          <w:rtl w:val="true"/>
        </w:rPr>
        <w:t xml:space="preserve"> </w:t>
      </w:r>
      <w:r>
        <w:rPr>
          <w:rtl w:val="true"/>
        </w:rPr>
        <w:t>להסכים</w:t>
      </w:r>
      <w:r>
        <w:rPr>
          <w:rtl w:val="true"/>
        </w:rPr>
        <w:t xml:space="preserve"> </w:t>
      </w:r>
      <w:r>
        <w:rPr>
          <w:rtl w:val="true"/>
        </w:rPr>
        <w:t>לקבלת</w:t>
      </w:r>
      <w:r>
        <w:rPr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מקורה</w:t>
      </w:r>
      <w:r>
        <w:rPr>
          <w:rtl w:val="true"/>
        </w:rPr>
        <w:t xml:space="preserve"> </w:t>
      </w:r>
      <w:r>
        <w:rPr>
          <w:rtl w:val="true"/>
        </w:rPr>
        <w:t>בהחלטת</w:t>
      </w:r>
      <w:r>
        <w:rPr>
          <w:rtl w:val="true"/>
        </w:rPr>
        <w:t xml:space="preserve"> </w:t>
      </w:r>
      <w:r>
        <w:rPr>
          <w:rtl w:val="true"/>
        </w:rPr>
        <w:t>הפתקית</w:t>
      </w:r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tl w:val="true"/>
        </w:rPr>
        <w:t xml:space="preserve"> </w:t>
      </w:r>
      <w:r>
        <w:rPr/>
        <w:t>9.9.2022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tl w:val="true"/>
        </w:rPr>
        <w:t xml:space="preserve"> </w:t>
      </w:r>
      <w:r>
        <w:rPr>
          <w:rtl w:val="true"/>
        </w:rPr>
        <w:t>הוספה</w:t>
      </w:r>
      <w:r>
        <w:rPr>
          <w:rtl w:val="true"/>
        </w:rPr>
        <w:t xml:space="preserve"> </w:t>
      </w:r>
      <w:r>
        <w:rPr>
          <w:rtl w:val="true"/>
        </w:rPr>
        <w:t>המילה</w:t>
      </w:r>
      <w:r>
        <w:rPr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מהימנה</w:t>
      </w:r>
      <w:r>
        <w:rPr>
          <w:rtl w:val="true"/>
        </w:rPr>
        <w:t xml:space="preserve">" </w:t>
      </w:r>
      <w:r>
        <w:rPr>
          <w:rtl w:val="true"/>
        </w:rPr>
        <w:t>לתיאור</w:t>
      </w:r>
      <w:r>
        <w:rPr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 </w:t>
      </w:r>
      <w:r>
        <w:rPr>
          <w:rtl w:val="true"/>
        </w:rPr>
        <w:t>הטע</w:t>
      </w:r>
      <w:r>
        <w:rPr>
          <w:rtl w:val="true"/>
        </w:rPr>
        <w:t>י</w:t>
      </w:r>
      <w:r>
        <w:rPr>
          <w:rtl w:val="true"/>
        </w:rPr>
        <w:t>ם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סבר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הקביעות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בפתקי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בכפיפה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וציין כי</w:t>
      </w:r>
      <w:r>
        <w:rPr>
          <w:rFonts w:cs="Century" w:ascii="Century" w:hAnsi="Century"/>
          <w:sz w:val="22"/>
          <w:rtl w:val="true"/>
        </w:rPr>
        <w:t>:</w:t>
      </w:r>
      <w:r>
        <w:rPr>
          <w:rFonts w:cs="Century" w:ascii="Century" w:hAnsi="Century"/>
          <w:sz w:val="22"/>
          <w:rtl w:val="true"/>
        </w:rPr>
        <w:t xml:space="preserve"> 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מכאן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הוכח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כי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לרישום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הודעת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הקנס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בערעור בפנינו שב המערער על טענתו כי </w:t>
      </w:r>
      <w:r>
        <w:rPr>
          <w:rtl w:val="true"/>
        </w:rPr>
        <w:t>ניתן</w:t>
      </w:r>
      <w:r>
        <w:rPr>
          <w:rtl w:val="true"/>
        </w:rPr>
        <w:t xml:space="preserve"> היה</w:t>
      </w:r>
      <w:r>
        <w:rPr>
          <w:rtl w:val="true"/>
        </w:rPr>
        <w:t xml:space="preserve"> </w:t>
      </w:r>
      <w:r>
        <w:rPr>
          <w:rtl w:val="true"/>
        </w:rPr>
        <w:t>לקבל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tl w:val="true"/>
        </w:rPr>
        <w:t xml:space="preserve"> </w:t>
      </w:r>
      <w:r>
        <w:rPr>
          <w:rtl w:val="true"/>
        </w:rPr>
        <w:t>טענותיו</w:t>
      </w:r>
      <w:r>
        <w:rPr>
          <w:rtl w:val="true"/>
        </w:rPr>
        <w:t xml:space="preserve"> </w:t>
      </w:r>
      <w:r>
        <w:rPr>
          <w:rtl w:val="true"/>
        </w:rPr>
        <w:t xml:space="preserve">בדבר חפותו </w:t>
      </w:r>
      <w:r>
        <w:rPr>
          <w:rtl w:val="true"/>
        </w:rPr>
        <w:t>כבר</w:t>
      </w:r>
      <w:r>
        <w:rPr>
          <w:rtl w:val="true"/>
        </w:rPr>
        <w:t xml:space="preserve"> </w:t>
      </w:r>
      <w:r>
        <w:rPr>
          <w:rtl w:val="true"/>
        </w:rPr>
        <w:t>בפתח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 </w:t>
      </w:r>
      <w:r>
        <w:rPr>
          <w:rtl w:val="true"/>
        </w:rPr>
        <w:t>לעניינים</w:t>
      </w:r>
      <w:r>
        <w:rPr>
          <w:rtl w:val="true"/>
        </w:rPr>
        <w:t xml:space="preserve"> </w:t>
      </w:r>
      <w:r>
        <w:rPr>
          <w:rtl w:val="true"/>
        </w:rPr>
        <w:t>מקומיים</w:t>
      </w:r>
      <w:r>
        <w:rPr>
          <w:rtl w:val="true"/>
        </w:rPr>
        <w:t xml:space="preserve">, </w:t>
      </w:r>
      <w:r>
        <w:rPr>
          <w:rtl w:val="true"/>
        </w:rPr>
        <w:t>וכי הסכמת המשיבה לקבלת הערעור בבית המשפט המחוזי מהווה עדות לכך</w:t>
      </w:r>
      <w:r>
        <w:rPr>
          <w:rtl w:val="true"/>
        </w:rPr>
        <w:t xml:space="preserve">. </w:t>
      </w:r>
      <w:r>
        <w:rPr>
          <w:rtl w:val="true"/>
        </w:rPr>
        <w:t>עוד שב המערער על טענתו כי המשיבה היא האחראית להימשכות ההליך בפני הערכאות קמא</w:t>
      </w:r>
      <w:r>
        <w:rPr>
          <w:rtl w:val="true"/>
        </w:rPr>
        <w:t xml:space="preserve">, </w:t>
      </w:r>
      <w:r>
        <w:rPr>
          <w:rtl w:val="true"/>
        </w:rPr>
        <w:t>כך שעליה לשאת בהוצאותיו הריאליות</w:t>
      </w:r>
      <w:r>
        <w:rPr>
          <w:rtl w:val="true"/>
        </w:rPr>
        <w:t xml:space="preserve">, </w:t>
      </w:r>
      <w:r>
        <w:rPr>
          <w:rtl w:val="true"/>
        </w:rPr>
        <w:t>כשם שהוא הדין בהליכים אזרחיים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tl w:val="true"/>
        </w:rPr>
        <w:t xml:space="preserve">.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מצדיק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כשלעצמו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תמיד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פסיקת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הוצאות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המערער טוען כי בית המשפט קמא שגה את שייחס חשיבות להיות המערער עורך דין במקצועו</w:t>
      </w:r>
      <w:r>
        <w:rPr>
          <w:rtl w:val="true"/>
        </w:rPr>
        <w:t xml:space="preserve">, </w:t>
      </w:r>
      <w:r>
        <w:rPr>
          <w:rtl w:val="true"/>
        </w:rPr>
        <w:t>וכי עובדה זו אינה יכולה להוות שיקול לשלילית זכאותו לפיצוי ולפסיקת הוצאות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Fonts w:eastAsia="Garamond"/>
          <w:rtl w:val="true"/>
        </w:rPr>
        <w:t xml:space="preserve">  </w:t>
      </w:r>
      <w:hyperlink r:id="rId4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מקנה ל</w:t>
      </w:r>
      <w:r>
        <w:rPr>
          <w:rtl w:val="true"/>
        </w:rPr>
        <w:t>נאשם שזוכה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או שכתב האישום נגדו בוטל</w:t>
      </w:r>
      <w:r>
        <w:rPr>
          <w:rtl w:val="true"/>
        </w:rPr>
        <w:t xml:space="preserve">, </w:t>
      </w:r>
      <w:r>
        <w:rPr>
          <w:rtl w:val="true"/>
        </w:rPr>
        <w:t>זכות לעתור לבית המשפט לקבלת פיצויים ולפסיקת הוצאות</w:t>
      </w:r>
      <w:r>
        <w:rPr>
          <w:rtl w:val="true"/>
        </w:rPr>
        <w:t xml:space="preserve">. </w:t>
      </w:r>
      <w:r>
        <w:rPr>
          <w:rtl w:val="true"/>
        </w:rPr>
        <w:t>וזו לשון הסעיף</w:t>
      </w:r>
      <w:r>
        <w:rPr>
          <w:rtl w:val="true"/>
        </w:rPr>
        <w:t>:</w:t>
      </w:r>
    </w:p>
    <w:p>
      <w:pPr>
        <w:pStyle w:val="Ruller5"/>
        <w:ind w:end="1282"/>
        <w:jc w:val="both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שנפתח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קובלנה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זוכה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סעיף</w:t>
      </w:r>
      <w:r>
        <w:rPr>
          <w:rFonts w:eastAsia="Arial TUR;Arial" w:cs="Arial TUR;Arial"/>
          <w:rtl w:val="true"/>
        </w:rPr>
        <w:t xml:space="preserve"> </w:t>
      </w:r>
      <w:r>
        <w:rPr/>
        <w:t>94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5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סדר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הדין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הפלילי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תשמ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1982</w:t>
      </w:r>
      <w:r>
        <w:rPr>
          <w:rtl w:val="true"/>
        </w:rPr>
        <w:t xml:space="preserve"> </w:t>
      </w:r>
      <w:r>
        <w:rPr>
          <w:rtl w:val="true"/>
        </w:rPr>
        <w:t>בסכום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שייראה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"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יודגש כי הזכות המוענקת מכוח סעיף החוק דלעיל הינה זכות יחסית</w:t>
      </w:r>
      <w:r>
        <w:rPr>
          <w:rtl w:val="true"/>
        </w:rPr>
        <w:t xml:space="preserve">, </w:t>
      </w:r>
      <w:r>
        <w:rPr>
          <w:rtl w:val="true"/>
        </w:rPr>
        <w:t xml:space="preserve">והיעתרות לבקשה מכוח </w:t>
      </w: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לחוק נתונה לשיקול דעתו של בית המשפט </w:t>
      </w:r>
      <w:r>
        <w:rPr>
          <w:rtl w:val="true"/>
        </w:rPr>
        <w:t>(</w:t>
      </w:r>
      <w:hyperlink r:id="rId5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1325/19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ברון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</w:t>
      </w:r>
      <w:r>
        <w:rPr/>
        <w:t>1</w:t>
      </w:r>
      <w:r>
        <w:rPr/>
        <w:t>.2020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tl w:val="true"/>
        </w:rPr>
        <w:t xml:space="preserve">)). </w:t>
      </w:r>
      <w:r>
        <w:rPr>
          <w:rtl w:val="true"/>
        </w:rPr>
        <w:t>בהכריעו האם להיעתר לבקשה מכוח סעיף זה</w:t>
      </w:r>
      <w:r>
        <w:rPr>
          <w:rtl w:val="true"/>
        </w:rPr>
        <w:t xml:space="preserve">, </w:t>
      </w:r>
      <w:r>
        <w:rPr>
          <w:rtl w:val="true"/>
        </w:rPr>
        <w:t xml:space="preserve">שומה על בית המשפט </w:t>
      </w:r>
      <w:r>
        <w:rPr>
          <w:rtl w:val="true"/>
        </w:rPr>
        <w:t xml:space="preserve">לאזן בין הנזק שנגרם לנאשם </w:t>
      </w:r>
      <w:r>
        <w:rPr>
          <w:rtl w:val="true"/>
        </w:rPr>
        <w:t>מקיום ההליך הפלילי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לבין האינטרס הציבורי באכיפת החוק והחשש מהרתעת </w:t>
      </w:r>
      <w:r>
        <w:rPr>
          <w:rtl w:val="true"/>
        </w:rPr>
        <w:t xml:space="preserve">יתר של </w:t>
      </w:r>
      <w:r>
        <w:rPr>
          <w:rtl w:val="true"/>
        </w:rPr>
        <w:t>המדינה מניהול הליכים פליליים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שם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שהכריעה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7235/16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11.2.2018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5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 xml:space="preserve">; 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2255/15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אגבריה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מזוז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22.</w:t>
      </w:r>
      <w:r>
        <w:rPr/>
        <w:t>3</w:t>
      </w:r>
      <w:r>
        <w:rPr/>
        <w:t>.2016</w:t>
      </w:r>
      <w:r>
        <w:rPr>
          <w:rtl w:val="true"/>
        </w:rPr>
        <w:t>)</w:t>
      </w:r>
      <w:r>
        <w:rPr>
          <w:rtl w:val="true"/>
        </w:rPr>
        <w:t xml:space="preserve">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5097/10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עמית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15.1.2013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בוגנים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תחילה יוער כי בניגוד לטענת המערער</w:t>
      </w:r>
      <w:r>
        <w:rPr>
          <w:rtl w:val="true"/>
        </w:rPr>
        <w:t xml:space="preserve">, </w:t>
      </w:r>
      <w:r>
        <w:rPr>
          <w:rtl w:val="true"/>
        </w:rPr>
        <w:t xml:space="preserve">לא ניתן ללמוד גזירה שווה מהדין הנוגע לפסיקת הוצאת משפט בהליכים אזרחיים לעניין פסיקת הוצאות משפט או פיצויים מכוח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 בהליכים פליליים</w:t>
      </w:r>
      <w:r>
        <w:rPr>
          <w:rtl w:val="true"/>
        </w:rPr>
        <w:t xml:space="preserve">. </w:t>
      </w:r>
      <w:r>
        <w:rPr>
          <w:rtl w:val="true"/>
        </w:rPr>
        <w:t>בניגוד למשפט האזרחי</w:t>
      </w:r>
      <w:r>
        <w:rPr>
          <w:rtl w:val="true"/>
        </w:rPr>
        <w:t xml:space="preserve">, </w:t>
      </w:r>
      <w:r>
        <w:rPr>
          <w:rtl w:val="true"/>
        </w:rPr>
        <w:t>בגדרו כלל הבסיס הוא שהצד המפסיד חייב לשאת בהוצאותיו של הצד שזכה בדין</w:t>
      </w:r>
      <w:r>
        <w:rPr>
          <w:rtl w:val="true"/>
        </w:rPr>
        <w:t xml:space="preserve">; </w:t>
      </w:r>
      <w:r>
        <w:rPr>
          <w:rtl w:val="true"/>
        </w:rPr>
        <w:t xml:space="preserve">במשפט הפלילי תשלום הוצאות משפט הוא החריג לכלל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4818/18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הריסון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 xml:space="preserve">פסקה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הנדל</w:t>
      </w:r>
      <w:r>
        <w:rPr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5.8.2019</w:t>
      </w:r>
      <w:r>
        <w:rPr>
          <w:rtl w:val="true"/>
        </w:rPr>
        <w:t xml:space="preserve">)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הריסון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;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4466/98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 xml:space="preserve">ד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73</w:t>
      </w:r>
      <w:r>
        <w:rPr>
          <w:rtl w:val="true"/>
        </w:rPr>
        <w:t xml:space="preserve">, </w:t>
      </w:r>
      <w:r>
        <w:rPr/>
        <w:t>97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62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7826/96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רייש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נא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1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481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486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1997</w:t>
      </w:r>
      <w:r>
        <w:rPr>
          <w:rFonts w:cs="Century" w:ascii="Century" w:hAnsi="Century"/>
          <w:sz w:val="22"/>
          <w:rtl w:val="true"/>
        </w:rPr>
        <w:t xml:space="preserve">); </w:t>
      </w:r>
      <w:hyperlink r:id="rId63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המ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 xml:space="preserve">'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28/77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קמארה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ד לא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cs="Century" w:ascii="Century" w:hAnsi="Century"/>
          <w:sz w:val="22"/>
        </w:rPr>
        <w:t>2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cs="Century" w:ascii="Century" w:hAnsi="Century"/>
          <w:sz w:val="22"/>
        </w:rPr>
        <w:t>69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cs="Century" w:ascii="Century" w:hAnsi="Century"/>
          <w:sz w:val="22"/>
        </w:rPr>
        <w:t>70</w:t>
      </w:r>
      <w:r>
        <w:rPr>
          <w:rFonts w:cs="Century" w:ascii="Century" w:hAnsi="Century"/>
          <w:sz w:val="22"/>
          <w:rtl w:val="true"/>
        </w:rPr>
        <w:t xml:space="preserve"> (</w:t>
      </w:r>
      <w:r>
        <w:rPr>
          <w:rFonts w:cs="Century" w:ascii="Century" w:hAnsi="Century"/>
          <w:sz w:val="22"/>
        </w:rPr>
        <w:t>1977</w:t>
      </w:r>
      <w:r>
        <w:rPr>
          <w:rFonts w:cs="Century" w:ascii="Century" w:hAnsi="Century"/>
          <w:sz w:val="22"/>
          <w:rtl w:val="true"/>
        </w:rPr>
        <w:t>)).</w:t>
      </w:r>
      <w:r>
        <w:rPr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6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ביסודה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בבירור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זיכוי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מוביל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בהכרח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לקבלת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פיצוי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בגין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מעצר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לתשלום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הוצאות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הגנה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מאוצר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המדינה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.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סעיף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80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</w:t>
      </w:r>
      <w:hyperlink r:id="rId65"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b/>
            <w:b/>
            <w:color w:val="0000FF"/>
            <w:spacing w:val="0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Miriam"/>
            <w:b/>
            <w:b/>
            <w:color w:val="0000FF"/>
            <w:spacing w:val="0"/>
            <w:szCs w:val="24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מבטא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תפיסה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לפיה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הפלילי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מורכב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יותר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מגישה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</w:t>
      </w:r>
      <w:r>
        <w:rPr>
          <w:rFonts w:cs="Miriam" w:ascii="Century" w:hAnsi="Century"/>
          <w:b/>
          <w:spacing w:val="0"/>
          <w:szCs w:val="24"/>
          <w:rtl w:val="true"/>
        </w:rPr>
        <w:t>...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הריסון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tl w:val="true"/>
        </w:rPr>
        <w:t xml:space="preserve">;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ברון</w:t>
      </w:r>
      <w:r>
        <w:rPr>
          <w:rtl w:val="true"/>
        </w:rPr>
        <w:t xml:space="preserve">; 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853/19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7</w:t>
      </w:r>
      <w:r>
        <w:rPr/>
        <w:t>.11.2019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עניין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אם כן</w:t>
      </w:r>
      <w:r>
        <w:rPr>
          <w:rtl w:val="true"/>
        </w:rPr>
        <w:t xml:space="preserve">, </w:t>
      </w:r>
      <w:r>
        <w:rPr>
          <w:rtl w:val="true"/>
        </w:rPr>
        <w:t xml:space="preserve">הכלל הוא </w:t>
      </w:r>
      <w:r>
        <w:rPr>
          <w:rtl w:val="true"/>
        </w:rPr>
        <w:t>שלא</w:t>
      </w:r>
      <w:r>
        <w:rPr>
          <w:rtl w:val="true"/>
        </w:rPr>
        <w:t xml:space="preserve"> </w:t>
      </w:r>
      <w:r>
        <w:rPr>
          <w:rtl w:val="true"/>
        </w:rPr>
        <w:t>כל</w:t>
      </w:r>
      <w:r>
        <w:rPr>
          <w:rtl w:val="true"/>
        </w:rPr>
        <w:t xml:space="preserve"> </w:t>
      </w:r>
      <w:r>
        <w:rPr>
          <w:rtl w:val="true"/>
        </w:rPr>
        <w:t>חזרה</w:t>
      </w:r>
      <w:r>
        <w:rPr>
          <w:rtl w:val="true"/>
        </w:rPr>
        <w:t xml:space="preserve"> </w:t>
      </w:r>
      <w:r>
        <w:rPr>
          <w:rtl w:val="true"/>
        </w:rPr>
        <w:t>מאישום</w:t>
      </w:r>
      <w:r>
        <w:rPr>
          <w:rtl w:val="true"/>
        </w:rPr>
        <w:t xml:space="preserve"> או </w:t>
      </w:r>
      <w:r>
        <w:rPr>
          <w:rtl w:val="true"/>
        </w:rPr>
        <w:t>זיכו</w:t>
      </w:r>
      <w:r>
        <w:rPr>
          <w:rtl w:val="true"/>
        </w:rPr>
        <w:t>י</w:t>
      </w:r>
      <w:r>
        <w:rPr>
          <w:rtl w:val="true"/>
        </w:rPr>
        <w:t xml:space="preserve"> </w:t>
      </w:r>
      <w:r>
        <w:rPr>
          <w:rtl w:val="true"/>
        </w:rPr>
        <w:t>יובילו</w:t>
      </w:r>
      <w:r>
        <w:rPr>
          <w:rtl w:val="true"/>
        </w:rPr>
        <w:t xml:space="preserve"> </w:t>
      </w:r>
      <w:r>
        <w:rPr>
          <w:rtl w:val="true"/>
        </w:rPr>
        <w:t>בהכרח</w:t>
      </w:r>
      <w:r>
        <w:rPr>
          <w:rtl w:val="true"/>
        </w:rPr>
        <w:t xml:space="preserve"> </w:t>
      </w:r>
      <w:r>
        <w:rPr>
          <w:rtl w:val="true"/>
        </w:rPr>
        <w:t>לפסיקת</w:t>
      </w:r>
      <w:r>
        <w:rPr>
          <w:rtl w:val="true"/>
        </w:rPr>
        <w:t xml:space="preserve"> </w:t>
      </w:r>
      <w:r>
        <w:rPr>
          <w:rtl w:val="true"/>
        </w:rPr>
        <w:t>פיצויים</w:t>
      </w:r>
      <w:r>
        <w:rPr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 או לחיוב המאשימה בהוצאות המשפט</w:t>
      </w:r>
      <w:r>
        <w:rPr>
          <w:rtl w:val="true"/>
        </w:rPr>
        <w:t xml:space="preserve">. </w:t>
      </w:r>
      <w:r>
        <w:rPr>
          <w:rtl w:val="true"/>
        </w:rPr>
        <w:t>פסיקת פיצויים או הוצאות משפט כאמור</w:t>
      </w:r>
      <w:r>
        <w:rPr>
          <w:rtl w:val="true"/>
        </w:rPr>
        <w:t xml:space="preserve">, </w:t>
      </w:r>
      <w:r>
        <w:rPr>
          <w:rtl w:val="true"/>
        </w:rPr>
        <w:t xml:space="preserve">מכוח </w:t>
      </w:r>
      <w:hyperlink r:id="rId6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יכולה שתעשה אך ורק </w:t>
      </w:r>
      <w:r>
        <w:rPr>
          <w:rtl w:val="true"/>
        </w:rPr>
        <w:t>בהתקיימותה של אחת משתי חלופות</w:t>
      </w:r>
      <w:r>
        <w:rPr>
          <w:rtl w:val="true"/>
        </w:rPr>
        <w:t xml:space="preserve"> המנויות בסעיף זה </w:t>
      </w:r>
      <w:r>
        <w:rPr>
          <w:rtl w:val="true"/>
        </w:rPr>
        <w:t xml:space="preserve">– כאשר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להאשמה</w:t>
      </w:r>
      <w:r>
        <w:rPr>
          <w:rtl w:val="true"/>
        </w:rPr>
        <w:t xml:space="preserve">"; </w:t>
      </w:r>
      <w:r>
        <w:rPr>
          <w:rtl w:val="true"/>
        </w:rPr>
        <w:t xml:space="preserve">או בהתקיים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המצדיקות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זאת</w:t>
      </w:r>
      <w:r>
        <w:rPr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כפי שיובהר להלן</w:t>
      </w:r>
      <w:r>
        <w:rPr>
          <w:rtl w:val="true"/>
        </w:rPr>
        <w:t xml:space="preserve">, </w:t>
      </w:r>
      <w:r>
        <w:rPr>
          <w:rtl w:val="true"/>
        </w:rPr>
        <w:t>שתי החלופות הנ</w:t>
      </w:r>
      <w:r>
        <w:rPr>
          <w:rtl w:val="true"/>
        </w:rPr>
        <w:t>"</w:t>
      </w:r>
      <w:r>
        <w:rPr>
          <w:rtl w:val="true"/>
        </w:rPr>
        <w:t>ל לא מתקיימות בענייננו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 xml:space="preserve">בפסיקת בית משפט זה נקבע שהנטל על הטוען כי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לא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היה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יסוד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להאשמה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הוא נטל כבד </w:t>
      </w:r>
      <w:r>
        <w:rPr>
          <w:rtl w:val="true"/>
        </w:rPr>
        <w:t>(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). </w:t>
      </w:r>
      <w:r>
        <w:rPr>
          <w:rtl w:val="true"/>
        </w:rPr>
        <w:t xml:space="preserve">לשם עמידה בנטל זה נדרש הטוען להראות כי </w:t>
      </w:r>
      <w:r>
        <w:rPr>
          <w:rtl w:val="true"/>
        </w:rPr>
        <w:t>כתב האישום הוגש ללא בסיס</w:t>
      </w:r>
      <w:r>
        <w:rPr>
          <w:rtl w:val="true"/>
        </w:rPr>
        <w:t xml:space="preserve">, </w:t>
      </w:r>
      <w:r>
        <w:rPr>
          <w:rtl w:val="true"/>
        </w:rPr>
        <w:t>כלומר בשל זדון</w:t>
      </w:r>
      <w:r>
        <w:rPr>
          <w:rtl w:val="true"/>
        </w:rPr>
        <w:t xml:space="preserve">, </w:t>
      </w:r>
      <w:r>
        <w:rPr>
          <w:rtl w:val="true"/>
        </w:rPr>
        <w:t>חוסר תום לב</w:t>
      </w:r>
      <w:r>
        <w:rPr>
          <w:rtl w:val="true"/>
        </w:rPr>
        <w:t xml:space="preserve">, </w:t>
      </w:r>
      <w:r>
        <w:rPr>
          <w:rtl w:val="true"/>
        </w:rPr>
        <w:t>רשלנות חמורה או אי</w:t>
      </w:r>
      <w:r>
        <w:rPr>
          <w:rtl w:val="true"/>
        </w:rPr>
        <w:t>-</w:t>
      </w:r>
      <w:r>
        <w:rPr>
          <w:rtl w:val="true"/>
        </w:rPr>
        <w:t>סבירות מהותית ובולטת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89</w:t>
      </w:r>
      <w:r>
        <w:rPr>
          <w:rtl w:val="true"/>
        </w:rPr>
        <w:t xml:space="preserve">; </w:t>
      </w:r>
      <w:r>
        <w:rPr>
          <w:rtl w:val="true"/>
        </w:rPr>
        <w:t xml:space="preserve">עניין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בוגנים</w:t>
      </w:r>
      <w:r>
        <w:rPr>
          <w:rtl w:val="true"/>
        </w:rPr>
        <w:t xml:space="preserve">, </w:t>
      </w:r>
      <w:r>
        <w:rPr>
          <w:rtl w:val="true"/>
        </w:rPr>
        <w:t xml:space="preserve">בפסקה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מלצר</w:t>
      </w:r>
      <w:r>
        <w:rPr>
          <w:rtl w:val="true"/>
        </w:rPr>
        <w:t xml:space="preserve">). </w:t>
      </w:r>
      <w:r>
        <w:rPr>
          <w:rtl w:val="true"/>
        </w:rPr>
        <w:t>ברי כי לא זה המצב דכאן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כזכור</w:t>
      </w:r>
      <w:r>
        <w:rPr>
          <w:rtl w:val="true"/>
        </w:rPr>
        <w:t xml:space="preserve">,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והיעתרות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בפרוטרוט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ובחריפות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מרובה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הקבוע</w:t>
      </w:r>
      <w:r>
        <w:rPr>
          <w:rFonts w:eastAsia="Arial TUR;Arial" w:cs="Arial TUR;Arial"/>
          <w:rtl w:val="true"/>
        </w:rPr>
        <w:t xml:space="preserve"> </w:t>
      </w:r>
      <w:hyperlink r:id="rId69">
        <w:r>
          <w:rPr>
            <w:rStyle w:val="Hyperlink"/>
            <w:rtl w:val="true"/>
          </w:rPr>
          <w:t>בסעיף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להאשמה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המבוקש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tl w:val="true"/>
        </w:rPr>
        <w:t xml:space="preserve">, </w:t>
      </w:r>
      <w:r>
        <w:rPr>
          <w:rtl w:val="true"/>
        </w:rPr>
        <w:t>שקולה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התלויה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  <w:r>
        <w:rPr>
          <w:rtl w:val="true"/>
        </w:rPr>
        <w:t>הצעה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השתכנעות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;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לזיכוי</w:t>
      </w:r>
      <w:r>
        <w:rPr>
          <w:rtl w:val="true"/>
        </w:rPr>
        <w:t xml:space="preserve">; </w:t>
      </w:r>
      <w:r>
        <w:rPr>
          <w:rtl w:val="true"/>
        </w:rPr>
        <w:t>וכיו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המליץ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הנה כי כן</w:t>
      </w:r>
      <w:r>
        <w:rPr>
          <w:rtl w:val="true"/>
        </w:rPr>
        <w:t xml:space="preserve">, </w:t>
      </w:r>
      <w:r>
        <w:rPr>
          <w:rtl w:val="true"/>
        </w:rPr>
        <w:t>המלצת בית המשפט לקבלת הערעור</w:t>
      </w:r>
      <w:r>
        <w:rPr>
          <w:rtl w:val="true"/>
        </w:rPr>
        <w:t xml:space="preserve">, </w:t>
      </w:r>
      <w:r>
        <w:rPr>
          <w:rtl w:val="true"/>
        </w:rPr>
        <w:t>יכולה לנבוע ממגוון רחב של טעמים שונים</w:t>
      </w:r>
      <w:r>
        <w:rPr>
          <w:rtl w:val="true"/>
        </w:rPr>
        <w:t xml:space="preserve">, </w:t>
      </w:r>
      <w:r>
        <w:rPr>
          <w:rtl w:val="true"/>
        </w:rPr>
        <w:t>אשר אינם בהכרח קשורים להסכמה עם טיעוני הערעור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אין צורך שנעמיק חקר במניעיי בית המשפט להמלצתו האמורה</w:t>
      </w:r>
      <w:r>
        <w:rPr>
          <w:rtl w:val="true"/>
        </w:rPr>
        <w:t xml:space="preserve">, </w:t>
      </w:r>
      <w:r>
        <w:rPr>
          <w:rtl w:val="true"/>
        </w:rPr>
        <w:t>שכן בהחלטה מושא ערעור זה הבהיר בית המשפט את שיקוליו בצורה שאינה משתמעת לשתי פנים</w:t>
      </w:r>
      <w:r>
        <w:rPr>
          <w:rtl w:val="true"/>
        </w:rPr>
        <w:t xml:space="preserve">: </w:t>
      </w:r>
      <w:r>
        <w:rPr>
          <w:rtl w:val="true"/>
        </w:rPr>
        <w:t>בית המשפט המחוזי ציין כי הוא מוצא קושי בקביעת בית המשפט לעניינים מקומיים לפיה הוא מוצא הן את גרסת המערער והן את גרסת המשיבה</w:t>
      </w:r>
      <w:r>
        <w:rPr>
          <w:rtl w:val="true"/>
        </w:rPr>
        <w:t xml:space="preserve">, </w:t>
      </w:r>
      <w:r>
        <w:rPr>
          <w:rtl w:val="true"/>
        </w:rPr>
        <w:t>כאמינות</w:t>
      </w:r>
      <w:r>
        <w:rPr>
          <w:rtl w:val="true"/>
        </w:rPr>
        <w:t xml:space="preserve">. </w:t>
      </w:r>
      <w:r>
        <w:rPr>
          <w:rtl w:val="true"/>
        </w:rPr>
        <w:t>כלשונו</w:t>
      </w:r>
      <w:r>
        <w:rPr>
          <w:rtl w:val="true"/>
        </w:rPr>
        <w:t xml:space="preserve">: 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שתי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הקביעות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בהכרעת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וזו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בפתקי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ת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אודות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מהימנות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העדויות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ומזה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אינן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יכולות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לדור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בכפיפה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אחת</w:t>
      </w:r>
      <w:r>
        <w:rPr>
          <w:rFonts w:cs="Century" w:ascii="Century" w:hAnsi="Century"/>
          <w:sz w:val="22"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ברי כי הנימוק 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העומד בבסיס המלצת בית המשפט</w:t>
      </w:r>
      <w:r>
        <w:rPr>
          <w:rtl w:val="true"/>
        </w:rPr>
        <w:t xml:space="preserve">, </w:t>
      </w:r>
      <w:r>
        <w:rPr>
          <w:rtl w:val="true"/>
        </w:rPr>
        <w:t>אינו יכול ללמד כי כתב האישום בעניינו הוגש ללא בסיס</w:t>
      </w:r>
      <w:r>
        <w:rPr>
          <w:rtl w:val="true"/>
        </w:rPr>
        <w:t xml:space="preserve">, </w:t>
      </w:r>
      <w:r>
        <w:rPr>
          <w:rtl w:val="true"/>
        </w:rPr>
        <w:t>בחוסר תום לב</w:t>
      </w:r>
      <w:r>
        <w:rPr>
          <w:rtl w:val="true"/>
        </w:rPr>
        <w:t xml:space="preserve">, </w:t>
      </w:r>
      <w:r>
        <w:rPr>
          <w:rtl w:val="true"/>
        </w:rPr>
        <w:t>ברשלנות חמורה</w:t>
      </w:r>
      <w:r>
        <w:rPr>
          <w:rtl w:val="true"/>
        </w:rPr>
        <w:t xml:space="preserve">,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סבירות בולטת או בזדון</w:t>
      </w:r>
      <w:r>
        <w:rPr>
          <w:rtl w:val="true"/>
        </w:rPr>
        <w:t xml:space="preserve">, </w:t>
      </w:r>
      <w:r>
        <w:rPr>
          <w:rtl w:val="true"/>
        </w:rPr>
        <w:t xml:space="preserve">כנדרש לצורך התקיימות התנאי הראשון הקבוע </w:t>
      </w:r>
      <w:hyperlink r:id="rId71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כרשות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רשאית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לחלופה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השנייה</w:t>
      </w:r>
      <w:r>
        <w:rPr>
          <w:rtl w:val="true"/>
        </w:rPr>
        <w:t xml:space="preserve">, </w:t>
      </w:r>
      <w:r>
        <w:rPr>
          <w:rtl w:val="true"/>
        </w:rPr>
        <w:t>בפסיקה הוטעם כי את ה</w:t>
      </w:r>
      <w:r>
        <w:rPr>
          <w:rtl w:val="true"/>
        </w:rPr>
        <w:t>-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אח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המצדיקות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 xml:space="preserve">פסיקת פיצויים או הוצאות משפט מכוח </w:t>
      </w:r>
      <w:hyperlink r:id="rId7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ניתן לחלק לשלוש קטגוריות</w:t>
      </w:r>
      <w:r>
        <w:rPr>
          <w:rtl w:val="true"/>
        </w:rPr>
        <w:t xml:space="preserve">:  </w:t>
      </w:r>
      <w:r>
        <w:rPr>
          <w:rtl w:val="true"/>
        </w:rPr>
        <w:t>נסיבות</w:t>
      </w:r>
      <w:r>
        <w:rPr>
          <w:rtl w:val="true"/>
        </w:rPr>
        <w:t xml:space="preserve"> </w:t>
      </w:r>
      <w:r>
        <w:rPr>
          <w:rtl w:val="true"/>
        </w:rPr>
        <w:t>הנוגעות</w:t>
      </w:r>
      <w:r>
        <w:rPr>
          <w:rtl w:val="true"/>
        </w:rPr>
        <w:t xml:space="preserve"> </w:t>
      </w:r>
      <w:r>
        <w:rPr>
          <w:rtl w:val="true"/>
        </w:rPr>
        <w:t>לאופן</w:t>
      </w:r>
      <w:r>
        <w:rPr>
          <w:rtl w:val="true"/>
        </w:rPr>
        <w:t xml:space="preserve"> </w:t>
      </w:r>
      <w:r>
        <w:rPr>
          <w:rtl w:val="true"/>
        </w:rPr>
        <w:t>ניהולו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, </w:t>
      </w:r>
      <w:r>
        <w:rPr>
          <w:rtl w:val="true"/>
        </w:rPr>
        <w:t>כגון משכו של ההליך המשפטי ואורך תקופת המעצר</w:t>
      </w:r>
      <w:r>
        <w:rPr>
          <w:rtl w:val="true"/>
        </w:rPr>
        <w:t xml:space="preserve">; </w:t>
      </w:r>
      <w:r>
        <w:rPr>
          <w:rtl w:val="true"/>
        </w:rPr>
        <w:t>נסיבות הקשורות ל</w:t>
      </w:r>
      <w:r>
        <w:rPr>
          <w:rtl w:val="true"/>
        </w:rPr>
        <w:t>טיב</w:t>
      </w:r>
      <w:r>
        <w:rPr>
          <w:rtl w:val="true"/>
        </w:rPr>
        <w:t xml:space="preserve"> </w:t>
      </w:r>
      <w:r>
        <w:rPr>
          <w:rtl w:val="true"/>
        </w:rPr>
        <w:t>זיכויו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; </w:t>
      </w:r>
      <w:r>
        <w:rPr>
          <w:rtl w:val="true"/>
        </w:rPr>
        <w:t>ולנסיבותיו</w:t>
      </w:r>
      <w:r>
        <w:rPr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דבש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118-106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לשיטתי</w:t>
      </w:r>
      <w:r>
        <w:rPr>
          <w:rtl w:val="true"/>
        </w:rPr>
        <w:t xml:space="preserve">, </w:t>
      </w:r>
      <w:r>
        <w:rPr>
          <w:rtl w:val="true"/>
        </w:rPr>
        <w:t>בנסיבות העניין</w:t>
      </w:r>
      <w:r>
        <w:rPr>
          <w:rtl w:val="true"/>
        </w:rPr>
        <w:t xml:space="preserve">, </w:t>
      </w:r>
      <w:r>
        <w:rPr>
          <w:rtl w:val="true"/>
        </w:rPr>
        <w:t>לא מתקיימות נסיבות המצדיקות את קבלת הערעור תחת אף אחת מהקטגוריות דנן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משפטו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הואשם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tl w:val="true"/>
        </w:rPr>
        <w:t xml:space="preserve">.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מטעמו</w:t>
      </w:r>
      <w:r>
        <w:rPr>
          <w:rtl w:val="true"/>
        </w:rPr>
        <w:t xml:space="preserve">, </w:t>
      </w:r>
      <w:r>
        <w:rPr>
          <w:rtl w:val="true"/>
        </w:rPr>
        <w:t>וניתנה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היעתרות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זיכויו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פוזיטיבי</w:t>
      </w:r>
      <w:r>
        <w:rPr>
          <w:rtl w:val="true"/>
        </w:rPr>
        <w:t xml:space="preserve">",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נעשה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מור</w:t>
      </w:r>
      <w:r>
        <w:rPr>
          <w:rtl w:val="true"/>
        </w:rPr>
        <w:t xml:space="preserve">,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לפסק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ברק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ארז</w:t>
      </w:r>
      <w:r>
        <w:rPr>
          <w:rtl w:val="true"/>
        </w:rPr>
        <w:t xml:space="preserve">).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המלצתו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מקומיים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כמהימנות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tl w:val="true"/>
        </w:rPr>
        <w:t xml:space="preserve">, </w:t>
      </w:r>
      <w:r>
        <w:rPr>
          <w:rtl w:val="true"/>
        </w:rPr>
        <w:t>כשלעצמה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זיכוי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.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בהחלטתו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: </w:t>
      </w:r>
      <w:r>
        <w:rPr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סוג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העבירה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והיות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המבקש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עורך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בעיסוקו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אינם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בגדר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'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נסיבות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אחרות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המצדיקות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זאת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>'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ההדגשה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כ</w:t>
      </w:r>
      <w:r>
        <w:rPr>
          <w:rtl w:val="true"/>
        </w:rPr>
        <w:t xml:space="preserve">').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במקצועו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לכאן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לכאן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מכוח</w:t>
      </w:r>
      <w:r>
        <w:rPr>
          <w:rFonts w:eastAsia="Arial TUR;Arial" w:cs="Arial TUR;Arial"/>
          <w:rtl w:val="true"/>
        </w:rPr>
        <w:t xml:space="preserve"> </w:t>
      </w:r>
      <w:hyperlink r:id="rId73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סיכומו של דבר</w:t>
      </w:r>
      <w:r>
        <w:rPr>
          <w:rtl w:val="true"/>
        </w:rPr>
        <w:t xml:space="preserve">, </w:t>
      </w:r>
      <w:r>
        <w:rPr>
          <w:rtl w:val="true"/>
        </w:rPr>
        <w:t xml:space="preserve">משלא עלה בידי המערער לשכנע כי מתקיימת בעניינו אחת מהעילות המנויות </w:t>
      </w:r>
      <w:hyperlink r:id="rId74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80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7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אציע לחבריי לדחות את הערעור דנן ולהותיר את החלטת בית המשפט המחוזי על 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בהוצאותיו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אלרון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רונן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כשר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15.11.2022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22019860</w:t>
      </w:r>
      <w:r>
        <w:rPr>
          <w:sz w:val="16"/>
          <w:rtl w:val="true"/>
        </w:rPr>
        <w:t>_</w:t>
      </w:r>
      <w:r>
        <w:rPr>
          <w:sz w:val="16"/>
        </w:rPr>
        <w:t>L03.docx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76">
        <w:r>
          <w:rPr>
            <w:rStyle w:val="Hyperlink"/>
            <w:sz w:val="16"/>
          </w:rPr>
          <w:t>https://supreme.court.gov.il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אלרון </w:t>
      </w:r>
      <w:r>
        <w:rPr>
          <w:rFonts w:cs="David" w:ascii="David" w:hAnsi="David"/>
          <w:color w:val="000000"/>
          <w:szCs w:val="22"/>
        </w:rPr>
        <w:t>54678313-1986/22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77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78"/>
      <w:footerReference w:type="default" r:id="rId79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14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1986/22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יהונתן רבינוביץ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תביעות עיריית תל אביב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2">
    <w:name w:val="Ruller4 אלפביתי"/>
    <w:basedOn w:val="Ruller4"/>
    <w:next w:val="Ruller4"/>
    <w:qFormat/>
    <w:pPr>
      <w:numPr>
        <w:ilvl w:val="0"/>
        <w:numId w:val="2"/>
      </w:numPr>
    </w:pPr>
    <w:rPr/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805303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80" TargetMode="External"/><Relationship Id="rId5" Type="http://schemas.openxmlformats.org/officeDocument/2006/relationships/hyperlink" Target="http://www.nevo.co.il/law/70301/80.a" TargetMode="External"/><Relationship Id="rId6" Type="http://schemas.openxmlformats.org/officeDocument/2006/relationships/hyperlink" Target="http://www.nevo.co.il/law/4097" TargetMode="External"/><Relationship Id="rId7" Type="http://schemas.openxmlformats.org/officeDocument/2006/relationships/hyperlink" Target="http://www.nevo.co.il/law/4097/6.d.2a" TargetMode="External"/><Relationship Id="rId8" Type="http://schemas.openxmlformats.org/officeDocument/2006/relationships/hyperlink" Target="http://www.nevo.co.il/law/74903" TargetMode="External"/><Relationship Id="rId9" Type="http://schemas.openxmlformats.org/officeDocument/2006/relationships/hyperlink" Target="http://www.nevo.co.il/law/74903/229" TargetMode="External"/><Relationship Id="rId10" Type="http://schemas.openxmlformats.org/officeDocument/2006/relationships/hyperlink" Target="http://www.nevo.co.il/law/74274" TargetMode="External"/><Relationship Id="rId11" Type="http://schemas.openxmlformats.org/officeDocument/2006/relationships/hyperlink" Target="http://www.nevo.co.il/law/74274/72.a.2a" TargetMode="External"/><Relationship Id="rId12" Type="http://schemas.openxmlformats.org/officeDocument/2006/relationships/hyperlink" Target="http://www.nevo.co.il/law/70301/80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80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4097/6.d.2a" TargetMode="External"/><Relationship Id="rId17" Type="http://schemas.openxmlformats.org/officeDocument/2006/relationships/hyperlink" Target="http://www.nevo.co.il/law/4097" TargetMode="External"/><Relationship Id="rId18" Type="http://schemas.openxmlformats.org/officeDocument/2006/relationships/hyperlink" Target="http://www.nevo.co.il/law/70301/80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80.a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80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80" TargetMode="External"/><Relationship Id="rId25" Type="http://schemas.openxmlformats.org/officeDocument/2006/relationships/hyperlink" Target="http://www.nevo.co.il/law/70301/80" TargetMode="External"/><Relationship Id="rId26" Type="http://schemas.openxmlformats.org/officeDocument/2006/relationships/hyperlink" Target="http://www.nevo.co.il/law/70301/80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80.a" TargetMode="External"/><Relationship Id="rId29" Type="http://schemas.openxmlformats.org/officeDocument/2006/relationships/hyperlink" Target="http://www.nevo.co.il/law/70301/80.a" TargetMode="External"/><Relationship Id="rId30" Type="http://schemas.openxmlformats.org/officeDocument/2006/relationships/hyperlink" Target="http://www.nevo.co.il/law/70301/80.a" TargetMode="External"/><Relationship Id="rId31" Type="http://schemas.openxmlformats.org/officeDocument/2006/relationships/hyperlink" Target="http://www.nevo.co.il/law/70301/80" TargetMode="External"/><Relationship Id="rId32" Type="http://schemas.openxmlformats.org/officeDocument/2006/relationships/hyperlink" Target="http://www.nevo.co.il/case/28053036" TargetMode="External"/><Relationship Id="rId33" Type="http://schemas.openxmlformats.org/officeDocument/2006/relationships/hyperlink" Target="http://www.nevo.co.il/law/70301/8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law/4097/6.d.2a" TargetMode="External"/><Relationship Id="rId36" Type="http://schemas.openxmlformats.org/officeDocument/2006/relationships/hyperlink" Target="http://www.nevo.co.il/law/4097" TargetMode="External"/><Relationship Id="rId37" Type="http://schemas.openxmlformats.org/officeDocument/2006/relationships/hyperlink" Target="http://www.nevo.co.il/law/74903/229" TargetMode="External"/><Relationship Id="rId38" Type="http://schemas.openxmlformats.org/officeDocument/2006/relationships/hyperlink" Target="http://www.nevo.co.il/law/74903" TargetMode="External"/><Relationship Id="rId39" Type="http://schemas.openxmlformats.org/officeDocument/2006/relationships/hyperlink" Target="http://www.nevo.co.il/law/74274/72.a.2a" TargetMode="External"/><Relationship Id="rId40" Type="http://schemas.openxmlformats.org/officeDocument/2006/relationships/hyperlink" Target="http://www.nevo.co.il/law/74274" TargetMode="External"/><Relationship Id="rId41" Type="http://schemas.openxmlformats.org/officeDocument/2006/relationships/hyperlink" Target="http://www.nevo.co.il/law/74274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80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80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80.a" TargetMode="External"/><Relationship Id="rId48" Type="http://schemas.openxmlformats.org/officeDocument/2006/relationships/hyperlink" Target="http://www.nevo.co.il/law/70301" TargetMode="External"/><Relationship Id="rId49" Type="http://schemas.openxmlformats.org/officeDocument/2006/relationships/hyperlink" Target="http://www.nevo.co.il/law/70301/80.a" TargetMode="External"/><Relationship Id="rId50" Type="http://schemas.openxmlformats.org/officeDocument/2006/relationships/hyperlink" Target="http://www.nevo.co.il/law/70301" TargetMode="External"/><Relationship Id="rId51" Type="http://schemas.openxmlformats.org/officeDocument/2006/relationships/hyperlink" Target="http://www.nevo.co.il/law/74903" TargetMode="External"/><Relationship Id="rId52" Type="http://schemas.openxmlformats.org/officeDocument/2006/relationships/hyperlink" Target="http://www.nevo.co.il/law/70301/80" TargetMode="External"/><Relationship Id="rId53" Type="http://schemas.openxmlformats.org/officeDocument/2006/relationships/hyperlink" Target="http://www.nevo.co.il/case/25471845" TargetMode="External"/><Relationship Id="rId54" Type="http://schemas.openxmlformats.org/officeDocument/2006/relationships/hyperlink" Target="http://www.nevo.co.il/case/21479548" TargetMode="External"/><Relationship Id="rId55" Type="http://schemas.openxmlformats.org/officeDocument/2006/relationships/hyperlink" Target="http://www.nevo.co.il/law/70301/80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case/21053250" TargetMode="External"/><Relationship Id="rId58" Type="http://schemas.openxmlformats.org/officeDocument/2006/relationships/hyperlink" Target="http://www.nevo.co.il/case/5568982" TargetMode="External"/><Relationship Id="rId59" Type="http://schemas.openxmlformats.org/officeDocument/2006/relationships/hyperlink" Target="http://www.nevo.co.il/law/70301/80" TargetMode="External"/><Relationship Id="rId60" Type="http://schemas.openxmlformats.org/officeDocument/2006/relationships/hyperlink" Target="http://www.nevo.co.il/case/24344596" TargetMode="External"/><Relationship Id="rId61" Type="http://schemas.openxmlformats.org/officeDocument/2006/relationships/hyperlink" Target="http://www.nevo.co.il/case/5959459" TargetMode="External"/><Relationship Id="rId62" Type="http://schemas.openxmlformats.org/officeDocument/2006/relationships/hyperlink" Target="http://www.nevo.co.il/case/5898389" TargetMode="External"/><Relationship Id="rId63" Type="http://schemas.openxmlformats.org/officeDocument/2006/relationships/hyperlink" Target="http://www.nevo.co.il/case/17917654" TargetMode="External"/><Relationship Id="rId64" Type="http://schemas.openxmlformats.org/officeDocument/2006/relationships/hyperlink" Target="http://www.nevo.co.il/law/70301/80" TargetMode="External"/><Relationship Id="rId65" Type="http://schemas.openxmlformats.org/officeDocument/2006/relationships/hyperlink" Target="http://www.nevo.co.il/law/70301" TargetMode="External"/><Relationship Id="rId66" Type="http://schemas.openxmlformats.org/officeDocument/2006/relationships/hyperlink" Target="http://www.nevo.co.il/case/25398427" TargetMode="External"/><Relationship Id="rId67" Type="http://schemas.openxmlformats.org/officeDocument/2006/relationships/hyperlink" Target="http://www.nevo.co.il/law/70301/80" TargetMode="External"/><Relationship Id="rId68" Type="http://schemas.openxmlformats.org/officeDocument/2006/relationships/hyperlink" Target="http://www.nevo.co.il/law/70301" TargetMode="External"/><Relationship Id="rId69" Type="http://schemas.openxmlformats.org/officeDocument/2006/relationships/hyperlink" Target="http://www.nevo.co.il/law/70301/80.a" TargetMode="External"/><Relationship Id="rId70" Type="http://schemas.openxmlformats.org/officeDocument/2006/relationships/hyperlink" Target="http://www.nevo.co.il/law/70301/80.a" TargetMode="External"/><Relationship Id="rId71" Type="http://schemas.openxmlformats.org/officeDocument/2006/relationships/hyperlink" Target="http://www.nevo.co.il/law/70301/80.a" TargetMode="External"/><Relationship Id="rId72" Type="http://schemas.openxmlformats.org/officeDocument/2006/relationships/hyperlink" Target="http://www.nevo.co.il/law/70301/80" TargetMode="External"/><Relationship Id="rId73" Type="http://schemas.openxmlformats.org/officeDocument/2006/relationships/hyperlink" Target="http://www.nevo.co.il/law/70301/80" TargetMode="External"/><Relationship Id="rId74" Type="http://schemas.openxmlformats.org/officeDocument/2006/relationships/hyperlink" Target="http://www.nevo.co.il/law/70301/80" TargetMode="External"/><Relationship Id="rId75" Type="http://schemas.openxmlformats.org/officeDocument/2006/relationships/hyperlink" Target="http://www.nevo.co.il/law/70301" TargetMode="External"/><Relationship Id="rId76" Type="http://schemas.openxmlformats.org/officeDocument/2006/relationships/hyperlink" Target="https://supreme.court.gov.il/" TargetMode="External"/><Relationship Id="rId77" Type="http://schemas.openxmlformats.org/officeDocument/2006/relationships/hyperlink" Target="http://www.nevo.co.il/advertisements/nevo-100.doc" TargetMode="External"/><Relationship Id="rId78" Type="http://schemas.openxmlformats.org/officeDocument/2006/relationships/header" Target="header1.xml"/><Relationship Id="rId79" Type="http://schemas.openxmlformats.org/officeDocument/2006/relationships/footer" Target="footer1.xml"/><Relationship Id="rId80" Type="http://schemas.openxmlformats.org/officeDocument/2006/relationships/numbering" Target="numbering.xml"/><Relationship Id="rId81" Type="http://schemas.openxmlformats.org/officeDocument/2006/relationships/fontTable" Target="fontTable.xml"/><Relationship Id="rId82" Type="http://schemas.openxmlformats.org/officeDocument/2006/relationships/settings" Target="settings.xml"/><Relationship Id="rId8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2022-11-16T08:50:00Z</dcterms:created>
  <dc:creator>h4</dc:creator>
  <dc:description/>
  <cp:keywords/>
  <dc:language>en-IL</dc:language>
  <cp:lastModifiedBy>orly</cp:lastModifiedBy>
  <cp:lastPrinted>2022-11-15T10:45:00Z</cp:lastPrinted>
  <dcterms:modified xsi:type="dcterms:W3CDTF">2022-11-16T08:50:00Z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יהונתן רבינוביץ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 - תביעות עיריית תל אביב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28053036:2;25471845;21479548;21053250;5568982;24344596;5959459;5898389;17917654;25398427</vt:lpwstr>
  </property>
  <property fmtid="{D5CDD505-2E9C-101B-9397-08002B2CF9AE}" pid="9" name="CITY">
    <vt:lpwstr/>
  </property>
  <property fmtid="{D5CDD505-2E9C-101B-9397-08002B2CF9AE}" pid="10" name="DATE">
    <vt:lpwstr>20221115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אלרון;י' כשר;ר' רונן</vt:lpwstr>
  </property>
  <property fmtid="{D5CDD505-2E9C-101B-9397-08002B2CF9AE}" pid="14" name="LAWLISTTMP1">
    <vt:lpwstr>70301/080:11;080.a:5</vt:lpwstr>
  </property>
  <property fmtid="{D5CDD505-2E9C-101B-9397-08002B2CF9AE}" pid="15" name="LAWLISTTMP2">
    <vt:lpwstr>4097/006.d.2a</vt:lpwstr>
  </property>
  <property fmtid="{D5CDD505-2E9C-101B-9397-08002B2CF9AE}" pid="16" name="LAWLISTTMP3">
    <vt:lpwstr>74903/229</vt:lpwstr>
  </property>
  <property fmtid="{D5CDD505-2E9C-101B-9397-08002B2CF9AE}" pid="17" name="LAWLISTTMP4">
    <vt:lpwstr>74274/072.a.2a</vt:lpwstr>
  </property>
  <property fmtid="{D5CDD505-2E9C-101B-9397-08002B2CF9AE}" pid="18" name="LAWYER">
    <vt:lpwstr>רינת חנוך;לי בר עמי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נעה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עונשין</vt:lpwstr>
  </property>
  <property fmtid="{D5CDD505-2E9C-101B-9397-08002B2CF9AE}" pid="30" name="NOSE110">
    <vt:lpwstr/>
  </property>
  <property fmtid="{D5CDD505-2E9C-101B-9397-08002B2CF9AE}" pid="31" name="NOSE12">
    <vt:lpwstr/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77</vt:lpwstr>
  </property>
  <property fmtid="{D5CDD505-2E9C-101B-9397-08002B2CF9AE}" pid="40" name="NOSE21">
    <vt:lpwstr>פיצויים והוצאות</vt:lpwstr>
  </property>
  <property fmtid="{D5CDD505-2E9C-101B-9397-08002B2CF9AE}" pid="41" name="NOSE210">
    <vt:lpwstr/>
  </property>
  <property fmtid="{D5CDD505-2E9C-101B-9397-08002B2CF9AE}" pid="42" name="NOSE22">
    <vt:lpwstr/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1447</vt:lpwstr>
  </property>
  <property fmtid="{D5CDD505-2E9C-101B-9397-08002B2CF9AE}" pid="51" name="NOSE31">
    <vt:lpwstr>פיצויים לנאשם שזוכה</vt:lpwstr>
  </property>
  <property fmtid="{D5CDD505-2E9C-101B-9397-08002B2CF9AE}" pid="52" name="NOSE310">
    <vt:lpwstr/>
  </property>
  <property fmtid="{D5CDD505-2E9C-101B-9397-08002B2CF9AE}" pid="53" name="NOSE32">
    <vt:lpwstr/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9012</vt:lpwstr>
  </property>
  <property fmtid="{D5CDD505-2E9C-101B-9397-08002B2CF9AE}" pid="62" name="PADIDATE">
    <vt:lpwstr>20221116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1986</vt:lpwstr>
  </property>
  <property fmtid="{D5CDD505-2E9C-101B-9397-08002B2CF9AE}" pid="68" name="PROCYEAR">
    <vt:lpwstr>22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410120221115</vt:lpwstr>
  </property>
  <property fmtid="{D5CDD505-2E9C-101B-9397-08002B2CF9AE}" pid="72" name="TYPE_N_DATE">
    <vt:lpwstr>41020221115</vt:lpwstr>
  </property>
  <property fmtid="{D5CDD505-2E9C-101B-9397-08002B2CF9AE}" pid="73" name="VOLUME">
    <vt:lpwstr/>
  </property>
  <property fmtid="{D5CDD505-2E9C-101B-9397-08002B2CF9AE}" pid="74" name="WORDNUMPAGES">
    <vt:lpwstr>13</vt:lpwstr>
  </property>
</Properties>
</file>