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1993/18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2017/18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1993/18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2017/18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אטרש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משפחת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לבלוביץ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ערעור</w:t>
            </w:r>
            <w:r>
              <w:rPr>
                <w:sz w:val="26"/>
                <w:sz w:val="26"/>
                <w:szCs w:val="26"/>
                <w:rtl w:val="true"/>
              </w:rPr>
              <w:t>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פסק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דינו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המשפט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המחוזי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מיום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25.01.2018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6"/>
                  <w:szCs w:val="26"/>
                  <w:u w:val="single"/>
                </w:rPr>
                <w:t>26792-10-15</w:t>
              </w:r>
            </w:hyperlink>
            <w:r>
              <w:rPr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6"/>
                <w:sz w:val="26"/>
                <w:szCs w:val="26"/>
                <w:rtl w:val="true"/>
              </w:rPr>
              <w:t>שניתן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ידי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כב</w:t>
            </w:r>
            <w:r>
              <w:rPr>
                <w:sz w:val="26"/>
                <w:szCs w:val="26"/>
                <w:rtl w:val="true"/>
              </w:rPr>
              <w:t>'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כרמל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01.01.2020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1993/18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ראיד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אלעוברה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2017/18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</w:t>
            </w:r>
            <w:r>
              <w:rPr>
                <w:rtl w:val="true"/>
              </w:rPr>
              <w:t>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קלנברג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רוני רוזנברג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ביצוע בצוותא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רכיב התנהגותי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יסוד נפשי ורציונלים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ספר אדמונד לוי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אוהד גורדון עורך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</w:rPr>
          <w:t>2017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</w:rPr>
          <w:t>657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20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448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14" w:name="ABSTRACT_START"/>
      <w:bookmarkEnd w:id="14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יידויי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2015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אלכס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לבלוביץ</w:t>
      </w:r>
      <w:r>
        <w:rPr>
          <w:rFonts w:cs="FrankRuehl"/>
          <w:sz w:val="24"/>
          <w:szCs w:val="26"/>
          <w:rtl w:val="true"/>
        </w:rPr>
        <w:t xml:space="preserve">', </w:t>
      </w:r>
      <w:r>
        <w:rPr>
          <w:rFonts w:cs="FrankRuehl"/>
          <w:sz w:val="24"/>
          <w:sz w:val="24"/>
          <w:szCs w:val="26"/>
          <w:rtl w:val="true"/>
        </w:rPr>
        <w:t>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7.5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כתצפיתן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מחשבה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ערעורים במרכזם ניצבת אחריות המערערים למותו של מר אלכס לבלוביץ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מעורבותם באירוע של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יידויי אבנים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קטלני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בארמון הנציב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2015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 כלי רכב שנראו כנהוגים על ידי 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 הרכב שבו נהג המנוח נזרקה אבן שמשקלה כקילוגרם ממרחק של מטר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חדרה אל תוך חלון הנהג וגרמה למנוח לאבד שליטה על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ולהתנגש בעמוד החשמל ואחר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כך בעץ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כתוצאה מההתנגשות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נמעך בית החזה של המנוח על ידי ההגה או על ידי כרית האוויר ולבו נקרע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דבר אשר גרם למותו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אחד מחמשת המעורבים אשר אינו נמנה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הודה בזריקת האבן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מצא את המערערים אשמים בהריגה כמבצעיה העיקריים אשר פעלו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המערערים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2017/18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יידו אבנים באירוע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שלא מדובר באבן הקטלנית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שכאמור נזרקה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נדונו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13.5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ושעה שהמערער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 בעבירות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למאסר על תנאי ולתשלום פיצויים בסך </w:t>
      </w:r>
      <w:r>
        <w:rPr>
          <w:rFonts w:cs="Times New Roman" w:ascii="Times New Roman" w:hAnsi="Times New Roman"/>
          <w:spacing w:val="0"/>
          <w:szCs w:val="26"/>
        </w:rPr>
        <w:t>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 </w:t>
      </w:r>
      <w:r>
        <w:rPr>
          <w:rFonts w:ascii="Times New Roman" w:hAnsi="Times New Roman" w:cs="Times New Roman"/>
          <w:spacing w:val="0"/>
          <w:szCs w:val="26"/>
          <w:rtl w:val="true"/>
        </w:rPr>
        <w:t>לילדי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1993/18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>שהיה קטין בזמן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ושימש כתצפיתן בעת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נדון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 על תנאי ותשלום פיצויים בסך </w:t>
      </w:r>
      <w:r>
        <w:rPr>
          <w:rFonts w:cs="Times New Roman" w:ascii="Times New Roman" w:hAnsi="Times New Roman"/>
          <w:spacing w:val="0"/>
          <w:szCs w:val="26"/>
        </w:rPr>
        <w:t>25,000₪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מערערים כעת על הרשעתם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שאותה הם מבקשים לבטל 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לחלופין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להחליף בהרשעה בגין סיוע להריגה להבדיל מביצועה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מלינים השלושה על חומרת העונשים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השופטות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ברק ארז 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דחה את 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2017/18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וקיבל באופן חלקי את 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1993/18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ראשית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דוחה את כל הערעורים ביחס להרשעה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הודאתו של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קבילה נגד כל אחד מהמערערים כראיה לאמיתות תוכנה מכוחו של 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לפקודת הראיות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בהודאה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אומר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כי זרק אבן לעבר רכבו של המנוח וכי האבן פגעה בשמשת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כמו כן לא ניתן לחלוק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ואיש ממילא לא חלק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עדויותיהן של שתי העדות שנסעו באותו 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מהן עולה כי המנוח נפגע מאבן אחת בלבד שחדרה לתוך הרכב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אותה אבן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של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ואל השתלשלות העניינים לאחר מכן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כך שהקרע בלב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שבעטיו מצא המנוח את מותו בעקבות הפגיעה בבית החזה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פועל יוצא של האבן שנזרקה לעברו על ידי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מטווח קצר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המערערים בלי ספק צפו את האפשרות שיידוי אבנים עלול לגרום לתאונת דרכים וכי תאונות דרכים מן הסתם הורגות אנשים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בכגון 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כאמור </w:t>
      </w:r>
      <w:hyperlink r:id="rId3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3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ב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הגרימה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לתוצאות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לגבש אצלו את המחשבה הפלילית הנדרשת להתהוותה של עבירת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צורך שהנאשם יצפה את פרטיה של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באשר לאשמתו של כל אחד מהמערערים כמבצע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 אם נעיין בהודעות המעורבים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שכאמור התקבלו כראיות לאמיתות תוכנן מכוחו של </w:t>
      </w:r>
      <w:hyperlink r:id="rId3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ל</w:t>
      </w:r>
      <w:hyperlink r:id="rId3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הראיות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כאשר הן מחזקות זו את זו אהדדי לצרכיו של </w:t>
      </w:r>
      <w:hyperlink r:id="rId3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הודעות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ובראשן הודאתו של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מוכיחות שחמשת המעורבים עשו ביניהם סיכום מוקדם בנוגע למבצע נקמתי של יידוי אבנים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כולל תפקידיהם באותו מבצע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ואחר כך פעלו בהתאם לאותו 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אחד מהם מיקם את עצמו אפוא במעגל הפנימי של מבצעי העבירה העיקרית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דבר הנכון גם לגבי המערער ב</w:t>
      </w:r>
      <w:hyperlink r:id="rId3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1993/18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גילו הצעיר יחסית ולמרות היותו תצפיתן שלא נטל חלק ביידוי האבנים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בדין אפוא 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כי כל אחד מהמערערים היה בגדר מבצע בצוותא חדא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רק מסייע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ומצאם אשמים בהריגת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הרשעתו של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hyperlink r:id="rId3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2017/18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היא מבוססת כדבעי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לעניין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בכל הנוגע למערעים ב</w:t>
      </w:r>
      <w:hyperlink r:id="rId3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2017/18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המערערים הללו נמצאו אשמים במעשה הריגה שבוצע בנסיבות חמורות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ולמרות הרשעת המערער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בעבירות הנוספות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עונשיהם נמצאים רחוק יחסית מעונש המקסימום של עשרים 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קבע עונשים אלה אחרי שקילה זהירה של מכלול הנתונים הרלבנטיים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 כל עילה מבוררת להתערב בקביעתו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שכידוע קמה רק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חלקו של המערער ב</w:t>
      </w:r>
      <w:hyperlink r:id="rId3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1993/18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ביידוי האבנים היה חמור פחות מזה של המערערים האחרים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היה תצפיתן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ואף שאין להקל ראש בחומרת מעשיו אשר סייעו בידי שותפיו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אשר יידו אבנים לעבר כלי רכב וגרמו לתוצאה קטלנית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מעשים אלו נמצאים קרוב יותר לסיוע מאשר לביצועה העיקרי של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יש להתחשב בשים לב לעמדת המחוקק ביחס לעונשו של מסייע לעבירה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העומד על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מחצית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בחיקוק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כן ראוי להתחשב גם בכך שהוא ביצע את העבירה בהיותו 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ובפני קטינים אין אנו נוהגים לנעול את שערי הרחמים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לאור כל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ובהתחשב בנסיבותיו האישיות והבריאותיות נראה שבימ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החמיר עמו יתר על המידה בגזרו עליו תשע 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 העליון מפחית עונש זה ומעמידו על שבע וחצי שנות מאסר בפועל בניכוי ימי המעצר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להתערב בגובה הפיצויים לנפגעי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במדובר בפיצויים בשיעור צנוע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בכך שאלה איבדו את אביהם האהוב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הלכה היא כי פיצויים אשר נפסקים לטובת קורבן העבירה נועדו </w:t>
      </w:r>
      <w:r>
        <w:rPr>
          <w:rFonts w:ascii="Times New Roman" w:hAnsi="Times New Roman" w:cs="Times New Roman"/>
          <w:spacing w:val="0"/>
          <w:szCs w:val="26"/>
          <w:rtl w:val="true"/>
        </w:rPr>
        <w:t>לפצות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 באופן 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נזקיו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המוחשיים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hyperlink r:id="rId4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בסעיף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77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4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הנפשי </w:t>
      </w:r>
      <w:r>
        <w:rPr>
          <w:rFonts w:ascii="Times New Roman" w:hAnsi="Times New Roman" w:cs="Times New Roman"/>
          <w:spacing w:val="0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באשר ליכולתם של המערערים לשלם פיצויים אלה לאור מצבם הכלכלי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נתון זה אינו מקטין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עוצמת הכאב והסבל של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להתחשב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סיכוי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מזערי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שהקורבנות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יקבלו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[</w:t>
      </w:r>
      <w:r>
        <w:rPr>
          <w:rFonts w:ascii="Times New Roman" w:hAnsi="Times New Roman" w:cs="Times New Roman"/>
          <w:spacing w:val="0"/>
          <w:szCs w:val="26"/>
          <w:rtl w:val="true"/>
        </w:rPr>
        <w:t>מהעבריין</w:t>
      </w:r>
      <w:r>
        <w:rPr>
          <w:rFonts w:cs="Times New Roman" w:ascii="Times New Roman" w:hAnsi="Times New Roman"/>
          <w:spacing w:val="0"/>
          <w:szCs w:val="26"/>
          <w:rtl w:val="true"/>
        </w:rPr>
        <w:t>]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עדיף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כלום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במוקד הערעורים המונחים לפנינו ניצבת אחריות המערערים למותו של מר אלכס לבלוביץ</w:t>
      </w:r>
      <w:r>
        <w:rPr>
          <w:rtl w:val="true"/>
        </w:rPr>
        <w:t xml:space="preserve">',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אשר אירע בערב ראש השנה 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/>
        <w:t>13.9.2015</w:t>
      </w:r>
      <w:r>
        <w:rPr>
          <w:rtl w:val="true"/>
        </w:rPr>
        <w:t xml:space="preserve">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>נסע המנוח בכלי רכבו</w:t>
      </w:r>
      <w:r>
        <w:rPr>
          <w:rtl w:val="true"/>
        </w:rPr>
        <w:t xml:space="preserve">, </w:t>
      </w:r>
      <w:r>
        <w:rPr>
          <w:rtl w:val="true"/>
        </w:rPr>
        <w:t>יחד עם שתי נוסעות</w:t>
      </w:r>
      <w:r>
        <w:rPr>
          <w:rtl w:val="true"/>
        </w:rPr>
        <w:t xml:space="preserve">, </w:t>
      </w:r>
      <w:r>
        <w:rPr>
          <w:rtl w:val="true"/>
        </w:rPr>
        <w:t xml:space="preserve">בכביש </w:t>
      </w:r>
      <w:r>
        <w:rPr>
          <w:rtl w:val="true"/>
        </w:rPr>
        <w:t>"</w:t>
      </w:r>
      <w:r>
        <w:rPr>
          <w:rtl w:val="true"/>
        </w:rPr>
        <w:t>אשר וינר</w:t>
      </w:r>
      <w:r>
        <w:rPr>
          <w:rtl w:val="true"/>
        </w:rPr>
        <w:t xml:space="preserve">", </w:t>
      </w:r>
      <w:r>
        <w:rPr>
          <w:rtl w:val="true"/>
        </w:rPr>
        <w:t>אשר מקשר את דרך חברון לשכונת ארמון הנציב בירושלים</w:t>
      </w:r>
      <w:r>
        <w:rPr>
          <w:rtl w:val="true"/>
        </w:rPr>
        <w:t xml:space="preserve">, </w:t>
      </w:r>
      <w:r>
        <w:rPr>
          <w:rtl w:val="true"/>
        </w:rPr>
        <w:t>כאשר לעבר הרכב נזרקה אבן שמשקלה כקילוגרם ממרחק של מטר</w:t>
      </w:r>
      <w:r>
        <w:rPr>
          <w:rtl w:val="true"/>
        </w:rPr>
        <w:t xml:space="preserve">, </w:t>
      </w:r>
      <w:r>
        <w:rPr>
          <w:rtl w:val="true"/>
        </w:rPr>
        <w:t>חדרה אל תוך חלון הנהג וגרמה למנוח לאבד שליטה על הרכב</w:t>
      </w:r>
      <w:r>
        <w:rPr>
          <w:rtl w:val="true"/>
        </w:rPr>
        <w:t xml:space="preserve">, </w:t>
      </w:r>
      <w:r>
        <w:rPr>
          <w:rtl w:val="true"/>
        </w:rPr>
        <w:t>לסטות ימינה ולהתנגש בעמוד החשמל ואחר</w:t>
      </w:r>
      <w:r>
        <w:rPr>
          <w:rtl w:val="true"/>
        </w:rPr>
        <w:t>-</w:t>
      </w:r>
      <w:r>
        <w:rPr>
          <w:rtl w:val="true"/>
        </w:rPr>
        <w:t>כך בעץ</w:t>
      </w:r>
      <w:r>
        <w:rPr>
          <w:rtl w:val="true"/>
        </w:rPr>
        <w:t xml:space="preserve">. </w:t>
      </w:r>
      <w:r>
        <w:rPr>
          <w:rtl w:val="true"/>
        </w:rPr>
        <w:t>כתוצאה מההתנגשות</w:t>
      </w:r>
      <w:r>
        <w:rPr>
          <w:rtl w:val="true"/>
        </w:rPr>
        <w:t xml:space="preserve">, </w:t>
      </w:r>
      <w:r>
        <w:rPr>
          <w:rtl w:val="true"/>
        </w:rPr>
        <w:t>נמעך בית החזה של המנוח על ידי הגה הרכב</w:t>
      </w:r>
      <w:r>
        <w:rPr>
          <w:rtl w:val="true"/>
        </w:rPr>
        <w:t xml:space="preserve">, </w:t>
      </w:r>
      <w:r>
        <w:rPr>
          <w:rtl w:val="true"/>
        </w:rPr>
        <w:t>או על ידי כרית האוויר שנפתחה</w:t>
      </w:r>
      <w:r>
        <w:rPr>
          <w:rtl w:val="true"/>
        </w:rPr>
        <w:t xml:space="preserve">, </w:t>
      </w:r>
      <w:r>
        <w:rPr>
          <w:rtl w:val="true"/>
        </w:rPr>
        <w:t xml:space="preserve">ולבו נקרע </w:t>
      </w:r>
      <w:r>
        <w:rPr>
          <w:rtl w:val="true"/>
        </w:rPr>
        <w:t>–</w:t>
      </w:r>
      <w:r>
        <w:rPr>
          <w:rtl w:val="true"/>
        </w:rPr>
        <w:t xml:space="preserve"> דבר אשר גרם למותו</w:t>
      </w:r>
      <w:r>
        <w:rPr>
          <w:rtl w:val="true"/>
        </w:rPr>
        <w:t xml:space="preserve">. </w:t>
      </w:r>
      <w:r>
        <w:rPr>
          <w:rtl w:val="true"/>
        </w:rPr>
        <w:t>אחת הנוסעות שהיתה עמו נפצעה פציעות ברמת חומרה בינונית</w:t>
      </w:r>
      <w:r>
        <w:rPr>
          <w:rtl w:val="true"/>
        </w:rPr>
        <w:t xml:space="preserve">. </w:t>
      </w:r>
      <w:r>
        <w:rPr>
          <w:rtl w:val="true"/>
        </w:rPr>
        <w:t>בגין אירועים אלה</w:t>
      </w:r>
      <w:r>
        <w:rPr>
          <w:rtl w:val="true"/>
        </w:rPr>
        <w:t xml:space="preserve">, </w:t>
      </w:r>
      <w:r>
        <w:rPr>
          <w:rtl w:val="true"/>
        </w:rPr>
        <w:t xml:space="preserve">הורשעו המערערים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2017/18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כף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tl w:val="true"/>
        </w:rPr>
        <w:t xml:space="preserve">)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1993/18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עיסא</w:t>
      </w:r>
      <w:r>
        <w:rPr>
          <w:rtl w:val="true"/>
        </w:rPr>
        <w:t xml:space="preserve">) </w:t>
      </w:r>
      <w:r>
        <w:rPr>
          <w:rtl w:val="true"/>
        </w:rPr>
        <w:t>כמי שהשתתף ביידוי אבנים אל כלי הרכב אשר נסעו באותו הזמן באותו הכביש</w:t>
      </w:r>
      <w:r>
        <w:rPr>
          <w:rtl w:val="true"/>
        </w:rPr>
        <w:t xml:space="preserve">, </w:t>
      </w:r>
      <w:r>
        <w:rPr>
          <w:rtl w:val="true"/>
        </w:rPr>
        <w:t>ונראו כנהוגים על ידי יהודים</w:t>
      </w:r>
      <w:r>
        <w:rPr>
          <w:rtl w:val="true"/>
        </w:rPr>
        <w:t xml:space="preserve">, </w:t>
      </w:r>
      <w:r>
        <w:rPr>
          <w:rtl w:val="true"/>
        </w:rPr>
        <w:t xml:space="preserve">בגדרו של </w:t>
      </w:r>
      <w:hyperlink r:id="rId4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26792-10-15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כרמל</w:t>
      </w:r>
      <w:r>
        <w:rPr>
          <w:rtl w:val="true"/>
        </w:rPr>
        <w:t xml:space="preserve">), </w:t>
      </w:r>
      <w:r>
        <w:rPr>
          <w:rtl w:val="true"/>
        </w:rPr>
        <w:t>בשורה של עבירות שכללו</w:t>
      </w:r>
      <w:r>
        <w:rPr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כעבירה עיקרית</w:t>
      </w:r>
      <w:r>
        <w:rPr>
          <w:rtl w:val="true"/>
        </w:rPr>
        <w:t xml:space="preserve">,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העיקרית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יידוי אבן לעבר כלי תחבורה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חמש עבירות</w:t>
      </w:r>
      <w:r>
        <w:rPr>
          <w:rtl w:val="true"/>
        </w:rPr>
        <w:t xml:space="preserve">); </w:t>
      </w:r>
      <w:r>
        <w:rPr>
          <w:rtl w:val="true"/>
        </w:rPr>
        <w:t>וגרימת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הכל כמבצעים בצוותא</w:t>
      </w:r>
      <w:r>
        <w:rPr>
          <w:rtl w:val="true"/>
        </w:rPr>
        <w:t xml:space="preserve">, </w:t>
      </w:r>
      <w:r>
        <w:rPr>
          <w:rtl w:val="true"/>
        </w:rPr>
        <w:t xml:space="preserve">כמשמעם </w:t>
      </w:r>
      <w:hyperlink r:id="rId4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יחד עם עבד דוויאת</w:t>
      </w:r>
      <w:r>
        <w:rPr>
          <w:rtl w:val="true"/>
        </w:rPr>
        <w:t xml:space="preserve">, </w:t>
      </w:r>
      <w:r>
        <w:rPr>
          <w:rtl w:val="true"/>
        </w:rPr>
        <w:t xml:space="preserve">שיידה את האבן הקטלנית לעבר רכבו של המנוח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דוויאת</w:t>
      </w:r>
      <w:r>
        <w:rPr>
          <w:rtl w:val="true"/>
        </w:rPr>
        <w:t xml:space="preserve">) </w:t>
      </w:r>
      <w:r>
        <w:rPr>
          <w:rtl w:val="true"/>
        </w:rPr>
        <w:t xml:space="preserve">ועם נאשם אחר ששמו מחמד טוויל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טוויל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בגין אירועים אחרים</w:t>
      </w:r>
      <w:r>
        <w:rPr>
          <w:rtl w:val="true"/>
        </w:rPr>
        <w:t xml:space="preserve">, </w:t>
      </w:r>
      <w:r>
        <w:rPr>
          <w:rtl w:val="true"/>
        </w:rPr>
        <w:t>אשר כללו הכנת בקבוקי תבערה והשלכתם לעבר כוחות המשטרה</w:t>
      </w:r>
      <w:r>
        <w:rPr>
          <w:rtl w:val="true"/>
        </w:rPr>
        <w:t xml:space="preserve">, </w:t>
      </w:r>
      <w:r>
        <w:rPr>
          <w:rtl w:val="true"/>
        </w:rPr>
        <w:t>וכן יידוי אבנים לעברם של שוטרים</w:t>
      </w:r>
      <w:r>
        <w:rPr>
          <w:rtl w:val="true"/>
        </w:rPr>
        <w:t xml:space="preserve">, </w:t>
      </w:r>
      <w:r>
        <w:rPr>
          <w:rtl w:val="true"/>
        </w:rPr>
        <w:t xml:space="preserve">הורשע </w:t>
      </w:r>
      <w:r>
        <w:rPr>
          <w:rFonts w:ascii="Century" w:hAnsi="Century" w:cs="Century"/>
          <w:sz w:val="22"/>
          <w:sz w:val="22"/>
          <w:rtl w:val="true"/>
        </w:rPr>
        <w:t>אבו כף</w:t>
      </w:r>
      <w:r>
        <w:rPr>
          <w:rtl w:val="true"/>
        </w:rPr>
        <w:t xml:space="preserve"> בניסיון לגרימת 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בייצור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בצירוף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בהצתה ובניסיון הצתה</w:t>
      </w:r>
      <w:r>
        <w:rPr>
          <w:rtl w:val="true"/>
        </w:rPr>
        <w:t xml:space="preserve">, </w:t>
      </w:r>
      <w:r>
        <w:rPr>
          <w:rtl w:val="true"/>
        </w:rPr>
        <w:t xml:space="preserve">עבירות לפי 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; </w:t>
      </w:r>
      <w:r>
        <w:rPr>
          <w:rtl w:val="true"/>
        </w:rPr>
        <w:t>וכן בהפרעה לשוטר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5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הנוספות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בעקבות ההרשעה כאמור</w:t>
      </w:r>
      <w:r>
        <w:rPr>
          <w:rtl w:val="true"/>
        </w:rPr>
        <w:t xml:space="preserve">, </w:t>
      </w:r>
      <w:r>
        <w:rPr>
          <w:rtl w:val="true"/>
        </w:rPr>
        <w:t>השית בית משפט קמא על המערערים עונשים 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start="3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start="360" w:end="0"/>
        <w:jc w:val="both"/>
        <w:rPr/>
      </w:pPr>
      <w:r>
        <w:rPr>
          <w:rtl w:val="true"/>
        </w:rPr>
      </w:r>
    </w:p>
    <w:p>
      <w:pPr>
        <w:pStyle w:val="Ruller4"/>
        <w:ind w:start="360" w:end="0"/>
        <w:jc w:val="both"/>
        <w:rPr/>
      </w:pP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.</w:t>
        <w:tab/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אטרש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start="360" w:end="0"/>
        <w:jc w:val="both"/>
        <w:rPr/>
      </w:pPr>
      <w:r>
        <w:rPr>
          <w:rtl w:val="true"/>
        </w:rPr>
      </w:r>
    </w:p>
    <w:p>
      <w:pPr>
        <w:pStyle w:val="Ruller4"/>
        <w:ind w:start="36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עיסא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אבו כף</w:t>
      </w:r>
      <w:r>
        <w:rPr>
          <w:rtl w:val="true"/>
        </w:rPr>
        <w:t xml:space="preserve">, </w:t>
      </w:r>
      <w:r>
        <w:rPr>
          <w:rtl w:val="true"/>
        </w:rPr>
        <w:t>אטרש ועיסא מערערים כעת על הרשעתם בדין</w:t>
      </w:r>
      <w:r>
        <w:rPr>
          <w:rtl w:val="true"/>
        </w:rPr>
        <w:t xml:space="preserve">, </w:t>
      </w:r>
      <w:r>
        <w:rPr>
          <w:rtl w:val="true"/>
        </w:rPr>
        <w:t>שאותה הם מבקשים לבטל או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להחליף בהרשעה בגין סיוע להריגה להבדיל מביצועה העיקרי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מלינים השלושה על חומרת העונשים שהושתו עליהם ומבקשים שנקל בעונשים אלו ככל שניתן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אבו כף ואטרש מבקשים מאתנו כי נקטין את שיעור הפיצויים שאותם הם חוייבו לשלם לנפגעי העבירה העיקרית</w:t>
      </w:r>
      <w:r>
        <w:rPr>
          <w:rtl w:val="true"/>
        </w:rPr>
        <w:t xml:space="preserve">. </w:t>
      </w:r>
      <w:r>
        <w:rPr>
          <w:rtl w:val="true"/>
        </w:rPr>
        <w:t>ערעורו של עיסא</w:t>
      </w:r>
      <w:r>
        <w:rPr>
          <w:rtl w:val="true"/>
        </w:rPr>
        <w:t xml:space="preserve">, </w:t>
      </w:r>
      <w:r>
        <w:rPr>
          <w:rtl w:val="true"/>
        </w:rPr>
        <w:t>אף הוא כולל השגה על גובה הפיצוי שאותו הוא חוייב לשלם לנפגעי העבירה העיקרית</w:t>
      </w:r>
      <w:r>
        <w:rPr>
          <w:rtl w:val="true"/>
        </w:rPr>
        <w:t xml:space="preserve">, </w:t>
      </w:r>
      <w:r>
        <w:rPr>
          <w:rtl w:val="true"/>
        </w:rPr>
        <w:t xml:space="preserve">כאשר הוא מכנה את הפיצוי בשם </w:t>
      </w:r>
      <w:r>
        <w:rPr>
          <w:rtl w:val="true"/>
        </w:rPr>
        <w:t>"</w:t>
      </w:r>
      <w:r>
        <w:rPr>
          <w:rtl w:val="true"/>
        </w:rPr>
        <w:t>קנס</w:t>
      </w:r>
      <w:r>
        <w:rPr>
          <w:rtl w:val="true"/>
        </w:rPr>
        <w:t xml:space="preserve">", </w:t>
      </w:r>
      <w:r>
        <w:rPr>
          <w:rtl w:val="true"/>
        </w:rPr>
        <w:t xml:space="preserve">אולם השגה זו לא הופיעה בעיקרי הטיעון וגם לא נשמעה בטיעון בעל פה אשר נתקיים לפנינו ביום </w:t>
      </w:r>
      <w:r>
        <w:rPr/>
        <w:t>1.1.2020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ולמען הסר ספק</w:t>
      </w:r>
      <w:r>
        <w:rPr>
          <w:rtl w:val="true"/>
        </w:rPr>
        <w:t xml:space="preserve">, </w:t>
      </w:r>
      <w:r>
        <w:rPr>
          <w:rtl w:val="true"/>
        </w:rPr>
        <w:t>פסק דיני יתייחס בקצרה גם לרכיב זה של גזר 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בית משפט קמא ביסס את הרשעת המערערים על מסכת ראיות שכללה את אלו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צילומים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צילומי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הזירה</w:t>
      </w:r>
      <w:r>
        <w:rPr>
          <w:rtl w:val="true"/>
        </w:rPr>
        <w:t>).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פרמדיק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ההתנגשות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בעץ</w:t>
      </w:r>
      <w:r>
        <w:rPr>
          <w:rtl w:val="true"/>
        </w:rPr>
        <w:t>).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שיינפלד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דוויאת</w:t>
      </w:r>
      <w:r>
        <w:rPr>
          <w:rtl w:val="true"/>
        </w:rPr>
        <w:t xml:space="preserve">,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אטרש</w:t>
      </w:r>
      <w:r>
        <w:rPr>
          <w:rtl w:val="true"/>
        </w:rPr>
        <w:t xml:space="preserve">, </w:t>
      </w:r>
      <w:r>
        <w:rPr>
          <w:rtl w:val="true"/>
        </w:rPr>
        <w:t>ועיסא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וסיכומם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מהודעות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הסיכום</w:t>
      </w:r>
      <w:r>
        <w:rPr>
          <w:rtl w:val="true"/>
        </w:rPr>
        <w:t xml:space="preserve">,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ואטרש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וטוויל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התצפיתן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>: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... [</w:t>
      </w:r>
      <w:r>
        <w:rPr>
          <w:rtl w:val="true"/>
        </w:rPr>
        <w:t>הייתי</w:t>
      </w:r>
      <w:r>
        <w:rPr>
          <w:rtl w:val="true"/>
        </w:rPr>
        <w:t xml:space="preserve">]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</w:t>
      </w:r>
      <w:r>
        <w:rPr>
          <w:rtl w:val="true"/>
        </w:rPr>
        <w:t xml:space="preserve">, </w:t>
      </w:r>
      <w:r>
        <w:rPr>
          <w:rtl w:val="true"/>
        </w:rPr>
        <w:t>זרקתי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והזכוכית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". 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שהודעותיהם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אטרש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מוסריהן</w:t>
      </w:r>
      <w:r>
        <w:rPr>
          <w:rtl w:val="true"/>
        </w:rPr>
        <w:t xml:space="preserve">, </w:t>
      </w:r>
      <w:r>
        <w:rPr>
          <w:rtl w:val="true"/>
        </w:rPr>
        <w:t>קבילותן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56">
        <w:r>
          <w:rPr>
            <w:rStyle w:val="Hyperlink"/>
            <w:color w:val="0000FF"/>
            <w:u w:val="single"/>
          </w:rPr>
          <w:t>12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ההודעות</w:t>
      </w:r>
      <w:r>
        <w:rPr>
          <w:rtl w:val="true"/>
        </w:rPr>
        <w:t xml:space="preserve">. </w:t>
      </w:r>
      <w:r>
        <w:rPr>
          <w:rtl w:val="true"/>
        </w:rPr>
        <w:t>ההודעות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תיקראנה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המבצעים</w:t>
      </w:r>
      <w:r>
        <w:rPr>
          <w:rtl w:val="true"/>
        </w:rPr>
        <w:t>.</w:t>
      </w:r>
    </w:p>
    <w:p>
      <w:pPr>
        <w:pStyle w:val="Ruller4"/>
        <w:ind w:start="720" w:end="0"/>
        <w:jc w:val="both"/>
        <w:rPr/>
      </w:pPr>
      <w:r>
        <w:rPr>
          <w:rtl w:val="true"/>
        </w:rPr>
      </w:r>
    </w:p>
    <w:p>
      <w:pPr>
        <w:pStyle w:val="Ruller4"/>
        <w:ind w:start="72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וטוויל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קבע בית משפט קמא כי התביעה הוכיחה מעבר לספק סביר שדוויאת גרם למותו של המנוח בפועלו בצוותא חדא עם טוויל</w:t>
      </w:r>
      <w:r>
        <w:rPr>
          <w:rtl w:val="true"/>
        </w:rPr>
        <w:t xml:space="preserve">, </w:t>
      </w:r>
      <w:r>
        <w:rPr>
          <w:rtl w:val="true"/>
        </w:rPr>
        <w:t>אבו כף</w:t>
      </w:r>
      <w:r>
        <w:rPr>
          <w:rtl w:val="true"/>
        </w:rPr>
        <w:t xml:space="preserve">, </w:t>
      </w:r>
      <w:r>
        <w:rPr>
          <w:rtl w:val="true"/>
        </w:rPr>
        <w:t>אטרש</w:t>
      </w:r>
      <w:r>
        <w:rPr>
          <w:rtl w:val="true"/>
        </w:rPr>
        <w:t xml:space="preserve">, </w:t>
      </w:r>
      <w:r>
        <w:rPr>
          <w:rtl w:val="true"/>
        </w:rPr>
        <w:t>ועיסא</w:t>
      </w:r>
      <w:r>
        <w:rPr>
          <w:rtl w:val="true"/>
        </w:rPr>
        <w:t xml:space="preserve">. </w:t>
      </w:r>
      <w:r>
        <w:rPr>
          <w:rtl w:val="true"/>
        </w:rPr>
        <w:t>כמו כן קבע בית המשפט כי החמישה צפו את האפשרות שיידוי האבנים כאמור עלול לגרום לתוצאה קטלנית</w:t>
      </w:r>
      <w:r>
        <w:rPr>
          <w:rtl w:val="true"/>
        </w:rPr>
        <w:t xml:space="preserve">, </w:t>
      </w:r>
      <w:r>
        <w:rPr>
          <w:rtl w:val="true"/>
        </w:rPr>
        <w:t>כפי שאכן קרה בפועל</w:t>
      </w:r>
      <w:r>
        <w:rPr>
          <w:rtl w:val="true"/>
        </w:rPr>
        <w:t xml:space="preserve">. </w:t>
      </w:r>
      <w:r>
        <w:rPr>
          <w:rtl w:val="true"/>
        </w:rPr>
        <w:t>בית המשפט מצא אפוא את אבו כף</w:t>
      </w:r>
      <w:r>
        <w:rPr>
          <w:rtl w:val="true"/>
        </w:rPr>
        <w:t xml:space="preserve">, </w:t>
      </w:r>
      <w:r>
        <w:rPr>
          <w:rtl w:val="true"/>
        </w:rPr>
        <w:t>את אטרש ואת עיסא אשמים בהריגה כמבצעיה העיקריים אשר פעלו בצוותא חדא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בבואו לגזור את עונשם של שלושת אלו</w:t>
      </w:r>
      <w:r>
        <w:rPr>
          <w:rtl w:val="true"/>
        </w:rPr>
        <w:t xml:space="preserve">, </w:t>
      </w:r>
      <w:r>
        <w:rPr>
          <w:rtl w:val="true"/>
        </w:rPr>
        <w:t>שקל בית המשפט את הנסיבות החמורות של מעשיהם וכמובן את תוצאתם הקטלנית ואת רצונם לפגוע ביהודים</w:t>
      </w:r>
      <w:r>
        <w:rPr>
          <w:rtl w:val="true"/>
        </w:rPr>
        <w:t xml:space="preserve">. </w:t>
      </w:r>
      <w:r>
        <w:rPr>
          <w:rtl w:val="true"/>
        </w:rPr>
        <w:t>כמו כן לקח בית המשפט במניין שיקוליו את עמדתו השלילית של שירות המבחן ביחס לסיכונים הנשקפים מאבו כף ומאטרש ולמניעיהם</w:t>
      </w:r>
      <w:r>
        <w:rPr>
          <w:rtl w:val="true"/>
        </w:rPr>
        <w:t xml:space="preserve">, </w:t>
      </w:r>
      <w:r>
        <w:rPr>
          <w:rtl w:val="true"/>
        </w:rPr>
        <w:t>ואת העדרה של המלצה מטעמו</w:t>
      </w:r>
      <w:r>
        <w:rPr>
          <w:rtl w:val="true"/>
        </w:rPr>
        <w:t xml:space="preserve">, </w:t>
      </w:r>
      <w:r>
        <w:rPr>
          <w:rtl w:val="true"/>
        </w:rPr>
        <w:t>לכאן או לכאן</w:t>
      </w:r>
      <w:r>
        <w:rPr>
          <w:rtl w:val="true"/>
        </w:rPr>
        <w:t xml:space="preserve">, </w:t>
      </w:r>
      <w:r>
        <w:rPr>
          <w:rtl w:val="true"/>
        </w:rPr>
        <w:t>ביחס לעיסא</w:t>
      </w:r>
      <w:r>
        <w:rPr>
          <w:rtl w:val="true"/>
        </w:rPr>
        <w:t xml:space="preserve">, </w:t>
      </w:r>
      <w:r>
        <w:rPr>
          <w:rtl w:val="true"/>
        </w:rPr>
        <w:t xml:space="preserve">פרט לבקשה </w:t>
      </w:r>
      <w:r>
        <w:rPr>
          <w:rtl w:val="true"/>
        </w:rPr>
        <w:t>–</w:t>
      </w:r>
      <w:r>
        <w:rPr>
          <w:rtl w:val="true"/>
        </w:rPr>
        <w:t xml:space="preserve"> המובנת מאליה </w:t>
      </w:r>
      <w:r>
        <w:rPr>
          <w:rtl w:val="true"/>
        </w:rPr>
        <w:t>–</w:t>
      </w:r>
      <w:r>
        <w:rPr>
          <w:rtl w:val="true"/>
        </w:rPr>
        <w:t xml:space="preserve"> כי תינתן התחשבות להיותו קטין</w:t>
      </w:r>
      <w:r>
        <w:rPr>
          <w:rtl w:val="true"/>
        </w:rPr>
        <w:t xml:space="preserve">. </w:t>
      </w:r>
      <w:r>
        <w:rPr>
          <w:rtl w:val="true"/>
        </w:rPr>
        <w:t>בית המשפט נתן את דעתו גם לנסיבות חייהם של השלושה וציין כי הם הביעו צער וחרטה על מעשיהם ועל מות המנוח</w:t>
      </w:r>
      <w:r>
        <w:rPr>
          <w:rtl w:val="true"/>
        </w:rPr>
        <w:t xml:space="preserve">. </w:t>
      </w:r>
      <w:r>
        <w:rPr>
          <w:rtl w:val="true"/>
        </w:rPr>
        <w:t>בהתחשב בכל אלו ובהעמידו לנגד עיניו את קדושת החיים ואת שלום הציבור</w:t>
      </w:r>
      <w:r>
        <w:rPr>
          <w:rtl w:val="true"/>
        </w:rPr>
        <w:t xml:space="preserve">, </w:t>
      </w:r>
      <w:r>
        <w:rPr>
          <w:rtl w:val="true"/>
        </w:rPr>
        <w:t>אשר נפגעו ממעשי השלושה ללא תקנה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עונשיהם של אבו כף ושל אטרש ייגזרו על ידיו במסגרת המתחם שנע 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בית המשפט לא קבע מתחם ענישה בעניינו של עיסא בשל היותו קטין</w:t>
      </w:r>
      <w:r>
        <w:rPr>
          <w:rtl w:val="true"/>
        </w:rPr>
        <w:t xml:space="preserve">; </w:t>
      </w:r>
      <w:r>
        <w:rPr>
          <w:rtl w:val="true"/>
        </w:rPr>
        <w:t>ולבסוף גזר על המערערים את העונשים אשר צויינו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 xml:space="preserve">המערערים טוענים כי התשתית הראייתית שהונחה בעניינם בבית משפט קמא לא אפשרה להרשיעם בעבירה העיקרית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מכמה 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האבן שפגעה ברכבו של המנוח וגרמה לו לאבד שליטה ברכב לא זוהתה כדבעי</w:t>
      </w:r>
      <w:r>
        <w:rPr>
          <w:rtl w:val="true"/>
        </w:rPr>
        <w:t xml:space="preserve">, </w:t>
      </w:r>
      <w:r>
        <w:rPr>
          <w:rtl w:val="true"/>
        </w:rPr>
        <w:t>לטענתם</w:t>
      </w:r>
      <w:r>
        <w:rPr>
          <w:rtl w:val="true"/>
        </w:rPr>
        <w:t xml:space="preserve">. </w:t>
      </w:r>
      <w:r>
        <w:rPr>
          <w:rtl w:val="true"/>
        </w:rPr>
        <w:t>משכך הוא</w:t>
      </w:r>
      <w:r>
        <w:rPr>
          <w:rtl w:val="true"/>
        </w:rPr>
        <w:t xml:space="preserve">, </w:t>
      </w:r>
      <w:r>
        <w:rPr>
          <w:rtl w:val="true"/>
        </w:rPr>
        <w:t xml:space="preserve">הקשר הסיבתי בין עצם יידויי האבנים </w:t>
      </w:r>
      <w:r>
        <w:rPr>
          <w:rtl w:val="true"/>
        </w:rPr>
        <w:t>–</w:t>
      </w:r>
      <w:r>
        <w:rPr>
          <w:rtl w:val="true"/>
        </w:rPr>
        <w:t xml:space="preserve"> מעשה שבביצועו המערערים מודים </w:t>
      </w:r>
      <w:r>
        <w:rPr>
          <w:rtl w:val="true"/>
        </w:rPr>
        <w:t>–</w:t>
      </w:r>
      <w:r>
        <w:rPr>
          <w:rtl w:val="true"/>
        </w:rPr>
        <w:t xml:space="preserve"> לבין ההתנגשות הטראגית בה מצא המנוח את מותו לא הוכח</w:t>
      </w:r>
      <w:r>
        <w:rPr>
          <w:rtl w:val="true"/>
        </w:rPr>
        <w:t xml:space="preserve">,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לדברי המערערים</w:t>
      </w:r>
      <w:r>
        <w:rPr>
          <w:rtl w:val="true"/>
        </w:rPr>
        <w:t xml:space="preserve">, </w:t>
      </w:r>
      <w:r>
        <w:rPr>
          <w:rtl w:val="true"/>
        </w:rPr>
        <w:t>איש מהם לא השתייך למעגל הפנימי של מיידי האבנים ולא זרק אבן לעברו של הרכב בו נהג המנוח</w:t>
      </w:r>
      <w:r>
        <w:rPr>
          <w:rtl w:val="true"/>
        </w:rPr>
        <w:t xml:space="preserve">. </w:t>
      </w: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 xml:space="preserve">טוענים המערערים כי חומר הראיות לא אפשר את הרשעתם כמבצעיה העיקריים של העבירה העיקרית </w:t>
      </w:r>
      <w:r>
        <w:rPr>
          <w:rtl w:val="true"/>
        </w:rPr>
        <w:t>–</w:t>
      </w:r>
      <w:r>
        <w:rPr>
          <w:rtl w:val="true"/>
        </w:rPr>
        <w:t xml:space="preserve"> הריגה</w:t>
      </w:r>
      <w:r>
        <w:rPr>
          <w:rtl w:val="true"/>
        </w:rPr>
        <w:t xml:space="preserve">; </w:t>
      </w:r>
      <w:r>
        <w:rPr>
          <w:rtl w:val="true"/>
        </w:rPr>
        <w:t>לדידם</w:t>
      </w:r>
      <w:r>
        <w:rPr>
          <w:rtl w:val="true"/>
        </w:rPr>
        <w:t xml:space="preserve">, </w:t>
      </w:r>
      <w:r>
        <w:rPr>
          <w:rtl w:val="true"/>
        </w:rPr>
        <w:t>ניתן היה להרשיעם</w:t>
      </w:r>
      <w:r>
        <w:rPr>
          <w:rtl w:val="true"/>
        </w:rPr>
        <w:t xml:space="preserve">, </w:t>
      </w:r>
      <w:r>
        <w:rPr>
          <w:rtl w:val="true"/>
        </w:rPr>
        <w:t>אם בכלל</w:t>
      </w:r>
      <w:r>
        <w:rPr>
          <w:rtl w:val="true"/>
        </w:rPr>
        <w:t xml:space="preserve">, </w:t>
      </w:r>
      <w:r>
        <w:rPr>
          <w:rtl w:val="true"/>
        </w:rPr>
        <w:t xml:space="preserve">אך ורק במתן סיוע לאותה עבירה </w:t>
      </w:r>
      <w:r>
        <w:rPr>
          <w:rtl w:val="true"/>
        </w:rPr>
        <w:t>–</w:t>
      </w:r>
      <w:r>
        <w:rPr>
          <w:rtl w:val="true"/>
        </w:rPr>
        <w:t xml:space="preserve"> מעשה שעונשו המרבי הוא </w:t>
      </w:r>
      <w:r>
        <w:rPr>
          <w:rtl w:val="true"/>
        </w:rPr>
        <w:t>מחצית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נקבע</w:t>
      </w:r>
      <w:r>
        <w:rPr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 של העבירה שבה עסקינן </w:t>
      </w:r>
      <w:r>
        <w:rPr>
          <w:rtl w:val="true"/>
        </w:rPr>
        <w:t>(</w:t>
      </w:r>
      <w:r>
        <w:rPr>
          <w:rtl w:val="true"/>
        </w:rPr>
        <w:t xml:space="preserve">כאמור </w:t>
      </w:r>
      <w:hyperlink r:id="rId5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המערערים לא חזרו על השגותיהם ביחס להרשעתם בעבירות שנלוו לעבירה העיקרית</w:t>
      </w:r>
      <w:r>
        <w:rPr>
          <w:rtl w:val="true"/>
        </w:rPr>
        <w:t xml:space="preserve">. </w:t>
      </w:r>
      <w:r>
        <w:rPr>
          <w:rtl w:val="true"/>
        </w:rPr>
        <w:t>כמו כן לא שמענו מפיו של אבו כף טענות שהיה בהן כדי להטיל ספק בהרשעתו בעבירות הנוספות</w:t>
      </w:r>
      <w:r>
        <w:rPr>
          <w:rtl w:val="true"/>
        </w:rPr>
        <w:t xml:space="preserve">, </w:t>
      </w:r>
      <w:r>
        <w:rPr>
          <w:rtl w:val="true"/>
        </w:rPr>
        <w:t>אשר התבססה בעיקרה על הודאותיו בביצוען</w:t>
      </w:r>
      <w:r>
        <w:rPr>
          <w:rtl w:val="true"/>
        </w:rPr>
        <w:t xml:space="preserve">. </w:t>
      </w:r>
      <w:r>
        <w:rPr>
          <w:rtl w:val="true"/>
        </w:rPr>
        <w:t>המערערים גם מבקשים שנקל בעונשיהם</w:t>
      </w:r>
      <w:r>
        <w:rPr>
          <w:rtl w:val="true"/>
        </w:rPr>
        <w:t xml:space="preserve">, </w:t>
      </w:r>
      <w:r>
        <w:rPr>
          <w:rtl w:val="true"/>
        </w:rPr>
        <w:t>ככל שנמצא לנכון לאשר את הרשעתם בעבירה העיקרית או להוריד את אשמתם לדרגה של מסייע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טוענים המערערים כי העונשים שהוטלו עליהם הינם מפליגים בחומרתם</w:t>
      </w:r>
      <w:r>
        <w:rPr>
          <w:rtl w:val="true"/>
        </w:rPr>
        <w:t xml:space="preserve">, </w:t>
      </w:r>
      <w:r>
        <w:rPr>
          <w:rtl w:val="true"/>
        </w:rPr>
        <w:t>וכי מן הדין להקטין את שיעור הפיצויים</w:t>
      </w:r>
      <w:r>
        <w:rPr>
          <w:rtl w:val="true"/>
        </w:rPr>
        <w:t xml:space="preserve">, </w:t>
      </w:r>
      <w:r>
        <w:rPr>
          <w:rtl w:val="true"/>
        </w:rPr>
        <w:t>שאותם הם חוייבו לשלם לנפגעי העבירה</w:t>
      </w:r>
      <w:r>
        <w:rPr>
          <w:rtl w:val="true"/>
        </w:rPr>
        <w:t xml:space="preserve">, </w:t>
      </w:r>
      <w:r>
        <w:rPr>
          <w:rtl w:val="true"/>
        </w:rPr>
        <w:t>באופן שיבטא התחשבות במצבם הכלכלי הקשה</w:t>
      </w:r>
      <w:r>
        <w:rPr>
          <w:rtl w:val="true"/>
        </w:rPr>
        <w:t xml:space="preserve">. </w:t>
      </w:r>
      <w:r>
        <w:rPr>
          <w:rtl w:val="true"/>
        </w:rPr>
        <w:t>המערערים מוסיפים וטוענים כי לא העלו על דעתם שמעשיהם יביאו למותו של אדם וכי עשו את אשר עשו על רקע של תסכול שנבע ממציאות חייהם תחת כיבוש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מבקשת כי נשאיר את הכרעת הדין ואת גזר הדין בעינם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בדין מצא בית משפט קמא את המערערים אשמים בביצועה של העבירה העיקרית בצוותא חדא לאחר שהוכח מעבר לספק סביר כי זורק האבן הקטלנית</w:t>
      </w:r>
      <w:r>
        <w:rPr>
          <w:rtl w:val="true"/>
        </w:rPr>
        <w:t xml:space="preserve">, </w:t>
      </w:r>
      <w:r>
        <w:rPr>
          <w:rtl w:val="true"/>
        </w:rPr>
        <w:t>דוויאת</w:t>
      </w:r>
      <w:r>
        <w:rPr>
          <w:rtl w:val="true"/>
        </w:rPr>
        <w:t xml:space="preserve">, </w:t>
      </w:r>
      <w:r>
        <w:rPr>
          <w:rtl w:val="true"/>
        </w:rPr>
        <w:t>הסתייע במעשיו בטוויל</w:t>
      </w:r>
      <w:r>
        <w:rPr>
          <w:rtl w:val="true"/>
        </w:rPr>
        <w:t xml:space="preserve">, </w:t>
      </w:r>
      <w:r>
        <w:rPr>
          <w:rtl w:val="true"/>
        </w:rPr>
        <w:t>שעמד בסביבתו והעביר לו אבנים</w:t>
      </w:r>
      <w:r>
        <w:rPr>
          <w:rtl w:val="true"/>
        </w:rPr>
        <w:t xml:space="preserve"> 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אחרי שהגיע למקום יידויי האבנים בעקבות סיכום ותאום שעשה עם אבו כף</w:t>
      </w:r>
      <w:r>
        <w:rPr>
          <w:rtl w:val="true"/>
        </w:rPr>
        <w:t xml:space="preserve">, </w:t>
      </w:r>
      <w:r>
        <w:rPr>
          <w:rtl w:val="true"/>
        </w:rPr>
        <w:t>אטרש ועיסא</w:t>
      </w:r>
      <w:r>
        <w:rPr>
          <w:rtl w:val="true"/>
        </w:rPr>
        <w:t xml:space="preserve">, </w:t>
      </w:r>
      <w:r>
        <w:rPr>
          <w:rtl w:val="true"/>
        </w:rPr>
        <w:t>שבמסגרתו אבו כף ואטרש נטלו חלק פעיל ביידוי האבנים בשעה שעיסא שימש כתצפיתן בעמדו במקום שממנו ניתן היה לראות את המתרחש בכביש ותפקידו היה להזהיר את חבריו</w:t>
      </w:r>
      <w:r>
        <w:rPr>
          <w:rtl w:val="true"/>
        </w:rPr>
        <w:t>-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באמצעות הטלפון הסלולרי שהיה ברשותו</w:t>
      </w:r>
      <w:r>
        <w:rPr>
          <w:rtl w:val="true"/>
        </w:rPr>
        <w:t xml:space="preserve">, </w:t>
      </w:r>
      <w:r>
        <w:rPr>
          <w:rtl w:val="true"/>
        </w:rPr>
        <w:t>על בואם של כוחות הביטחון למקום</w:t>
      </w:r>
      <w:r>
        <w:rPr>
          <w:rtl w:val="true"/>
        </w:rPr>
        <w:t xml:space="preserve">. </w:t>
      </w:r>
      <w:r>
        <w:rPr>
          <w:rtl w:val="true"/>
        </w:rPr>
        <w:t>המדינה מפרטת וטוענת כי האבן הקטלנית</w:t>
      </w:r>
      <w:r>
        <w:rPr>
          <w:rtl w:val="true"/>
        </w:rPr>
        <w:t xml:space="preserve">, </w:t>
      </w:r>
      <w:r>
        <w:rPr>
          <w:rtl w:val="true"/>
        </w:rPr>
        <w:t>ממנה נלקחה דגימה שעליה נמצא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 המנוח</w:t>
      </w:r>
      <w:r>
        <w:rPr>
          <w:rtl w:val="true"/>
        </w:rPr>
        <w:t xml:space="preserve">, </w:t>
      </w:r>
      <w:r>
        <w:rPr>
          <w:rtl w:val="true"/>
        </w:rPr>
        <w:t>נמצאה בתוך רכבו של המנוח</w:t>
      </w:r>
      <w:r>
        <w:rPr>
          <w:rtl w:val="true"/>
        </w:rPr>
        <w:t xml:space="preserve">. </w:t>
      </w:r>
      <w:r>
        <w:rPr>
          <w:rtl w:val="true"/>
        </w:rPr>
        <w:t>ממצא זה מוכיח מעבר לספק סביר כי המנוח איבד את שליטתו ברכב</w:t>
      </w:r>
      <w:r>
        <w:rPr>
          <w:rtl w:val="true"/>
        </w:rPr>
        <w:t xml:space="preserve">, </w:t>
      </w:r>
      <w:r>
        <w:rPr>
          <w:rtl w:val="true"/>
        </w:rPr>
        <w:t>אשר אחר</w:t>
      </w:r>
      <w:r>
        <w:rPr>
          <w:rtl w:val="true"/>
        </w:rPr>
        <w:t>-</w:t>
      </w:r>
      <w:r>
        <w:rPr>
          <w:rtl w:val="true"/>
        </w:rPr>
        <w:t>כך התנגש בעמוד חשמל ובעץ התנגשות קטלנית</w:t>
      </w:r>
      <w:r>
        <w:rPr>
          <w:rtl w:val="true"/>
        </w:rPr>
        <w:t xml:space="preserve">, </w:t>
      </w:r>
      <w:r>
        <w:rPr>
          <w:rtl w:val="true"/>
        </w:rPr>
        <w:t>כתוצאה מפגיעת האבן שנזרקה לעברו על ידי דוויאת</w:t>
      </w:r>
      <w:r>
        <w:rPr>
          <w:rtl w:val="true"/>
        </w:rPr>
        <w:t xml:space="preserve">. </w:t>
      </w:r>
      <w:r>
        <w:rPr>
          <w:rtl w:val="true"/>
        </w:rPr>
        <w:t xml:space="preserve">באשר לעונשים שהושתו על המערערים </w:t>
      </w:r>
      <w:r>
        <w:rPr>
          <w:rtl w:val="true"/>
        </w:rPr>
        <w:t>–</w:t>
      </w:r>
      <w:r>
        <w:rPr>
          <w:rtl w:val="true"/>
        </w:rPr>
        <w:t xml:space="preserve"> לפי עמדת המדינה</w:t>
      </w:r>
      <w:r>
        <w:rPr>
          <w:rtl w:val="true"/>
        </w:rPr>
        <w:t xml:space="preserve">, </w:t>
      </w:r>
      <w:r>
        <w:rPr>
          <w:rtl w:val="true"/>
        </w:rPr>
        <w:t>מדובר בעונשים מידתיים ומאוזנים אשר הולמים את חומרת מעשיהם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שמענו גם דברים מפיהם של ילדי המנוח</w:t>
      </w:r>
      <w:r>
        <w:rPr>
          <w:rtl w:val="true"/>
        </w:rPr>
        <w:t xml:space="preserve">, </w:t>
      </w:r>
      <w:r>
        <w:rPr>
          <w:rtl w:val="true"/>
        </w:rPr>
        <w:t>שסיפרו לנו על אובדנם הקשה ועל חייהם במציאות של אבל ויגון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סבורני כי עלינו לדחות את הערעורים על ההרשעה</w:t>
      </w:r>
      <w:r>
        <w:rPr>
          <w:rtl w:val="true"/>
        </w:rPr>
        <w:t xml:space="preserve">, </w:t>
      </w:r>
      <w:r>
        <w:rPr>
          <w:rtl w:val="true"/>
        </w:rPr>
        <w:t>שכן אלו תלויים על בלימה</w:t>
      </w:r>
      <w:r>
        <w:rPr>
          <w:rtl w:val="true"/>
        </w:rPr>
        <w:t xml:space="preserve">; </w:t>
      </w:r>
      <w:r>
        <w:rPr>
          <w:rtl w:val="true"/>
        </w:rPr>
        <w:t>ואפרט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לית מאן דפליג</w:t>
      </w:r>
      <w:r>
        <w:rPr>
          <w:rtl w:val="true"/>
        </w:rPr>
        <w:t xml:space="preserve">, </w:t>
      </w:r>
      <w:r>
        <w:rPr>
          <w:rtl w:val="true"/>
        </w:rPr>
        <w:t xml:space="preserve">כי הודאתו של דוויאת קבילה נגד כל אחד מהמערערים כראיה לאמיתות תוכנה מכוחו של </w:t>
      </w:r>
      <w:hyperlink r:id="rId6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לפקודת הראית</w:t>
      </w:r>
      <w:r>
        <w:rPr>
          <w:rtl w:val="true"/>
        </w:rPr>
        <w:t xml:space="preserve">. </w:t>
      </w:r>
      <w:r>
        <w:rPr>
          <w:rtl w:val="true"/>
        </w:rPr>
        <w:t>בהודאה זו</w:t>
      </w:r>
      <w:r>
        <w:rPr>
          <w:rtl w:val="true"/>
        </w:rPr>
        <w:t xml:space="preserve">, </w:t>
      </w:r>
      <w:r>
        <w:rPr>
          <w:rtl w:val="true"/>
        </w:rPr>
        <w:t>אומר דוויאת כי זרק אבן לעבר רכבו של המנוח וכי האבן פגעה בשמשת הרכב</w:t>
      </w:r>
      <w:r>
        <w:rPr>
          <w:rtl w:val="true"/>
        </w:rPr>
        <w:t xml:space="preserve">. </w:t>
      </w:r>
      <w:r>
        <w:rPr>
          <w:rtl w:val="true"/>
        </w:rPr>
        <w:t xml:space="preserve">כמו כן לא ניתן לחלוק </w:t>
      </w:r>
      <w:r>
        <w:rPr>
          <w:rtl w:val="true"/>
        </w:rPr>
        <w:t>–</w:t>
      </w:r>
      <w:r>
        <w:rPr>
          <w:rtl w:val="true"/>
        </w:rPr>
        <w:t xml:space="preserve"> ואיש ממילא לא חלק </w:t>
      </w:r>
      <w:r>
        <w:rPr>
          <w:rtl w:val="true"/>
        </w:rPr>
        <w:t>–</w:t>
      </w:r>
      <w:r>
        <w:rPr>
          <w:rtl w:val="true"/>
        </w:rPr>
        <w:t xml:space="preserve"> על עדויותיהן של שתי העדות שנסעו באותו רכב</w:t>
      </w:r>
      <w:r>
        <w:rPr>
          <w:rtl w:val="true"/>
        </w:rPr>
        <w:t xml:space="preserve">, </w:t>
      </w:r>
      <w:r>
        <w:rPr>
          <w:rtl w:val="true"/>
        </w:rPr>
        <w:t>מהן עולה כי המנוח נפגע מאבן אחת בלבד שחדרה לתוך הרכב</w:t>
      </w:r>
      <w:r>
        <w:rPr>
          <w:rtl w:val="true"/>
        </w:rPr>
        <w:t xml:space="preserve">. </w:t>
      </w:r>
      <w:r>
        <w:rPr>
          <w:rtl w:val="true"/>
        </w:rPr>
        <w:t>על אותה אבן</w:t>
      </w:r>
      <w:r>
        <w:rPr>
          <w:rtl w:val="true"/>
        </w:rPr>
        <w:t xml:space="preserve">, </w:t>
      </w:r>
      <w:r>
        <w:rPr>
          <w:rtl w:val="true"/>
        </w:rPr>
        <w:t>כפי שכבר למדנו</w:t>
      </w:r>
      <w:r>
        <w:rPr>
          <w:rtl w:val="true"/>
        </w:rPr>
        <w:t xml:space="preserve">, </w:t>
      </w:r>
      <w:r>
        <w:rPr>
          <w:rtl w:val="true"/>
        </w:rPr>
        <w:t>נמצא ד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 המנוח</w:t>
      </w:r>
      <w:r>
        <w:rPr>
          <w:rtl w:val="true"/>
        </w:rPr>
        <w:t xml:space="preserve">. </w:t>
      </w:r>
      <w:r>
        <w:rPr>
          <w:rtl w:val="true"/>
        </w:rPr>
        <w:t>הווה אומר</w:t>
      </w:r>
      <w:r>
        <w:rPr>
          <w:rtl w:val="true"/>
        </w:rPr>
        <w:t xml:space="preserve">: </w:t>
      </w:r>
      <w:r>
        <w:rPr>
          <w:rtl w:val="true"/>
        </w:rPr>
        <w:t>המנוח נפגע מהאבן שנזרקה על ידי דוויאת</w:t>
      </w:r>
      <w:r>
        <w:rPr>
          <w:rtl w:val="true"/>
        </w:rPr>
        <w:t xml:space="preserve">; </w:t>
      </w:r>
      <w:r>
        <w:rPr>
          <w:rtl w:val="true"/>
        </w:rPr>
        <w:t>ואין חולק על כך שהדבר גרם לו לאבד את השליטה ברכב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התנגש בעמוד חשמל ובעץ </w:t>
      </w:r>
      <w:r>
        <w:rPr>
          <w:rtl w:val="true"/>
        </w:rPr>
        <w:t>–</w:t>
      </w:r>
      <w:r>
        <w:rPr>
          <w:rtl w:val="true"/>
        </w:rPr>
        <w:t xml:space="preserve"> דבר שהביא לפגיעה הקטלנית בבית החזה של המנוח על ידי ההגה או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על ידי כרית האוויר שנפתחה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הקרע בלב</w:t>
      </w:r>
      <w:r>
        <w:rPr>
          <w:rtl w:val="true"/>
        </w:rPr>
        <w:t xml:space="preserve">, </w:t>
      </w:r>
      <w:r>
        <w:rPr>
          <w:rtl w:val="true"/>
        </w:rPr>
        <w:t>שבעטיו מצא המנוח את מותו בעקבות הפגיעה בבית החזה</w:t>
      </w:r>
      <w:r>
        <w:rPr>
          <w:rtl w:val="true"/>
        </w:rPr>
        <w:t xml:space="preserve">, </w:t>
      </w:r>
      <w:r>
        <w:rPr>
          <w:rtl w:val="true"/>
        </w:rPr>
        <w:t>הוא פועל יוצא של האבן שנזרקה לעברו על ידי דוויאת מטווח קצר</w:t>
      </w:r>
      <w:r>
        <w:rPr>
          <w:rtl w:val="true"/>
        </w:rPr>
        <w:t xml:space="preserve">. </w:t>
      </w:r>
      <w:r>
        <w:rPr>
          <w:rtl w:val="true"/>
        </w:rPr>
        <w:t>ממצאים ברורים אלה עולים מחומר הראיות גופו</w:t>
      </w:r>
      <w:r>
        <w:rPr>
          <w:rtl w:val="true"/>
        </w:rPr>
        <w:t xml:space="preserve">; </w:t>
      </w:r>
      <w:r>
        <w:rPr>
          <w:rtl w:val="true"/>
        </w:rPr>
        <w:t>הם נתמכים בצילומי הזירה</w:t>
      </w:r>
      <w:r>
        <w:rPr>
          <w:rtl w:val="true"/>
        </w:rPr>
        <w:t xml:space="preserve">, </w:t>
      </w:r>
      <w:r>
        <w:rPr>
          <w:rtl w:val="true"/>
        </w:rPr>
        <w:t xml:space="preserve">ובידינו להגיע אליהם אף מבלי להסתמך על קביעותיו של בית משפט קמא בנוגע למהימנותם של העדים שמסרו בפניו את עדויותיהם </w:t>
      </w:r>
      <w:r>
        <w:rPr>
          <w:rtl w:val="true"/>
        </w:rPr>
        <w:t>–</w:t>
      </w:r>
      <w:r>
        <w:rPr>
          <w:rtl w:val="true"/>
        </w:rPr>
        <w:t xml:space="preserve"> די אם נחבר את הראיות שנסקרו לעיל זו לזו ונסיק מהן את המסקנות המתבקשות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לא נוכל </w:t>
      </w:r>
      <w:r>
        <w:rPr>
          <w:rtl w:val="true"/>
        </w:rPr>
        <w:t>–</w:t>
      </w:r>
      <w:r>
        <w:rPr>
          <w:rtl w:val="true"/>
        </w:rPr>
        <w:t xml:space="preserve"> וממילא לא נרצה </w:t>
      </w:r>
      <w:r>
        <w:rPr>
          <w:rtl w:val="true"/>
        </w:rPr>
        <w:t>–</w:t>
      </w:r>
      <w:r>
        <w:rPr>
          <w:rtl w:val="true"/>
        </w:rPr>
        <w:t xml:space="preserve"> להתערב בקביעתו של בית משפט קמא כי דוויאת</w:t>
      </w:r>
      <w:r>
        <w:rPr>
          <w:rtl w:val="true"/>
        </w:rPr>
        <w:t xml:space="preserve">, </w:t>
      </w:r>
      <w:r>
        <w:rPr>
          <w:rtl w:val="true"/>
        </w:rPr>
        <w:t>טוויל</w:t>
      </w:r>
      <w:r>
        <w:rPr>
          <w:rtl w:val="true"/>
        </w:rPr>
        <w:t xml:space="preserve">, </w:t>
      </w:r>
      <w:r>
        <w:rPr>
          <w:rtl w:val="true"/>
        </w:rPr>
        <w:t>אבו כף</w:t>
      </w:r>
      <w:r>
        <w:rPr>
          <w:rtl w:val="true"/>
        </w:rPr>
        <w:t xml:space="preserve">, </w:t>
      </w:r>
      <w:r>
        <w:rPr>
          <w:rtl w:val="true"/>
        </w:rPr>
        <w:t>אטרש</w:t>
      </w:r>
      <w:r>
        <w:rPr>
          <w:rtl w:val="true"/>
        </w:rPr>
        <w:t xml:space="preserve">, </w:t>
      </w:r>
      <w:r>
        <w:rPr>
          <w:rtl w:val="true"/>
        </w:rPr>
        <w:t>ועיסא צפו את האפשרות כי יידוי האבנים לעבר כלי רכב</w:t>
      </w:r>
      <w:r>
        <w:rPr>
          <w:rtl w:val="true"/>
        </w:rPr>
        <w:t xml:space="preserve">, </w:t>
      </w:r>
      <w:r>
        <w:rPr>
          <w:rtl w:val="true"/>
        </w:rPr>
        <w:t>בדרך שבה נעשה</w:t>
      </w:r>
      <w:r>
        <w:rPr>
          <w:rtl w:val="true"/>
        </w:rPr>
        <w:t xml:space="preserve">, </w:t>
      </w:r>
      <w:r>
        <w:rPr>
          <w:rtl w:val="true"/>
        </w:rPr>
        <w:t>עלול לגרום לתוצאה קטלנית</w:t>
      </w:r>
      <w:r>
        <w:rPr>
          <w:rtl w:val="true"/>
        </w:rPr>
        <w:t xml:space="preserve">. </w:t>
      </w:r>
      <w:r>
        <w:rPr>
          <w:rtl w:val="true"/>
        </w:rPr>
        <w:t>בעניין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השופט המנוח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Century" w:hAnsi="Century" w:cs="Century"/>
          <w:sz w:val="22"/>
          <w:sz w:val="22"/>
          <w:rtl w:val="true"/>
        </w:rPr>
        <w:t xml:space="preserve"> ז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ל אמר דברים חשובים וברורים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שאותם לא נותר לי אלא לאמץ כלשונם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 xml:space="preserve">.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" 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411/09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21.4.2009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דוויאת</w:t>
      </w:r>
      <w:r>
        <w:rPr>
          <w:rtl w:val="true"/>
        </w:rPr>
        <w:t xml:space="preserve">, </w:t>
      </w:r>
      <w:r>
        <w:rPr>
          <w:rtl w:val="true"/>
        </w:rPr>
        <w:t>טוויל ושלושת המערערים בלי ספק צפו את האפשרות שיידוי אבנים עלול לגרום לתאונת דרכים וכי תאונות דרכים מן הסתם הורגות אנשים</w:t>
      </w:r>
      <w:r>
        <w:rPr>
          <w:rtl w:val="true"/>
        </w:rPr>
        <w:t xml:space="preserve">. </w:t>
      </w:r>
      <w:r>
        <w:rPr>
          <w:rtl w:val="true"/>
        </w:rPr>
        <w:t>בכגון דא</w:t>
      </w:r>
      <w:r>
        <w:rPr>
          <w:rtl w:val="true"/>
        </w:rPr>
        <w:t xml:space="preserve">, </w:t>
      </w:r>
      <w:r>
        <w:rPr>
          <w:rtl w:val="true"/>
        </w:rPr>
        <w:t xml:space="preserve">כאמור </w:t>
      </w:r>
      <w:hyperlink r:id="rId6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די ב</w:t>
      </w:r>
      <w:r>
        <w:rPr>
          <w:rtl w:val="true"/>
        </w:rPr>
        <w:t>מודעות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>
          <w:rtl w:val="true"/>
        </w:rPr>
        <w:t>"</w:t>
      </w:r>
      <w:r>
        <w:rPr>
          <w:rtl w:val="true"/>
        </w:rPr>
        <w:t>לטיב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לקיום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ולאפשרות</w:t>
      </w:r>
      <w:r>
        <w:rPr>
          <w:rtl w:val="true"/>
        </w:rPr>
        <w:t xml:space="preserve"> </w:t>
      </w:r>
      <w:r>
        <w:rPr>
          <w:rtl w:val="true"/>
        </w:rPr>
        <w:t>הגרימה</w:t>
      </w:r>
      <w:r>
        <w:rPr>
          <w:rtl w:val="true"/>
        </w:rPr>
        <w:t xml:space="preserve"> </w:t>
      </w:r>
      <w:r>
        <w:rPr>
          <w:rtl w:val="true"/>
        </w:rPr>
        <w:t>לתוצאות</w:t>
      </w:r>
      <w:r>
        <w:rPr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הנמנים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 </w:t>
      </w:r>
      <w:r>
        <w:rPr>
          <w:rtl w:val="true"/>
        </w:rPr>
        <w:t>כדי לגבש אצלו את המחשבה הפלילית הנדרשת להתהוותה של עבירת הריגה</w:t>
      </w:r>
      <w:r>
        <w:rPr>
          <w:rtl w:val="true"/>
        </w:rPr>
        <w:t xml:space="preserve">; </w:t>
      </w:r>
      <w:r>
        <w:rPr>
          <w:rtl w:val="true"/>
        </w:rPr>
        <w:t xml:space="preserve">ואין צורך שהנאשם יצפה את פרטיה של גרימת המוות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6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9723/03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‏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מדינת ישראל נ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בלזר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''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ד נט</w:t>
        </w:r>
      </w:hyperlink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cs="FrankRuehl" w:ascii="FrankRuehl" w:hAnsi="FrankRuehl"/>
          <w:color w:val="000000"/>
          <w:sz w:val="28"/>
        </w:rPr>
        <w:t>408</w:t>
      </w:r>
      <w:r>
        <w:rPr>
          <w:rtl w:val="true"/>
        </w:rPr>
        <w:t xml:space="preserve">, </w:t>
      </w:r>
      <w:r>
        <w:rPr/>
        <w:t>423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hyperlink r:id="rId65">
        <w:bookmarkStart w:id="23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2544/12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פטאפאה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23"/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4.8.2014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 לאשמתו של כל אחד מהמערערים כמבצע בצוותא חדא</w:t>
      </w:r>
      <w:r>
        <w:rPr>
          <w:rtl w:val="true"/>
        </w:rPr>
        <w:t xml:space="preserve">, </w:t>
      </w:r>
      <w:r>
        <w:rPr>
          <w:rtl w:val="true"/>
        </w:rPr>
        <w:t>די אם נעיין בהודעות המעורבים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התקבלו כראיות לאמיתות תוכנן מכוחו של </w:t>
      </w:r>
      <w:hyperlink r:id="rId6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6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כאשר הן מחזקות זו את זו אהדדי לצרכיו של </w:t>
      </w:r>
      <w:hyperlink r:id="rId6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לפקודה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</w:t>
      </w:r>
      <w:hyperlink r:id="rId6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685/05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‏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26.7.2007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7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8204/14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15.4.2015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הודעות אלה</w:t>
      </w:r>
      <w:r>
        <w:rPr>
          <w:rtl w:val="true"/>
        </w:rPr>
        <w:t xml:space="preserve">, </w:t>
      </w:r>
      <w:r>
        <w:rPr>
          <w:rtl w:val="true"/>
        </w:rPr>
        <w:t>ובראשן הודאתו של דוויאת</w:t>
      </w:r>
      <w:r>
        <w:rPr>
          <w:rtl w:val="true"/>
        </w:rPr>
        <w:t xml:space="preserve">, </w:t>
      </w:r>
      <w:r>
        <w:rPr>
          <w:rtl w:val="true"/>
        </w:rPr>
        <w:t>מוכיחות שחמשת המעורבים עשו ביניהם סיכום מוקדם בנוגע למבצע נקמתי של יידוי אבנים</w:t>
      </w:r>
      <w:r>
        <w:rPr>
          <w:rtl w:val="true"/>
        </w:rPr>
        <w:t xml:space="preserve">, </w:t>
      </w:r>
      <w:r>
        <w:rPr>
          <w:rtl w:val="true"/>
        </w:rPr>
        <w:t>כולל תפקידיהם באותו מבצע</w:t>
      </w:r>
      <w:r>
        <w:rPr>
          <w:rtl w:val="true"/>
        </w:rPr>
        <w:t xml:space="preserve">; </w:t>
      </w:r>
      <w:r>
        <w:rPr>
          <w:rtl w:val="true"/>
        </w:rPr>
        <w:t>ואחר כך פעלו בהתאם לאותו סיכום</w:t>
      </w:r>
      <w:r>
        <w:rPr>
          <w:rtl w:val="true"/>
        </w:rPr>
        <w:t xml:space="preserve">. </w:t>
      </w:r>
      <w:r>
        <w:rPr>
          <w:rtl w:val="true"/>
        </w:rPr>
        <w:t xml:space="preserve">כל אחד מהם מיקם את עצמו אפוא במעגל הפנימי של מבצעי העבירה העיקרית </w:t>
      </w:r>
      <w:r>
        <w:rPr>
          <w:rtl w:val="true"/>
        </w:rPr>
        <w:t>–</w:t>
      </w:r>
      <w:r>
        <w:rPr>
          <w:rtl w:val="true"/>
        </w:rPr>
        <w:t xml:space="preserve"> דבר הנכון גם לגבי עיסא</w:t>
      </w:r>
      <w:r>
        <w:rPr>
          <w:rtl w:val="true"/>
        </w:rPr>
        <w:t xml:space="preserve">, </w:t>
      </w:r>
      <w:r>
        <w:rPr>
          <w:rtl w:val="true"/>
        </w:rPr>
        <w:t xml:space="preserve">חרף גילו הצעיר יחסית ולמרות היותו תצפיתן שלא נטל חלק ביידוי האבנים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2796/95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פלונים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נא</w:t>
        </w:r>
      </w:hyperlink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3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cs="FrankRuehl" w:ascii="FrankRuehl" w:hAnsi="FrankRuehl"/>
        </w:rPr>
        <w:t>388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cs="FrankRuehl" w:ascii="FrankRuehl" w:hAnsi="FrankRuehl"/>
        </w:rPr>
        <w:t>403</w:t>
      </w:r>
      <w:r>
        <w:rPr>
          <w:rFonts w:cs="FrankRuehl" w:ascii="FrankRuehl" w:hAnsi="FrankRuehl"/>
          <w:rtl w:val="true"/>
        </w:rPr>
        <w:t xml:space="preserve"> (</w:t>
      </w:r>
      <w:r>
        <w:rPr>
          <w:rFonts w:cs="FrankRuehl" w:ascii="FrankRuehl" w:hAnsi="FrankRuehl"/>
        </w:rPr>
        <w:t>1997</w:t>
      </w:r>
      <w:r>
        <w:rPr>
          <w:rFonts w:cs="FrankRuehl" w:ascii="FrankRuehl" w:hAnsi="FrankRuehl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7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2948/03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  <w:lang w:eastAsia="he-IL"/>
        </w:rPr>
        <w:t>(</w:t>
      </w:r>
      <w:r>
        <w:rPr>
          <w:rFonts w:cs="Century" w:ascii="Century" w:hAnsi="Century"/>
          <w:lang w:eastAsia="he-IL"/>
        </w:rPr>
        <w:t>20.6.2005</w:t>
      </w:r>
      <w:r>
        <w:rPr>
          <w:rFonts w:cs="Century" w:ascii="Century" w:hAnsi="Century"/>
          <w:rtl w:val="true"/>
          <w:lang w:eastAsia="he-IL"/>
        </w:rPr>
        <w:t xml:space="preserve">); </w:t>
      </w:r>
      <w:r>
        <w:rPr>
          <w:rtl w:val="true"/>
        </w:rPr>
        <w:t xml:space="preserve">רוני </w:t>
      </w:r>
      <w:hyperlink r:id="rId7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רוזנברג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ביצוע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בצוותא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רכיב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התנהגותי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,</w:t>
        </w:r>
      </w:hyperlink>
      <w:r>
        <w:rPr>
          <w:rtl w:val="true"/>
        </w:rPr>
        <w:t xml:space="preserve"> </w:t>
      </w:r>
      <w:r>
        <w:rPr>
          <w:rtl w:val="true"/>
        </w:rPr>
        <w:t>יסוד נפשי ורציונלים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אדמונד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/>
        <w:t>657</w:t>
      </w:r>
      <w:r>
        <w:rPr>
          <w:rtl w:val="true"/>
        </w:rPr>
        <w:t xml:space="preserve">, </w:t>
      </w:r>
      <w:r>
        <w:rPr/>
        <w:t>6</w:t>
      </w:r>
      <w:r>
        <w:rPr/>
        <w:t>62</w:t>
      </w:r>
      <w:r>
        <w:rPr>
          <w:rtl w:val="true"/>
        </w:rPr>
        <w:t xml:space="preserve"> (</w:t>
      </w:r>
      <w:r>
        <w:rPr/>
        <w:t>2017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בדין אפוא קבע בית משפט קמא כי כל אחד מהמערערים היה בגדר מבצע בצוותא חדא</w:t>
      </w:r>
      <w:r>
        <w:rPr>
          <w:rtl w:val="true"/>
        </w:rPr>
        <w:t xml:space="preserve">, </w:t>
      </w:r>
      <w:r>
        <w:rPr>
          <w:rtl w:val="true"/>
        </w:rPr>
        <w:t>ולא רק מסייע</w:t>
      </w:r>
      <w:r>
        <w:rPr>
          <w:rtl w:val="true"/>
        </w:rPr>
        <w:t xml:space="preserve">, </w:t>
      </w:r>
      <w:r>
        <w:rPr>
          <w:rtl w:val="true"/>
        </w:rPr>
        <w:t>ומצאם אשמים בהריגת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18"/>
          <w:szCs w:val="24"/>
        </w:rPr>
      </w:pPr>
      <w:r>
        <w:rPr>
          <w:sz w:val="18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הרשעתו של אבו כף בעבירות הנוספות</w:t>
      </w:r>
      <w:r>
        <w:rPr>
          <w:rtl w:val="true"/>
        </w:rPr>
        <w:t xml:space="preserve">, </w:t>
      </w:r>
      <w:r>
        <w:rPr>
          <w:rtl w:val="true"/>
        </w:rPr>
        <w:t>אף היא מבוססת כדבעי</w:t>
      </w:r>
      <w:r>
        <w:rPr>
          <w:rtl w:val="true"/>
        </w:rPr>
        <w:t xml:space="preserve">. </w:t>
      </w:r>
      <w:r>
        <w:rPr>
          <w:rtl w:val="true"/>
        </w:rPr>
        <w:t>בבסיסה מונחת הודאתו המפורשת בביצוע העבירות הללו</w:t>
      </w:r>
      <w:r>
        <w:rPr>
          <w:rtl w:val="true"/>
        </w:rPr>
        <w:t xml:space="preserve">. </w:t>
      </w:r>
      <w:r>
        <w:rPr>
          <w:rtl w:val="true"/>
        </w:rPr>
        <w:t>כאמור בפסק הדין קמא</w:t>
      </w:r>
      <w:r>
        <w:rPr>
          <w:rtl w:val="true"/>
        </w:rPr>
        <w:t xml:space="preserve">, </w:t>
      </w:r>
      <w:r>
        <w:rPr>
          <w:rtl w:val="true"/>
        </w:rPr>
        <w:t>הודאה זו נתמכת על ידי ההודעות שמסר דוויאת</w:t>
      </w:r>
      <w:r>
        <w:rPr>
          <w:rtl w:val="true"/>
        </w:rPr>
        <w:t xml:space="preserve">, </w:t>
      </w:r>
      <w:r>
        <w:rPr>
          <w:rtl w:val="true"/>
        </w:rPr>
        <w:t>אשר בוודאי מספקות את הדרישה ל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>-</w:t>
      </w:r>
      <w:r>
        <w:rPr>
          <w:rtl w:val="true"/>
        </w:rPr>
        <w:t>מה נוסף</w:t>
      </w:r>
      <w:r>
        <w:rPr>
          <w:rtl w:val="true"/>
        </w:rPr>
        <w:t xml:space="preserve">" </w:t>
      </w:r>
      <w:r>
        <w:rPr>
          <w:rtl w:val="true"/>
        </w:rPr>
        <w:t xml:space="preserve">שחלה על המדינה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556/80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עלי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לז</w:t>
        </w:r>
      </w:hyperlink>
      <w:r>
        <w:rPr>
          <w:rFonts w:ascii="FrankRuehl" w:hAnsi="FrankRuehl" w:cs="FrankRuehl"/>
          <w:sz w:val="22"/>
          <w:sz w:val="22"/>
          <w:rtl w:val="true"/>
        </w:rPr>
        <w:t xml:space="preserve"> </w:t>
      </w:r>
      <w:r>
        <w:rPr>
          <w:rFonts w:cs="FrankRuehl" w:ascii="FrankRuehl" w:hAnsi="FrankRuehl"/>
          <w:sz w:val="22"/>
          <w:rtl w:val="true"/>
        </w:rPr>
        <w:t>(</w:t>
      </w:r>
      <w:r>
        <w:rPr>
          <w:rFonts w:cs="FrankRuehl" w:ascii="FrankRuehl" w:hAnsi="FrankRuehl"/>
          <w:sz w:val="22"/>
        </w:rPr>
        <w:t>3</w:t>
      </w:r>
      <w:r>
        <w:rPr>
          <w:rFonts w:cs="FrankRuehl" w:ascii="FrankRuehl" w:hAnsi="FrankRuehl"/>
          <w:sz w:val="22"/>
          <w:rtl w:val="true"/>
        </w:rPr>
        <w:t xml:space="preserve">) </w:t>
      </w:r>
      <w:r>
        <w:rPr>
          <w:rFonts w:cs="FrankRuehl" w:ascii="FrankRuehl" w:hAnsi="FrankRuehl"/>
          <w:sz w:val="22"/>
        </w:rPr>
        <w:t>169</w:t>
      </w:r>
      <w:r>
        <w:rPr>
          <w:rFonts w:cs="FrankRuehl" w:ascii="FrankRuehl" w:hAnsi="FrankRuehl"/>
          <w:sz w:val="22"/>
          <w:rtl w:val="true"/>
        </w:rPr>
        <w:t xml:space="preserve">, </w:t>
      </w:r>
      <w:r>
        <w:rPr>
          <w:rFonts w:cs="FrankRuehl" w:ascii="FrankRuehl" w:hAnsi="FrankRuehl"/>
          <w:sz w:val="22"/>
        </w:rPr>
        <w:t>188</w:t>
      </w:r>
      <w:r>
        <w:rPr>
          <w:rFonts w:cs="FrankRuehl" w:ascii="FrankRuehl" w:hAnsi="FrankRuehl"/>
          <w:sz w:val="22"/>
          <w:rtl w:val="true"/>
        </w:rPr>
        <w:t xml:space="preserve"> (</w:t>
      </w:r>
      <w:r>
        <w:rPr>
          <w:rFonts w:cs="FrankRuehl" w:ascii="FrankRuehl" w:hAnsi="FrankRuehl"/>
          <w:sz w:val="22"/>
        </w:rPr>
        <w:t>1983</w:t>
      </w:r>
      <w:r>
        <w:rPr>
          <w:rFonts w:cs="FrankRuehl" w:ascii="FrankRuehl" w:hAnsi="FrankRuehl"/>
          <w:sz w:val="22"/>
          <w:rtl w:val="true"/>
        </w:rPr>
        <w:t>)</w:t>
      </w:r>
      <w:r>
        <w:rPr>
          <w:rtl w:val="true"/>
        </w:rPr>
        <w:t>;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hyperlink r:id="rId7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8589/13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רמילאת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27-25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27.1.2015</w:t>
      </w:r>
      <w:r>
        <w:rPr>
          <w:rtl w:val="true"/>
        </w:rPr>
        <w:t xml:space="preserve">); </w:t>
      </w:r>
      <w:r>
        <w:rPr>
          <w:rtl w:val="true"/>
        </w:rPr>
        <w:t xml:space="preserve">וראו גם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דרעי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לא בכדי לא שמענו מפיו של אבו כף</w:t>
      </w:r>
      <w:r>
        <w:rPr>
          <w:rtl w:val="true"/>
        </w:rPr>
        <w:t xml:space="preserve">, </w:t>
      </w:r>
      <w:r>
        <w:rPr>
          <w:rtl w:val="true"/>
        </w:rPr>
        <w:t>שטען באמצעות 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טרוניה של ממש נגד הרשעתו בעבירות הנוספות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12"/>
          <w:szCs w:val="18"/>
        </w:rPr>
      </w:pPr>
      <w:r>
        <w:rPr>
          <w:rFonts w:cs="Miriam" w:ascii="Century" w:hAnsi="Century"/>
          <w:b/>
          <w:spacing w:val="0"/>
          <w:sz w:val="12"/>
          <w:szCs w:val="1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ואטרש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שני המערערים הללו נמצאו אשמים במעשה הריגה שבוצע בנסיבות חמורות ביותר</w:t>
      </w:r>
      <w:r>
        <w:rPr>
          <w:rtl w:val="true"/>
        </w:rPr>
        <w:t xml:space="preserve">. </w:t>
      </w:r>
      <w:r>
        <w:rPr>
          <w:rtl w:val="true"/>
        </w:rPr>
        <w:t>חרף זאת</w:t>
      </w:r>
      <w:r>
        <w:rPr>
          <w:rtl w:val="true"/>
        </w:rPr>
        <w:t xml:space="preserve">, </w:t>
      </w:r>
      <w:r>
        <w:rPr>
          <w:rtl w:val="true"/>
        </w:rPr>
        <w:t>ולמרות הרשעת אבו כף בעבירות הנוספות</w:t>
      </w:r>
      <w:r>
        <w:rPr>
          <w:rtl w:val="true"/>
        </w:rPr>
        <w:t xml:space="preserve">, </w:t>
      </w:r>
      <w:r>
        <w:rPr>
          <w:rtl w:val="true"/>
        </w:rPr>
        <w:t>עונשיהם נמצאים רחוק יחסית מעונש המקסימום של עשרים שנות מאסר</w:t>
      </w:r>
      <w:r>
        <w:rPr>
          <w:rtl w:val="true"/>
        </w:rPr>
        <w:t xml:space="preserve">. </w:t>
      </w:r>
      <w:r>
        <w:rPr>
          <w:rtl w:val="true"/>
        </w:rPr>
        <w:t>בית משפט קמא קבע עונשים אלה אחרי שקילה זהירה של מכלול הנתונים הרלבנטיים</w:t>
      </w:r>
      <w:r>
        <w:rPr>
          <w:rtl w:val="true"/>
        </w:rPr>
        <w:t xml:space="preserve">, </w:t>
      </w:r>
      <w:r>
        <w:rPr>
          <w:rtl w:val="true"/>
        </w:rPr>
        <w:t>ואין בידינו כל עילה מבוררת להתערב בקביעתו</w:t>
      </w:r>
      <w:r>
        <w:rPr>
          <w:rtl w:val="true"/>
        </w:rPr>
        <w:t xml:space="preserve">, </w:t>
      </w:r>
      <w:r>
        <w:rPr>
          <w:rtl w:val="true"/>
        </w:rPr>
        <w:t xml:space="preserve">שכידוע קמה רק במקרים חריגים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5633/12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10.7.2013</w:t>
      </w:r>
      <w:r>
        <w:rPr>
          <w:rFonts w:cs="FrankRuehl" w:ascii="FrankRuehl" w:hAnsi="FrankRuehl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; </w:t>
      </w:r>
      <w:hyperlink r:id="rId7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3599/16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חטיב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14.11.2017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עונשיהם של אבו כף ואטרש ראוי על כן שיישארו בעינם ללא שינוי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עיסא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חלקו של עיסא ביידוי האבנים היה חמור פחות מזה של אבו כף ואטרש</w:t>
      </w:r>
      <w:r>
        <w:rPr>
          <w:rtl w:val="true"/>
        </w:rPr>
        <w:t xml:space="preserve">. </w:t>
      </w:r>
      <w:r>
        <w:rPr>
          <w:rtl w:val="true"/>
        </w:rPr>
        <w:t>עיסא היה תצפיתן</w:t>
      </w:r>
      <w:r>
        <w:rPr>
          <w:rtl w:val="true"/>
        </w:rPr>
        <w:t xml:space="preserve">, </w:t>
      </w:r>
      <w:r>
        <w:rPr>
          <w:rtl w:val="true"/>
        </w:rPr>
        <w:t xml:space="preserve">ואף שאין להקל ראש בחומרת מעשיו אשר סייעו בידי שותפיו </w:t>
      </w:r>
      <w:r>
        <w:rPr>
          <w:rtl w:val="true"/>
        </w:rPr>
        <w:t>–</w:t>
      </w:r>
      <w:r>
        <w:rPr>
          <w:rtl w:val="true"/>
        </w:rPr>
        <w:t xml:space="preserve"> אשר יידו אבנים לעבר כלי רכב וגרמו לתוצאה קטלנית </w:t>
      </w:r>
      <w:r>
        <w:rPr>
          <w:rtl w:val="true"/>
        </w:rPr>
        <w:t>–</w:t>
      </w:r>
      <w:r>
        <w:rPr>
          <w:rtl w:val="true"/>
        </w:rPr>
        <w:t xml:space="preserve"> מעשים אלו נמצאים קרוב יותר לסיוע מאשר לביצועה העיקרי של הריגה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טממיאן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22.12.2014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בכך יש להתחשב בשים לב לעמדת המחוקק ביחס לעונשו של מסייע לעבירה</w:t>
      </w:r>
      <w:r>
        <w:rPr>
          <w:rtl w:val="true"/>
        </w:rPr>
        <w:t xml:space="preserve">, </w:t>
      </w:r>
      <w:hyperlink r:id="rId79">
        <w:r>
          <w:rPr>
            <w:rStyle w:val="Hyperlink"/>
            <w:color w:val="0000FF"/>
            <w:u w:val="single"/>
            <w:rtl w:val="true"/>
          </w:rPr>
          <w:t>שסעיף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מעמידו על </w:t>
      </w:r>
      <w:r>
        <w:rPr>
          <w:rtl w:val="true"/>
        </w:rPr>
        <w:t>"</w:t>
      </w:r>
      <w:r>
        <w:rPr>
          <w:rtl w:val="true"/>
        </w:rPr>
        <w:t>מחצית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בחיקוק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". </w:t>
      </w:r>
      <w:r>
        <w:rPr>
          <w:rtl w:val="true"/>
        </w:rPr>
        <w:t>כמו כן ראוי להתחשב גם בכך שעיסא ביצע את העבירה בהיותו קטין</w:t>
      </w:r>
      <w:r>
        <w:rPr>
          <w:rtl w:val="true"/>
        </w:rPr>
        <w:t xml:space="preserve">; </w:t>
      </w:r>
      <w:r>
        <w:rPr>
          <w:rtl w:val="true"/>
        </w:rPr>
        <w:t xml:space="preserve">ובפני קטינים אין אנו נוהגים לנעול את שערי הרחמים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8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, </w:t>
      </w:r>
      <w:hyperlink r:id="rId82"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3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hyperlink r:id="rId85"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ascii="FrankRuehl" w:hAnsi="FrankRuehl" w:cs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Century"/>
            <w:color w:val="0000FF"/>
            <w:sz w:val="22"/>
            <w:u w:val="single"/>
          </w:rPr>
          <w:t>4425/14</w:t>
        </w:r>
      </w:hyperlink>
      <w:r>
        <w:rPr>
          <w:rStyle w:val="Strong"/>
          <w:sz w:val="28"/>
          <w:rtl w:val="true"/>
        </w:rPr>
        <w:t xml:space="preserve"> </w:t>
      </w:r>
      <w:r>
        <w:rPr>
          <w:rStyle w:val="Strong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Style w:val="Strong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Style w:val="Strong"/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Style w:val="Strong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Style w:val="Strong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Style w:val="Strong"/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rong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rong"/>
          <w:sz w:val="28"/>
          <w:rtl w:val="true"/>
        </w:rPr>
        <w:t>(</w:t>
      </w:r>
      <w:r>
        <w:rPr>
          <w:rStyle w:val="Strong"/>
          <w:sz w:val="28"/>
        </w:rPr>
        <w:t>25.11.2014</w:t>
      </w:r>
      <w:r>
        <w:rPr>
          <w:rStyle w:val="Strong"/>
          <w:rFonts w:cs="Century" w:ascii="Century" w:hAnsi="Century"/>
          <w:sz w:val="22"/>
          <w:rtl w:val="true"/>
        </w:rPr>
        <w:t xml:space="preserve">); </w:t>
      </w:r>
      <w:hyperlink r:id="rId86"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ascii="FrankRuehl" w:hAnsi="FrankRuehl" w:cs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FrankRuehl" w:ascii="Century" w:hAnsi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Century"/>
            <w:color w:val="0000FF"/>
            <w:sz w:val="22"/>
            <w:u w:val="single"/>
          </w:rPr>
          <w:t>1454/15</w:t>
        </w:r>
      </w:hyperlink>
      <w:r>
        <w:rPr>
          <w:rStyle w:val="Strong"/>
          <w:sz w:val="28"/>
          <w:rtl w:val="true"/>
        </w:rPr>
        <w:t xml:space="preserve"> </w:t>
      </w:r>
      <w:r>
        <w:rPr>
          <w:rStyle w:val="Strong"/>
          <w:rFonts w:ascii="Miriam" w:hAnsi="Miriam" w:cs="Miriam"/>
          <w:spacing w:val="0"/>
          <w:szCs w:val="24"/>
          <w:rtl w:val="true"/>
        </w:rPr>
        <w:t>פלוני נ</w:t>
      </w:r>
      <w:r>
        <w:rPr>
          <w:rStyle w:val="Strong"/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Style w:val="Strong"/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Style w:val="Strong"/>
          <w:sz w:val="28"/>
          <w:sz w:val="28"/>
          <w:rtl w:val="true"/>
        </w:rPr>
        <w:t xml:space="preserve"> 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Style w:val="Strong"/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Style w:val="Strong"/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Style w:val="Strong"/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Style w:val="Strong"/>
          <w:sz w:val="28"/>
          <w:rtl w:val="true"/>
        </w:rPr>
        <w:t>(</w:t>
      </w:r>
      <w:r>
        <w:rPr>
          <w:rStyle w:val="Strong"/>
          <w:sz w:val="28"/>
        </w:rPr>
        <w:t>10.8.2015</w:t>
      </w:r>
      <w:r>
        <w:rPr>
          <w:rStyle w:val="Strong"/>
          <w:sz w:val="28"/>
          <w:rtl w:val="true"/>
        </w:rPr>
        <w:t>)</w:t>
      </w:r>
      <w:r>
        <w:rPr>
          <w:rtl w:val="true"/>
        </w:rPr>
        <w:t xml:space="preserve">; </w:t>
      </w:r>
      <w:hyperlink r:id="rId8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5184/14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דינו של השופט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שוהם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3.8.2016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לאור כל אלה</w:t>
      </w:r>
      <w:r>
        <w:rPr>
          <w:rtl w:val="true"/>
        </w:rPr>
        <w:t xml:space="preserve">, </w:t>
      </w:r>
      <w:r>
        <w:rPr>
          <w:rtl w:val="true"/>
        </w:rPr>
        <w:t>ובהתחשב בנסיבותיו האישיות והבריאותיות של עיסא</w:t>
      </w:r>
      <w:r>
        <w:rPr>
          <w:rtl w:val="true"/>
        </w:rPr>
        <w:t xml:space="preserve">, </w:t>
      </w:r>
      <w:r>
        <w:rPr>
          <w:rtl w:val="true"/>
        </w:rPr>
        <w:t>סבורני שבית משפט קמא החמיר עמו יתר על המידה בגזרו עליו תשע שנות מאסר</w:t>
      </w:r>
      <w:r>
        <w:rPr>
          <w:rtl w:val="true"/>
        </w:rPr>
        <w:t xml:space="preserve">, </w:t>
      </w:r>
      <w:r>
        <w:rPr>
          <w:rtl w:val="true"/>
        </w:rPr>
        <w:t>וכי נעשה נכון אם נפחית עונש זה ונעמידה</w:t>
      </w:r>
      <w:r>
        <w:rPr>
          <w:rtl w:val="true"/>
        </w:rPr>
        <w:t>ו</w:t>
      </w:r>
      <w:r>
        <w:rPr>
          <w:rtl w:val="true"/>
        </w:rPr>
        <w:t xml:space="preserve"> על שבע וחצי שנות מאסר בפועל בניכוי ימי המעצר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פיצויים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לנפגעי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בית משפט קמא חייב את המערערים לשלם לנפגעי העבירה העיקרית פיצויים בשיעור צנוע ביותר</w:t>
      </w:r>
      <w:r>
        <w:rPr>
          <w:rtl w:val="true"/>
        </w:rPr>
        <w:t xml:space="preserve">, </w:t>
      </w:r>
      <w:r>
        <w:rPr>
          <w:rtl w:val="true"/>
        </w:rPr>
        <w:t>בהתחשב בכך שאלה איבדו את אביהם האהוב</w:t>
      </w:r>
      <w:r>
        <w:rPr>
          <w:rtl w:val="true"/>
        </w:rPr>
        <w:t xml:space="preserve">. </w:t>
      </w:r>
      <w:r>
        <w:rPr>
          <w:rtl w:val="true"/>
        </w:rPr>
        <w:t>הלכה היא עמנו</w:t>
      </w:r>
      <w:r>
        <w:rPr>
          <w:rtl w:val="true"/>
        </w:rPr>
        <w:t xml:space="preserve">, </w:t>
      </w:r>
      <w:r>
        <w:rPr>
          <w:rtl w:val="true"/>
        </w:rPr>
        <w:t xml:space="preserve">כי פיצויים אשר נפסקים לטובת קורבן העבירה נועדו </w:t>
      </w:r>
      <w:r>
        <w:rPr>
          <w:rtl w:val="true"/>
        </w:rPr>
        <w:t>לפצות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ולו באופן חלקי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 </w:t>
      </w:r>
      <w:r>
        <w:rPr>
          <w:rtl w:val="true"/>
        </w:rPr>
        <w:t>המוחשיים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הסבל</w:t>
      </w:r>
      <w:r>
        <w:rPr>
          <w:rtl w:val="true"/>
        </w:rPr>
        <w:t xml:space="preserve"> </w:t>
      </w:r>
      <w:r>
        <w:rPr>
          <w:rtl w:val="true"/>
        </w:rPr>
        <w:t xml:space="preserve">הנפשי </w:t>
      </w:r>
      <w:r>
        <w:rPr>
          <w:rtl w:val="true"/>
        </w:rPr>
        <w:t>שנגרם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בעניין זה 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90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בוקובזה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13.9.2017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באשר ליכולתם של המערערים לשלם פיצויים אלה לאור מצבם הכלכלי </w:t>
      </w:r>
      <w:r>
        <w:rPr>
          <w:rtl w:val="true"/>
        </w:rPr>
        <w:t>–</w:t>
      </w:r>
      <w:r>
        <w:rPr>
          <w:rtl w:val="true"/>
        </w:rPr>
        <w:t xml:space="preserve"> נתון זה אינו מקטין</w:t>
      </w:r>
      <w:r>
        <w:rPr>
          <w:rtl w:val="true"/>
        </w:rPr>
        <w:t xml:space="preserve">, </w:t>
      </w: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את עוצמת הכאב והסבל של נפגעי העבירה</w:t>
      </w:r>
      <w:r>
        <w:rPr>
          <w:rtl w:val="true"/>
        </w:rPr>
        <w:t xml:space="preserve">;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 xml:space="preserve">אין מקום להתחשב בו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9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5761/05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pacing w:val="0"/>
          <w:szCs w:val="24"/>
          <w:rtl w:val="true"/>
        </w:rPr>
        <w:t>מג</w:t>
      </w:r>
      <w:r>
        <w:rPr>
          <w:rFonts w:cs="Miriam" w:ascii="Miriam" w:hAnsi="Miriam"/>
          <w:spacing w:val="0"/>
          <w:szCs w:val="24"/>
          <w:rtl w:val="true"/>
        </w:rPr>
        <w:t>'</w:t>
      </w:r>
      <w:r>
        <w:rPr>
          <w:rFonts w:ascii="Miriam" w:hAnsi="Miriam" w:cs="Miriam"/>
          <w:spacing w:val="0"/>
          <w:szCs w:val="24"/>
          <w:rtl w:val="true"/>
        </w:rPr>
        <w:t>דלאוי נ</w:t>
      </w:r>
      <w:r>
        <w:rPr>
          <w:rFonts w:cs="Miriam" w:ascii="Miriam" w:hAnsi="Miriam"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z w:val="28"/>
          <w:sz w:val="28"/>
          <w:rtl w:val="true"/>
        </w:rPr>
        <w:t>פסקה ט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כתוארו אז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rtl w:val="true"/>
        </w:rPr>
        <w:t xml:space="preserve">עמו הסכימו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ascii="FrankRuehl" w:hAnsi="FrankRuehl" w:cs="FrankRuehl"/>
          <w:sz w:val="28"/>
          <w:sz w:val="28"/>
          <w:rtl w:val="true"/>
        </w:rPr>
        <w:t xml:space="preserve"> והשופטת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Fonts w:ascii="FrankRuehl" w:hAnsi="FrankRuehl" w:cs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 w:cs="FrankRuehl"/>
          <w:sz w:val="28"/>
          <w:sz w:val="28"/>
          <w:rtl w:val="true"/>
        </w:rPr>
        <w:t>כתוארה אז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 xml:space="preserve"> (</w:t>
      </w:r>
      <w:r>
        <w:rPr>
          <w:rFonts w:cs="FrankRuehl" w:ascii="FrankRuehl" w:hAnsi="FrankRuehl"/>
          <w:sz w:val="28"/>
        </w:rPr>
        <w:t>24.7.2006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tl w:val="true"/>
        </w:rPr>
        <w:t xml:space="preserve">; </w:t>
      </w:r>
      <w:hyperlink r:id="rId9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2418/17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tl w:val="true"/>
        </w:rPr>
        <w:t xml:space="preserve"> </w:t>
      </w:r>
      <w:r>
        <w:rPr>
          <w:rtl w:val="true"/>
        </w:rPr>
        <w:t>(‏</w:t>
      </w:r>
      <w:r>
        <w:rPr/>
        <w:t>25.10.2018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tl w:val="true"/>
        </w:rPr>
        <w:t xml:space="preserve">)). </w:t>
      </w:r>
      <w:r>
        <w:rPr>
          <w:rtl w:val="true"/>
        </w:rPr>
        <w:t>יתרה מכך</w:t>
      </w:r>
      <w:r>
        <w:rPr>
          <w:rtl w:val="true"/>
        </w:rPr>
        <w:t xml:space="preserve">: </w:t>
      </w:r>
      <w:r>
        <w:rPr>
          <w:rtl w:val="true"/>
        </w:rPr>
        <w:t>כפי שכבר הזדמן לי להעיר</w:t>
      </w:r>
      <w:r>
        <w:rPr>
          <w:rtl w:val="true"/>
        </w:rPr>
        <w:t>, "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שהקורבנות</w:t>
      </w:r>
      <w:r>
        <w:rPr>
          <w:rtl w:val="true"/>
        </w:rPr>
        <w:t xml:space="preserve"> </w:t>
      </w:r>
      <w:r>
        <w:rPr>
          <w:rtl w:val="true"/>
        </w:rPr>
        <w:t>יקבלו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מהעבריין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עדיף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" (</w:t>
      </w:r>
      <w:r>
        <w:rPr>
          <w:rtl w:val="true"/>
        </w:rPr>
        <w:t xml:space="preserve">ראו פסקה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קוטינה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אינני סבור אפוא שיש עמנו מקום להתערב בשיעור הפיצויים אשר נפסקו לחובת המערערים על ידי בית משפט 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מכל הטעמים דלעיל</w:t>
      </w:r>
      <w:r>
        <w:rPr>
          <w:rtl w:val="true"/>
        </w:rPr>
        <w:t xml:space="preserve">, </w:t>
      </w:r>
      <w:r>
        <w:rPr>
          <w:rtl w:val="true"/>
        </w:rPr>
        <w:t>הנני מציע לחברותיי כי נדחה את ערעוריהם של אבו כף ושל אטרש על כל חלקיהם</w:t>
      </w:r>
      <w:r>
        <w:rPr>
          <w:rtl w:val="true"/>
        </w:rPr>
        <w:t xml:space="preserve">. </w:t>
      </w:r>
      <w:r>
        <w:rPr>
          <w:rtl w:val="true"/>
        </w:rPr>
        <w:t>כמו כן מציע אני כי נקבל באופן חלקי את ערעורו של עיסא ונעמיד את עונשו על שבע וחצי שנות מאסר בפועל בניכוי ימי מעצרו</w:t>
      </w:r>
      <w:r>
        <w:rPr>
          <w:rtl w:val="true"/>
        </w:rPr>
        <w:t xml:space="preserve">. </w:t>
      </w:r>
      <w:r>
        <w:rPr>
          <w:rtl w:val="true"/>
        </w:rPr>
        <w:t>שאר חלקי גזר הדין שניתן בעניינו יעמדו בעינם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אלכס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4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23.1.2020</w:t>
      </w:r>
      <w:r>
        <w:rPr>
          <w:rtl w:val="true"/>
        </w:rPr>
        <w:t xml:space="preserve">). </w:t>
      </w:r>
      <w:bookmarkEnd w:id="24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18019930</w:t>
      </w:r>
      <w:r>
        <w:rPr>
          <w:sz w:val="16"/>
          <w:rtl w:val="true"/>
        </w:rPr>
        <w:t>_</w:t>
      </w:r>
      <w:r>
        <w:rPr>
          <w:sz w:val="16"/>
        </w:rPr>
        <w:t>F05.docx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54678313-1993/18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95"/>
      <w:footerReference w:type="default" r:id="rId9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1993/18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עיסא עלי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49"/>
        </w:tabs>
        <w:ind w:start="142" w:hanging="0"/>
      </w:pPr>
      <w:rPr>
        <w:sz w:val="24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4"/>
      <w:szCs w:val="24"/>
    </w:rPr>
  </w:style>
  <w:style w:type="character" w:styleId="WW8Num12z0">
    <w:name w:val="WW8Num12z0"/>
    <w:qFormat/>
    <w:rPr>
      <w:sz w:val="24"/>
      <w:szCs w:val="24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>
      <w:sz w:val="28"/>
    </w:rPr>
  </w:style>
  <w:style w:type="character" w:styleId="WW8Num15z0">
    <w:name w:val="WW8Num15z0"/>
    <w:qFormat/>
    <w:rPr>
      <w:sz w:val="24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rong">
    <w:name w:val="Strong"/>
    <w:qFormat/>
    <w:rPr>
      <w:rFonts w:ascii="FrankRuehl" w:hAnsi="FrankRuehl" w:cs="FrankRueh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</w:pPr>
    <w:rPr>
      <w:rFonts w:ascii="Garamond" w:hAnsi="Garamond" w:cs="Garamond"/>
      <w:sz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30552" TargetMode="External"/><Relationship Id="rId3" Type="http://schemas.openxmlformats.org/officeDocument/2006/relationships/hyperlink" Target="http://www.nevo.co.il/safrut/book/28746" TargetMode="External"/><Relationship Id="rId4" Type="http://schemas.openxmlformats.org/officeDocument/2006/relationships/hyperlink" Target="http://www.nevo.co.il/safrut/book/2874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0.a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32" TargetMode="External"/><Relationship Id="rId9" Type="http://schemas.openxmlformats.org/officeDocument/2006/relationships/hyperlink" Target="http://www.nevo.co.il/law/70301/77.a" TargetMode="External"/><Relationship Id="rId10" Type="http://schemas.openxmlformats.org/officeDocument/2006/relationships/hyperlink" Target="http://www.nevo.co.il/law/70301/144.2" TargetMode="External"/><Relationship Id="rId11" Type="http://schemas.openxmlformats.org/officeDocument/2006/relationships/hyperlink" Target="http://www.nevo.co.il/law/70301/275a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29.1" TargetMode="External"/><Relationship Id="rId14" Type="http://schemas.openxmlformats.org/officeDocument/2006/relationships/hyperlink" Target="http://www.nevo.co.il/law/70301/329.a.2" TargetMode="External"/><Relationship Id="rId15" Type="http://schemas.openxmlformats.org/officeDocument/2006/relationships/hyperlink" Target="http://www.nevo.co.il/law/70301/332a.b" TargetMode="External"/><Relationship Id="rId16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law/98569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law/98569/10a.d" TargetMode="External"/><Relationship Id="rId20" Type="http://schemas.openxmlformats.org/officeDocument/2006/relationships/hyperlink" Target="http://www.nevo.co.il/law/98569/11" TargetMode="External"/><Relationship Id="rId21" Type="http://schemas.openxmlformats.org/officeDocument/2006/relationships/hyperlink" Target="http://www.nevo.co.il/law/98569/12.a" TargetMode="External"/><Relationship Id="rId22" Type="http://schemas.openxmlformats.org/officeDocument/2006/relationships/hyperlink" Target="http://www.nevo.co.il/law/70348" TargetMode="External"/><Relationship Id="rId23" Type="http://schemas.openxmlformats.org/officeDocument/2006/relationships/hyperlink" Target="http://www.nevo.co.il/law/70348/1a" TargetMode="External"/><Relationship Id="rId24" Type="http://schemas.openxmlformats.org/officeDocument/2006/relationships/hyperlink" Target="http://www.nevo.co.il/law/70348/24" TargetMode="External"/><Relationship Id="rId25" Type="http://schemas.openxmlformats.org/officeDocument/2006/relationships/hyperlink" Target="http://www.nevo.co.il/law/70348/25" TargetMode="External"/><Relationship Id="rId26" Type="http://schemas.openxmlformats.org/officeDocument/2006/relationships/hyperlink" Target="http://www.nevo.co.il/case/23773891" TargetMode="External"/><Relationship Id="rId27" Type="http://schemas.openxmlformats.org/officeDocument/2006/relationships/hyperlink" Target="http://www.nevo.co.il/case/23773557" TargetMode="External"/><Relationship Id="rId28" Type="http://schemas.openxmlformats.org/officeDocument/2006/relationships/hyperlink" Target="http://www.nevo.co.il/case/23773891" TargetMode="External"/><Relationship Id="rId29" Type="http://schemas.openxmlformats.org/officeDocument/2006/relationships/hyperlink" Target="http://www.nevo.co.il/case/23773557" TargetMode="External"/><Relationship Id="rId30" Type="http://schemas.openxmlformats.org/officeDocument/2006/relationships/hyperlink" Target="http://www.nevo.co.il/law/98569/10a" TargetMode="External"/><Relationship Id="rId31" Type="http://schemas.openxmlformats.org/officeDocument/2006/relationships/hyperlink" Target="http://www.nevo.co.il/law/70301/20.a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98569/10a" TargetMode="External"/><Relationship Id="rId34" Type="http://schemas.openxmlformats.org/officeDocument/2006/relationships/hyperlink" Target="http://www.nevo.co.il/law/98569" TargetMode="External"/><Relationship Id="rId35" Type="http://schemas.openxmlformats.org/officeDocument/2006/relationships/hyperlink" Target="http://www.nevo.co.il/law/98569/10a.d" TargetMode="External"/><Relationship Id="rId36" Type="http://schemas.openxmlformats.org/officeDocument/2006/relationships/hyperlink" Target="http://www.nevo.co.il/case/23773557" TargetMode="External"/><Relationship Id="rId37" Type="http://schemas.openxmlformats.org/officeDocument/2006/relationships/hyperlink" Target="http://www.nevo.co.il/case/23773891" TargetMode="External"/><Relationship Id="rId38" Type="http://schemas.openxmlformats.org/officeDocument/2006/relationships/hyperlink" Target="http://www.nevo.co.il/case/23773891" TargetMode="External"/><Relationship Id="rId39" Type="http://schemas.openxmlformats.org/officeDocument/2006/relationships/hyperlink" Target="http://www.nevo.co.il/case/23773557" TargetMode="External"/><Relationship Id="rId40" Type="http://schemas.openxmlformats.org/officeDocument/2006/relationships/hyperlink" Target="http://www.nevo.co.il/law/70301/77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630552" TargetMode="External"/><Relationship Id="rId43" Type="http://schemas.openxmlformats.org/officeDocument/2006/relationships/hyperlink" Target="http://www.nevo.co.il/law/70301/298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32a.b" TargetMode="External"/><Relationship Id="rId46" Type="http://schemas.openxmlformats.org/officeDocument/2006/relationships/hyperlink" Target="http://www.nevo.co.il/law/70301/329.1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/329.a.2" TargetMode="External"/><Relationship Id="rId49" Type="http://schemas.openxmlformats.org/officeDocument/2006/relationships/hyperlink" Target="http://www.nevo.co.il/law/70301/144.2" TargetMode="External"/><Relationship Id="rId50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law/70301/448" TargetMode="External"/><Relationship Id="rId52" Type="http://schemas.openxmlformats.org/officeDocument/2006/relationships/hyperlink" Target="http://www.nevo.co.il/law/70301/275a" TargetMode="External"/><Relationship Id="rId53" Type="http://schemas.openxmlformats.org/officeDocument/2006/relationships/hyperlink" Target="http://www.nevo.co.il/law/98569/10a" TargetMode="External"/><Relationship Id="rId54" Type="http://schemas.openxmlformats.org/officeDocument/2006/relationships/hyperlink" Target="http://www.nevo.co.il/law/98569" TargetMode="External"/><Relationship Id="rId55" Type="http://schemas.openxmlformats.org/officeDocument/2006/relationships/hyperlink" Target="http://www.nevo.co.il/law/98569/11" TargetMode="External"/><Relationship Id="rId56" Type="http://schemas.openxmlformats.org/officeDocument/2006/relationships/hyperlink" Target="http://www.nevo.co.il/law/98569/12.a" TargetMode="External"/><Relationship Id="rId57" Type="http://schemas.openxmlformats.org/officeDocument/2006/relationships/hyperlink" Target="http://www.nevo.co.il/law/98569" TargetMode="External"/><Relationship Id="rId58" Type="http://schemas.openxmlformats.org/officeDocument/2006/relationships/hyperlink" Target="http://www.nevo.co.il/law/70301/32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98569/10a" TargetMode="External"/><Relationship Id="rId61" Type="http://schemas.openxmlformats.org/officeDocument/2006/relationships/hyperlink" Target="http://www.nevo.co.il/case/5699703" TargetMode="External"/><Relationship Id="rId62" Type="http://schemas.openxmlformats.org/officeDocument/2006/relationships/hyperlink" Target="http://www.nevo.co.il/law/70301/20.a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case/6158617" TargetMode="External"/><Relationship Id="rId65" Type="http://schemas.openxmlformats.org/officeDocument/2006/relationships/hyperlink" Target="http://www.nevo.co.il/case/5580839" TargetMode="External"/><Relationship Id="rId66" Type="http://schemas.openxmlformats.org/officeDocument/2006/relationships/hyperlink" Target="http://www.nevo.co.il/law/98569/10a" TargetMode="External"/><Relationship Id="rId67" Type="http://schemas.openxmlformats.org/officeDocument/2006/relationships/hyperlink" Target="http://www.nevo.co.il/law/98569" TargetMode="External"/><Relationship Id="rId68" Type="http://schemas.openxmlformats.org/officeDocument/2006/relationships/hyperlink" Target="http://www.nevo.co.il/law/98569/10a.d" TargetMode="External"/><Relationship Id="rId69" Type="http://schemas.openxmlformats.org/officeDocument/2006/relationships/hyperlink" Target="http://www.nevo.co.il/case/5719178" TargetMode="External"/><Relationship Id="rId70" Type="http://schemas.openxmlformats.org/officeDocument/2006/relationships/hyperlink" Target="http://www.nevo.co.il/case/20191648" TargetMode="External"/><Relationship Id="rId71" Type="http://schemas.openxmlformats.org/officeDocument/2006/relationships/hyperlink" Target="http://www.nevo.co.il/case/6209178" TargetMode="External"/><Relationship Id="rId72" Type="http://schemas.openxmlformats.org/officeDocument/2006/relationships/hyperlink" Target="http://www.nevo.co.il/case/5733469" TargetMode="External"/><Relationship Id="rId73" Type="http://schemas.openxmlformats.org/officeDocument/2006/relationships/hyperlink" Target="http://www.nevo.co.il/safrut/book/28746" TargetMode="External"/><Relationship Id="rId74" Type="http://schemas.openxmlformats.org/officeDocument/2006/relationships/hyperlink" Target="http://www.nevo.co.il/case/17927138" TargetMode="External"/><Relationship Id="rId75" Type="http://schemas.openxmlformats.org/officeDocument/2006/relationships/hyperlink" Target="http://www.nevo.co.il/case/18718494" TargetMode="External"/><Relationship Id="rId76" Type="http://schemas.openxmlformats.org/officeDocument/2006/relationships/hyperlink" Target="http://www.nevo.co.il/case/6246489" TargetMode="External"/><Relationship Id="rId77" Type="http://schemas.openxmlformats.org/officeDocument/2006/relationships/hyperlink" Target="http://www.nevo.co.il/case/21477135" TargetMode="External"/><Relationship Id="rId78" Type="http://schemas.openxmlformats.org/officeDocument/2006/relationships/hyperlink" Target="http://www.nevo.co.il/case/12353996" TargetMode="External"/><Relationship Id="rId79" Type="http://schemas.openxmlformats.org/officeDocument/2006/relationships/hyperlink" Target="http://www.nevo.co.il/law/70301/32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48/1a" TargetMode="External"/><Relationship Id="rId82" Type="http://schemas.openxmlformats.org/officeDocument/2006/relationships/hyperlink" Target="http://www.nevo.co.il/law/70348/24" TargetMode="External"/><Relationship Id="rId83" Type="http://schemas.openxmlformats.org/officeDocument/2006/relationships/hyperlink" Target="http://www.nevo.co.il/law/70348/25" TargetMode="External"/><Relationship Id="rId84" Type="http://schemas.openxmlformats.org/officeDocument/2006/relationships/hyperlink" Target="http://www.nevo.co.il/law/70348" TargetMode="External"/><Relationship Id="rId85" Type="http://schemas.openxmlformats.org/officeDocument/2006/relationships/hyperlink" Target="http://www.nevo.co.il/case/17016911" TargetMode="External"/><Relationship Id="rId86" Type="http://schemas.openxmlformats.org/officeDocument/2006/relationships/hyperlink" Target="http://www.nevo.co.il/case/20503077" TargetMode="External"/><Relationship Id="rId87" Type="http://schemas.openxmlformats.org/officeDocument/2006/relationships/hyperlink" Target="http://www.nevo.co.il/case/17089470" TargetMode="External"/><Relationship Id="rId88" Type="http://schemas.openxmlformats.org/officeDocument/2006/relationships/hyperlink" Target="http://www.nevo.co.il/law/70301/77.a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21477594" TargetMode="External"/><Relationship Id="rId91" Type="http://schemas.openxmlformats.org/officeDocument/2006/relationships/hyperlink" Target="http://www.nevo.co.il/case/6031891" TargetMode="External"/><Relationship Id="rId92" Type="http://schemas.openxmlformats.org/officeDocument/2006/relationships/hyperlink" Target="http://www.nevo.co.il/case/22495714" TargetMode="External"/><Relationship Id="rId93" Type="http://schemas.openxmlformats.org/officeDocument/2006/relationships/hyperlink" Target="http://supreme.court.gov.il/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2020-01-26T14:54:00Z</dcterms:created>
  <dc:creator>h4</dc:creator>
  <dc:description/>
  <cp:keywords/>
  <dc:language>en-IL</dc:language>
  <cp:lastModifiedBy>orly</cp:lastModifiedBy>
  <cp:lastPrinted>2020-01-23T12:08:00Z</cp:lastPrinted>
  <dcterms:modified xsi:type="dcterms:W3CDTF">2020-01-26T14:54:00Z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עיסא עלי;מוחמד אבו כף;וליד אטרש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ישראל;משפחת לבלוביץ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28746</vt:lpwstr>
  </property>
  <property fmtid="{D5CDD505-2E9C-101B-9397-08002B2CF9AE}" pid="9" name="CASESLISTTMP1">
    <vt:lpwstr>20630552:2;5699703;6158617;5580839;5719178;20191648;6209178;5733469;17927138;18718494;6246489;21477135;12353996;17016911;20503077;17089470;21477594;6031891;22495714</vt:lpwstr>
  </property>
  <property fmtid="{D5CDD505-2E9C-101B-9397-08002B2CF9AE}" pid="10" name="CITY">
    <vt:lpwstr/>
  </property>
  <property fmtid="{D5CDD505-2E9C-101B-9397-08002B2CF9AE}" pid="11" name="DATE">
    <vt:lpwstr>20200123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ד' ברק ארז;י' וילנר;א' שטיין</vt:lpwstr>
  </property>
  <property fmtid="{D5CDD505-2E9C-101B-9397-08002B2CF9AE}" pid="15" name="LAWLISTTMP1">
    <vt:lpwstr>70301/298;332a.b;329.1;029:2;329.a.2;144.2;448;275a;032:2;020.a;077.a</vt:lpwstr>
  </property>
  <property fmtid="{D5CDD505-2E9C-101B-9397-08002B2CF9AE}" pid="16" name="LAWLISTTMP2">
    <vt:lpwstr>98569/010a:3;011;012.a;010a.d</vt:lpwstr>
  </property>
  <property fmtid="{D5CDD505-2E9C-101B-9397-08002B2CF9AE}" pid="17" name="LAWLISTTMP3">
    <vt:lpwstr>70348/001a;024;025</vt:lpwstr>
  </property>
  <property fmtid="{D5CDD505-2E9C-101B-9397-08002B2CF9AE}" pid="18" name="LAWYER">
    <vt:lpwstr>יעל שרף;תמי קלנברג;ראיד אלעוברה;לאה צמל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עונשין</vt:lpwstr>
  </property>
  <property fmtid="{D5CDD505-2E9C-101B-9397-08002B2CF9AE}" pid="33" name="NOSE14">
    <vt:lpwstr>עונשין</vt:lpwstr>
  </property>
  <property fmtid="{D5CDD505-2E9C-101B-9397-08002B2CF9AE}" pid="34" name="NOSE15">
    <vt:lpwstr>עונשין</vt:lpwstr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77;77;77;77;77</vt:lpwstr>
  </property>
  <property fmtid="{D5CDD505-2E9C-101B-9397-08002B2CF9AE}" pid="40" name="NOSE21">
    <vt:lpwstr>שותפים לעבירה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מחשבה פלילית</vt:lpwstr>
  </property>
  <property fmtid="{D5CDD505-2E9C-101B-9397-08002B2CF9AE}" pid="44" name="NOSE24">
    <vt:lpwstr>ענישה</vt:lpwstr>
  </property>
  <property fmtid="{D5CDD505-2E9C-101B-9397-08002B2CF9AE}" pid="45" name="NOSE25">
    <vt:lpwstr>ענישה</vt:lpwstr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1451;1443;1436;1446;1446</vt:lpwstr>
  </property>
  <property fmtid="{D5CDD505-2E9C-101B-9397-08002B2CF9AE}" pid="51" name="NOSE31">
    <vt:lpwstr>מבצע בצוותא</vt:lpwstr>
  </property>
  <property fmtid="{D5CDD505-2E9C-101B-9397-08002B2CF9AE}" pid="52" name="NOSE310">
    <vt:lpwstr/>
  </property>
  <property fmtid="{D5CDD505-2E9C-101B-9397-08002B2CF9AE}" pid="53" name="NOSE32">
    <vt:lpwstr>הריגה</vt:lpwstr>
  </property>
  <property fmtid="{D5CDD505-2E9C-101B-9397-08002B2CF9AE}" pid="54" name="NOSE33">
    <vt:lpwstr>מודעות</vt:lpwstr>
  </property>
  <property fmtid="{D5CDD505-2E9C-101B-9397-08002B2CF9AE}" pid="55" name="NOSE34">
    <vt:lpwstr>מדיניות ענישה: סיוע להריגה</vt:lpwstr>
  </property>
  <property fmtid="{D5CDD505-2E9C-101B-9397-08002B2CF9AE}" pid="56" name="NOSE35">
    <vt:lpwstr>מדיניות ענישה: שיקולי גיל</vt:lpwstr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9034;8816;8717;18096;15327</vt:lpwstr>
  </property>
  <property fmtid="{D5CDD505-2E9C-101B-9397-08002B2CF9AE}" pid="62" name="PADIDATE">
    <vt:lpwstr>20200127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1993;2017</vt:lpwstr>
  </property>
  <property fmtid="{D5CDD505-2E9C-101B-9397-08002B2CF9AE}" pid="68" name="PROCYEAR">
    <vt:lpwstr>18;18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410120200123</vt:lpwstr>
  </property>
  <property fmtid="{D5CDD505-2E9C-101B-9397-08002B2CF9AE}" pid="72" name="TYPE_N_DATE">
    <vt:lpwstr>41020200123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