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201/18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טויזר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שקד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מעתוק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שטרית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27.11.2017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 xml:space="preserve">                         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21512-08-15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27.05.2018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bookmarkStart w:id="5" w:name="Links_Start"/>
      <w:bookmarkEnd w:id="5"/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ספרות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>: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color w:val="000000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color w:val="000000"/>
          <w:spacing w:val="0"/>
          <w:sz w:val="24"/>
          <w:sz w:val="24"/>
          <w:szCs w:val="24"/>
          <w:u w:val="none"/>
          <w:rtl w:val="true"/>
        </w:rPr>
        <w:t xml:space="preserve">יעקב קדמי  </w:t>
      </w:r>
      <w:r>
        <w:rPr>
          <w:rFonts w:ascii="FrankRuehl" w:hAnsi="FrankRuehl" w:cs="FrankRuehl"/>
          <w:bCs w:val="false"/>
          <w:color w:val="000000"/>
          <w:spacing w:val="0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/>
          <w:b/>
          <w:color w:val="000000"/>
          <w:spacing w:val="0"/>
          <w:sz w:val="24"/>
          <w:sz w:val="24"/>
          <w:szCs w:val="24"/>
          <w:u w:val="none"/>
          <w:rtl w:val="true"/>
        </w:rPr>
        <w:t xml:space="preserve">על סדר הדין בפלילים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color w:val="000000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color w:val="000000"/>
          <w:spacing w:val="0"/>
          <w:sz w:val="24"/>
          <w:szCs w:val="24"/>
          <w:u w:val="none"/>
          <w:rtl w:val="true"/>
        </w:rPr>
      </w:r>
      <w:bookmarkStart w:id="6" w:name="Links_End"/>
      <w:bookmarkStart w:id="7" w:name="Links_End"/>
      <w:bookmarkEnd w:id="7"/>
    </w:p>
    <w:p>
      <w:pPr>
        <w:pStyle w:val="DocumentHea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bookmarkStart w:id="8" w:name="LawTable"/>
      <w:bookmarkEnd w:id="8"/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31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43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u w:val="none"/>
          </w:rPr>
          <w:t>333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9" w:name="LawTable_End"/>
      <w:bookmarkStart w:id="10" w:name="LawTable_End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נדחה ערעור על עונש המאסר בפועל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בדרך של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 על המערער בגין הרשעתו בעבירה של סיוע לחבלה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שבוצעה בעת בילוי במועדון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העבירה משקפת את תופעת האלימות בפרט באתרי בילוי ומחייבת מתן קדימות לעקרונות גמול והתרעה ולכן הימנעות מהרשעה תהא מרחיקת לכת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אין טעם טוב להתערב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 זה בכל הנוגע לניכוי תקופת מעצרו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הימנעות מהרשעה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ניכוי ימי מעצר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פסק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במסגרתו המערער הורשע בעבירה של סיוע לחבלה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שבוצעה בעת בילוי במועדון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הושתו העונשים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בפועל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לריצוי בדרך של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מאסרים מותנים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צו מבחן למשך שנה ופיצוי למתלונן בסך </w:t>
      </w:r>
      <w:r>
        <w:rPr>
          <w:rFonts w:cs="Times New Roman" w:ascii="Times New Roman" w:hAnsi="Times New Roman"/>
          <w:spacing w:val="0"/>
          <w:sz w:val="24"/>
          <w:szCs w:val="26"/>
        </w:rPr>
        <w:t>4,500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המשנה לנשיאה מלצר ובהסכמת השופטים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וגרוסקופף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להימנעות מהרשעתו בדין של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בהלכת כתב נקבעו שני תנאים מצטברים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ההרשעה לפגוע פגיעה חמורה בשיקום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סוג העבירה מאפשר לוותר בנסיבות המקרה המסוים על ההרשעה בלי לפגוע באופן מהותי בשיקולי הענישה האחרים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חזר בו מערעורו בעניין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הסתפק רק בציון העובדה כי העבירה בה הורשע המערער משקפת את תופעת האלימות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באתרי בילוי ומועדונים כפי 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שהפכה לנפוצה בחברתנו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היא מחייבת מתן קדימות לעקרונות הגמול וההתרעה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הימנעות מהרשעה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נראית מרחיקת לכת יתר על המידה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להמלצותיו של שירות המבחן לשקול את ביטול ההרשעה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להמלצות אלה חשיבות 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הן מחייבות את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שתפקידו לאזן בין ההמלצות האמורות ליתר השיקולים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המלצות אלו נלקחו בחשבון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עת גזר עונש מתון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ובנסיבות העניין אין מקום להתחשבות נוספת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לטענה בדבר ניכוי ימי מעצרו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היא כי ערכאת הערעור לא תתערב בדרך כלל בעונש שהטילה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של סטייה קיצונית ממדיניות הענישה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כאשר מדובר בטעות מהותית שנפלה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מקום בו יש נסיבות מיוחדות המצדיקות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העונש שנגזר על המערער יסודו בטעות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כי מתקיימות נסיבות מיוחדות המצדיקות את קבלת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43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ניכוי ימי מעצרו של נאשם המורשע בפלילים איננו עניין אוטומטי והוא נתון לשיקול דעתו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ואין לנאשם זכות קנויה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השנים התפתחה פרקטיקה שיפוטית לפיה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מתחשב בדרך כלל בעת גזירת עונשו של נאשם מורשע בתקופת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בהיעדר נימוקים מיוחדים לחומרה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 כי הערכאה המבררת תביא תקופה זו בחשבון עת שהיא גוזרת את עונשו של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המערער הושתו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לריצוי בדרך של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ניכוי תקופת מעצרו איננו עניין של מה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עמד על כך שהמערער היה נתון במעצר מאחורי סורג ובריח במשך תקופה של כחודש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כך שהיה משוחרר בערבות לאחר מכן במעצר בתנאים מגבילים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כשהשית על המערער עונש מתון מאוד בנסיבות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טעם טוב להתערב בעונשו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DocumentHead"/>
        <w:ind w:end="0"/>
        <w:jc w:val="center"/>
        <w:rPr>
          <w:rFonts w:ascii="Times New Roman" w:hAnsi="Times New Roman" w:cs="Times New Roman"/>
          <w:bCs w:val="false"/>
          <w:spacing w:val="0"/>
          <w:sz w:val="24"/>
          <w:szCs w:val="26"/>
          <w:u w:val="none"/>
        </w:rPr>
      </w:pPr>
      <w:r>
        <w:rPr>
          <w:rFonts w:cs="Times New Roman"/>
          <w:bCs w:val="false"/>
          <w:spacing w:val="0"/>
          <w:sz w:val="24"/>
          <w:szCs w:val="26"/>
          <w:u w:val="none"/>
          <w:rtl w:val="true"/>
        </w:rPr>
      </w:r>
      <w:bookmarkStart w:id="12" w:name="ABSTRACT_END"/>
      <w:bookmarkStart w:id="13" w:name="ABSTRACT_END"/>
      <w:bookmarkEnd w:id="13"/>
    </w:p>
    <w:p>
      <w:pPr>
        <w:pStyle w:val="BODYVERDICT"/>
        <w:ind w:end="0"/>
        <w:jc w:val="center"/>
        <w:rPr>
          <w:rFonts w:cs="Miriam"/>
          <w:sz w:val="32"/>
          <w:szCs w:val="32"/>
          <w:u w:val="single"/>
        </w:rPr>
      </w:pPr>
      <w:bookmarkStart w:id="14" w:name="PsakDin"/>
      <w:bookmarkEnd w:id="14"/>
      <w:r>
        <w:rPr>
          <w:sz w:val="32"/>
          <w:sz w:val="32"/>
          <w:szCs w:val="32"/>
          <w:rtl w:val="true"/>
        </w:rPr>
        <w:t>פסק</w:t>
      </w:r>
      <w:r>
        <w:rPr>
          <w:sz w:val="32"/>
          <w:szCs w:val="32"/>
          <w:rtl w:val="true"/>
        </w:rPr>
        <w:t>-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spacing w:lineRule="auto" w:line="360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בפנינו ערעור על פסק דינו של בית המשפט המחוזי בנצרת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השופטת      </w:t>
      </w:r>
      <w:r>
        <w:rPr>
          <w:rFonts w:ascii="Century" w:hAnsi="Century" w:cs="Miriam"/>
          <w:b/>
          <w:b/>
          <w:szCs w:val="24"/>
          <w:rtl w:val="true"/>
        </w:rPr>
        <w:t>י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שטרית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hyperlink r:id="rId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21512-08-15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פסק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בעבירה של סיוע לחבלה חמורה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עבירה לפי 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9">
        <w:r>
          <w:rPr>
            <w:rStyle w:val="Hyperlink"/>
            <w:rFonts w:cs="Century" w:ascii="Century" w:hAnsi="Century"/>
            <w:color w:val="0000FF"/>
            <w:u w:val="single"/>
          </w:rPr>
          <w:t>31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">
        <w:r>
          <w:rPr>
            <w:rStyle w:val="Hyperlink"/>
            <w:rFonts w:ascii="Century" w:hAnsi="Century" w:cs="Miriam"/>
            <w:b/>
            <w:b/>
            <w:color w:val="0000FF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Cs w:val="24"/>
            <w:u w:val="single"/>
            <w:rtl w:val="true"/>
          </w:rPr>
          <w:t>העונשין</w:t>
        </w:r>
      </w:hyperlink>
      <w:r>
        <w:rPr>
          <w:rFonts w:cs="Miriam" w:ascii="Century" w:hAnsi="Century"/>
          <w:b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התשל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ז</w:t>
      </w:r>
      <w:r>
        <w:rPr>
          <w:rFonts w:cs="Miriam" w:ascii="Century" w:hAnsi="Century"/>
          <w:b/>
          <w:szCs w:val="24"/>
          <w:rtl w:val="true"/>
        </w:rPr>
        <w:t>-</w:t>
      </w:r>
      <w:r>
        <w:rPr>
          <w:rFonts w:cs="Miriam" w:ascii="Century" w:hAnsi="Century"/>
          <w:b/>
          <w:szCs w:val="24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על המערער הושתו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מאסר בפועל לתקופה של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לריצוי בדרך של עבודות שירות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בהתאם לחוות דעת הממונה</w:t>
      </w:r>
      <w:r>
        <w:rPr>
          <w:rFonts w:cs="Century" w:ascii="Century" w:hAnsi="Century"/>
          <w:rtl w:val="true"/>
        </w:rPr>
        <w:t xml:space="preserve">);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למשך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מתן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שיופעל במידה שהמערער יעבור עבירת אלימות מסוג פשע</w:t>
      </w:r>
      <w:r>
        <w:rPr>
          <w:rFonts w:cs="Century" w:ascii="Century" w:hAnsi="Century"/>
          <w:rtl w:val="true"/>
        </w:rPr>
        <w:t xml:space="preserve">;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על תנאי למשך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מיום מתן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שיופעל במידה שהמערער יעבור עבירת אלימות מסוג עוון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צו מבחן למשך שנה ופיצוי למתלונן בסך </w:t>
      </w:r>
      <w:r>
        <w:rPr>
          <w:rFonts w:cs="Century" w:ascii="Century" w:hAnsi="Century"/>
        </w:rPr>
        <w:t>4,500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לצד </w:t>
      </w:r>
      <w:r>
        <w:rPr>
          <w:rFonts w:ascii="Century" w:hAnsi="Century" w:cs="Century"/>
          <w:rtl w:val="true"/>
        </w:rPr>
        <w:t>הודעת</w:t>
      </w:r>
      <w:r>
        <w:rPr>
          <w:rFonts w:ascii="Century" w:hAnsi="Century" w:cs="Century"/>
          <w:rtl w:val="true"/>
        </w:rPr>
        <w:t xml:space="preserve">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הוגשה גם בקשה לעיכוב ביצוע של עונש המאסר שהושת על המבקש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zCs w:val="24"/>
          <w:rtl w:val="true"/>
        </w:rPr>
        <w:t>י</w:t>
      </w:r>
      <w:r>
        <w:rPr>
          <w:rFonts w:cs="Miriam" w:ascii="Century" w:hAnsi="Century"/>
          <w:b/>
          <w:szCs w:val="24"/>
          <w:rtl w:val="true"/>
        </w:rPr>
        <w:t>'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הורה כי עונש המאסר </w:t>
      </w:r>
      <w:r>
        <w:rPr>
          <w:rFonts w:ascii="Century" w:hAnsi="Century" w:cs="Century"/>
          <w:rtl w:val="true"/>
        </w:rPr>
        <w:t xml:space="preserve">בפועל  </w:t>
      </w:r>
      <w:r>
        <w:rPr>
          <w:rFonts w:ascii="Century" w:hAnsi="Century" w:cs="Century"/>
          <w:rtl w:val="true"/>
        </w:rPr>
        <w:t>שהושת על המבקש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שירוצה בדרך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יעוכב עד </w:t>
      </w:r>
      <w:r>
        <w:rPr>
          <w:rFonts w:ascii="Century" w:hAnsi="Century" w:cs="Century"/>
          <w:rtl w:val="true"/>
        </w:rPr>
        <w:t>להכרעה בערעור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נביא להלן את הנתונים הדרושים להכרעה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בתאריך </w:t>
      </w:r>
      <w:r>
        <w:rPr>
          <w:rFonts w:cs="Century" w:ascii="Century" w:hAnsi="Century"/>
        </w:rPr>
        <w:t>26.05.2016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 המשפט המחוזי הנכבד הרשיע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הודאתו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בכתב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מתוקן</w:t>
      </w:r>
      <w:r>
        <w:rPr>
          <w:rFonts w:ascii="Century" w:hAnsi="Century" w:cs="Century"/>
          <w:rtl w:val="true"/>
        </w:rPr>
        <w:t xml:space="preserve"> בגין עבירה של סיוע לחבלה חמורה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עבירה לפי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12">
        <w:r>
          <w:rPr>
            <w:rStyle w:val="Hyperlink"/>
            <w:rFonts w:cs="Century" w:ascii="Century" w:hAnsi="Century"/>
          </w:rPr>
          <w:t>31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Miriam"/>
          <w:b/>
          <w:b/>
          <w:szCs w:val="24"/>
          <w:rtl w:val="true"/>
        </w:rPr>
        <w:t>חוק</w:t>
      </w:r>
      <w:r>
        <w:rPr>
          <w:rFonts w:cs="Century" w:ascii="Century" w:hAnsi="Century"/>
          <w:rtl w:val="true"/>
        </w:rPr>
        <w:t>).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הסכמה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למען שלמות התמונה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יצוין כי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יחד עם הנאשמים הנוספים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כפרו תחילה במיוחס להם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במסגרת הליך גישור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שהחל לאחר תחילת שמיעת הראיות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הגיעו הצדדים להסדר הטיעון האמור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הוסכם כי שירות המבחן יגיש לבית המשפט תסקיר בעניינם של הנאשמים טרם שיישמעו הטיעונים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שצוין כי לא יהיה בתסקירים אלו כדי לחייב מי מן הצדדים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כתב האישום המתוקן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הודה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בתאריך </w:t>
      </w:r>
      <w:r>
        <w:rPr>
          <w:rFonts w:cs="Century" w:ascii="Century" w:hAnsi="Century"/>
        </w:rPr>
        <w:t>31.07.2015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שהו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ואחותו במועדון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קאסה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בראש פינה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Cs w:val="24"/>
          <w:rtl w:val="true"/>
        </w:rPr>
        <w:t>המועדון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הנמצא בבעלות המערער ונאשם נוסף שעמד לדין בפרשה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אריאל נקש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Cs w:val="24"/>
          <w:rtl w:val="true"/>
        </w:rPr>
        <w:t>אריאל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עימם היה למשיב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היכרות מוקדמת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02:00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התפתחה מריבה בין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שהיה שתוי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אחד המבלים ב</w:t>
      </w:r>
      <w:r>
        <w:rPr>
          <w:rFonts w:ascii="Century" w:hAnsi="Century" w:cs="Miriam"/>
          <w:b/>
          <w:b/>
          <w:szCs w:val="24"/>
          <w:rtl w:val="true"/>
        </w:rPr>
        <w:t>מועדון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זאת על רקע הערות גסות שהעיר אותו מבלה לאחותו של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יחד עם </w:t>
      </w:r>
      <w:r>
        <w:rPr>
          <w:rFonts w:ascii="Century" w:hAnsi="Century" w:cs="Miriam"/>
          <w:b/>
          <w:b/>
          <w:szCs w:val="24"/>
          <w:rtl w:val="true"/>
        </w:rPr>
        <w:t>אריאל</w:t>
      </w:r>
      <w:r>
        <w:rPr>
          <w:rFonts w:ascii="Century" w:hAnsi="Century" w:cs="Century"/>
          <w:rtl w:val="true"/>
        </w:rPr>
        <w:t xml:space="preserve"> ונאשם אחר בפרשה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מאור הרסטיג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Cs w:val="24"/>
          <w:rtl w:val="true"/>
        </w:rPr>
        <w:t>מאור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שעבד כברמן ב</w:t>
      </w:r>
      <w:r>
        <w:rPr>
          <w:rFonts w:ascii="Century" w:hAnsi="Century" w:cs="Miriam"/>
          <w:b/>
          <w:b/>
          <w:szCs w:val="24"/>
          <w:rtl w:val="true"/>
        </w:rPr>
        <w:t>מועדון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ניסו להרגיע את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הדבר לא הסתייע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אף השליך מאפרה לכיוונו של </w:t>
      </w:r>
      <w:r>
        <w:rPr>
          <w:rFonts w:ascii="Century" w:hAnsi="Century" w:cs="Miriam"/>
          <w:b/>
          <w:b/>
          <w:szCs w:val="24"/>
          <w:rtl w:val="true"/>
        </w:rPr>
        <w:t>מאור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פגע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בעקבות    זאת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אריאל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zCs w:val="24"/>
          <w:rtl w:val="true"/>
        </w:rPr>
        <w:t>מאור</w:t>
      </w:r>
      <w:r>
        <w:rPr>
          <w:rFonts w:ascii="Century" w:hAnsi="Century" w:cs="Century"/>
          <w:rtl w:val="true"/>
        </w:rPr>
        <w:t xml:space="preserve"> החליטו להרחיק את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מהמקום והוציאו אותו מ</w:t>
      </w:r>
      <w:r>
        <w:rPr>
          <w:rFonts w:ascii="Century" w:hAnsi="Century" w:cs="Miriam"/>
          <w:b/>
          <w:b/>
          <w:szCs w:val="24"/>
          <w:rtl w:val="true"/>
        </w:rPr>
        <w:t>המועדון</w:t>
      </w:r>
      <w:r>
        <w:rPr>
          <w:rFonts w:ascii="Century" w:hAnsi="Century" w:cs="Century"/>
          <w:rtl w:val="true"/>
        </w:rPr>
        <w:t xml:space="preserve"> בכוח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בסיוע מאבטחים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המהומה שהתעוררה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המשטרה הוזעקה למקום וסייעה אף היא בהרחקתם של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ואחותו מן המקום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ואלו חזרו לביתם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בשל התנהגותו של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והחשש מפגיעה בשמו הטוב של </w:t>
      </w:r>
      <w:r>
        <w:rPr>
          <w:rFonts w:ascii="Century" w:hAnsi="Century" w:cs="Miriam"/>
          <w:b/>
          <w:b/>
          <w:szCs w:val="24"/>
          <w:rtl w:val="true"/>
        </w:rPr>
        <w:t>המועדון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החליטו </w:t>
      </w:r>
      <w:r>
        <w:rPr>
          <w:rFonts w:ascii="Century" w:hAnsi="Century" w:cs="Miriam"/>
          <w:b/>
          <w:b/>
          <w:szCs w:val="24"/>
          <w:rtl w:val="true"/>
        </w:rPr>
        <w:t>אריאל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zCs w:val="24"/>
          <w:rtl w:val="true"/>
        </w:rPr>
        <w:t>מאור</w:t>
      </w:r>
      <w:r>
        <w:rPr>
          <w:rFonts w:ascii="Century" w:hAnsi="Century" w:cs="Century"/>
          <w:rtl w:val="true"/>
        </w:rPr>
        <w:t xml:space="preserve"> והמערער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ביחד עם אחרים שזהותם אינה ידועה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לתקוף את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03:00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מאור</w:t>
      </w:r>
      <w:r>
        <w:rPr>
          <w:rFonts w:ascii="Century" w:hAnsi="Century" w:cs="Century"/>
          <w:rtl w:val="true"/>
        </w:rPr>
        <w:t xml:space="preserve"> התקשר למשיב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ואיים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משניתק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השיחה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התקשר אליו גם </w:t>
      </w:r>
      <w:r>
        <w:rPr>
          <w:rFonts w:ascii="Century" w:hAnsi="Century" w:cs="Miriam"/>
          <w:b/>
          <w:b/>
          <w:szCs w:val="24"/>
          <w:rtl w:val="true"/>
        </w:rPr>
        <w:t>אריאל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הפציר במשיב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לחזור ל</w:t>
      </w:r>
      <w:r>
        <w:rPr>
          <w:rFonts w:ascii="Century" w:hAnsi="Century" w:cs="Miriam"/>
          <w:b/>
          <w:b/>
          <w:szCs w:val="24"/>
          <w:rtl w:val="true"/>
        </w:rPr>
        <w:t>מועדון</w:t>
      </w:r>
      <w:r>
        <w:rPr>
          <w:rFonts w:ascii="Century" w:hAnsi="Century" w:cs="Century"/>
          <w:rtl w:val="true"/>
        </w:rPr>
        <w:t xml:space="preserve"> במטרה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ליישב את ההדורים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וכעבור זמן קצר הגיע אל החניה הסמוכה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מועדון</w:t>
      </w:r>
      <w:r>
        <w:rPr>
          <w:rFonts w:ascii="Century" w:hAnsi="Century" w:cs="Century"/>
          <w:rtl w:val="true"/>
        </w:rPr>
        <w:t xml:space="preserve"> והודיע על כך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מסר לו שימתין וכי הוא בדרכו אליו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מאור</w:t>
      </w:r>
      <w:r>
        <w:rPr>
          <w:rFonts w:ascii="Century" w:hAnsi="Century" w:cs="Century"/>
          <w:rtl w:val="true"/>
        </w:rPr>
        <w:t xml:space="preserve"> והמערער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יחד עם גורמים נוספים שזהותם אינה ידועה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יצאו לכיוונו של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וזרקו עליו אבנים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ניסה אמנם לברוח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השיגו אותו והחלו להכות אותו בכל חלקי גופו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חנק את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בצווארו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בסופו של 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עזב את המקום ובהמשך אף פונה לבית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התברר כי כתוצאה מהמעשים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נגרמו לו חבלות מסוג המטומה פריאורביטלית בצד ימין של הראש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חבלה חמורה בצלע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וסטייה בבסיס האף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עקב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אושפז לטיפול והשגחה בבית החולים למשך שלושה ימים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הנכבד</w:t>
      </w:r>
    </w:p>
    <w:p>
      <w:pPr>
        <w:pStyle w:val="Style14"/>
        <w:ind w:end="0"/>
        <w:jc w:val="start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</w:t>
      </w:r>
      <w:r>
        <w:rPr>
          <w:rFonts w:ascii="Times New Roman" w:hAnsi="Times New Roman" w:cs="Times New Roman"/>
          <w:rtl w:val="true"/>
        </w:rPr>
        <w:t xml:space="preserve">תאריך </w:t>
      </w:r>
      <w:r>
        <w:rPr>
          <w:rFonts w:cs="Times New Roman" w:ascii="Times New Roman" w:hAnsi="Times New Roman"/>
        </w:rPr>
        <w:t>27.11.2017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בית המשפט הנכבד גזר את דינו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קבלת תסקיר של שירות המבחן בעניינו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התסקיר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ולאחר שמיעת טיעונים של 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הצדדים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ציין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תסקיר</w:t>
      </w:r>
      <w:r>
        <w:rPr>
          <w:rFonts w:ascii="Century" w:hAnsi="Century" w:cs="Century"/>
          <w:rtl w:val="true"/>
        </w:rPr>
        <w:t xml:space="preserve"> כי המערער קיבל עליו אחריות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הביע חרטה על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וגילה מודעות והבנה למשמעות התנהלותו הבעייתית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בבואו להעריך את הסיכון לעבריינות אל מול הסיכוי לשיקום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שירות המבחן התרשם כי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בחור צעיר אשר לומד בבית ספר להנדסאים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הינו בעל אופי חיובי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שנוקט בעמדות נורמטיביות ושומרות חוק בדרך כלל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שירות המבחן ציין כי לא התרשם שקיימים אצל המערער מאפיינים התנהגותיים אלימים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לראות בהתנהלות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המתוארת בכתב האישום המתוקן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התנהגות אימפולסיבית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ביטאה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לדברי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קשייו בהתמודדות עם מצב מורכב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ונעשתה מתוך רצון שלו להגן על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המועדון</w:t>
      </w:r>
      <w:r>
        <w:rPr>
          <w:rFonts w:ascii="Century" w:hAnsi="Century" w:cs="Century"/>
          <w:rtl w:val="true"/>
        </w:rPr>
        <w:t xml:space="preserve"> שבהקמתו השקיע משאבים וזמן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שירות המבחן העריך כי הסיכוי להישנות מקרים דומים בעתיד מצדו של המערער הינו נמוך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שירות המבחן המליץ לשקול את האפיק          הטיפולי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שיקומי ולבחון את האפשרות של ביטול ההרשעה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הטלת צו מבחן למשך כשנה וצו שירות לתועלת הציבור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שעמד על האמור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תסקיר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בית המשפט המחוזי הנכבד קבע כי בשים לב לערכים החברתיים המוגנים שנפגעו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הזכות לשלמות הגוף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כבודו וביטחונו האישי של האדם שנפגע והשמירה על שלום הציבור וביטחונו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נוכח חלקו היחסי של המערער בהשתלשלות האירועים בענייננו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מתחם העונש ההולם בעניינו של המערער נע בין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יכול וירוצו גם על 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לבין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בצירוף עונשים נלווים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בית המשפט המחוזי הנכבד המשיך וציין כי לא מצא הצדקה לסטות ממתחם העונש ההולם שנקבע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זאת על אף המלצת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שעלתה ב</w:t>
      </w:r>
      <w:r>
        <w:rPr>
          <w:rFonts w:ascii="Century" w:hAnsi="Century" w:cs="Miriam"/>
          <w:b/>
          <w:b/>
          <w:szCs w:val="24"/>
          <w:rtl w:val="true"/>
        </w:rPr>
        <w:t>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בדבר בחינת האפשרות לביטול הרשעתו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הנכבד הדגיש כי הימנעות מהרשעה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מקום שהמערער הודה בפלילים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אפשרית רק בהצטבר שני תנאים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ראשית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על ההרשעה לפגוע פגיעה חמורה בשיקום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שנית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על סוג העבירה להיות כזה המאפשר לוותר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המקרה המסוים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לפגוע באופן מהותי בשיקולי הענישה האחרים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באשר לתנאי הראשון בדבר הפגיעה בשיקומו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בית המשפט המחוזי הנכבד קבע כי לא הוצגו בפניו ראיות ממשיות בדבר האפשרות שהרשעתו של המערער תפגע בלימודיו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בעיסוקו כהנדסאי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שהותרת ההרשעה על כנה אכן עלולה להקשות על המערער במציאת אפשרויות לתעסוקה בעתיד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שקשיים אלו נכונים בעניינם של נאשמים רבים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בהכבדה זו כשלעצמה כדי לגבש את התנאי הראשון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באשר לתנאי השני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בית המשפט המחוזי הנכבד קבע כי לנוכח חלקו היחסי של המערער בפרשה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לרבות העובדה שחנק את המשיב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בצווארו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ביטול ההרשעה יפגע באופן מהותי בשיקולי הענישה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גם תנאי זה אינו מתמלא כאן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הנכבד הדגיש כי בשים לב לעובדה שלמערער אין עבר 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ובהתחשב בהתרשמותו החיובית מהמערער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ובשהותו במעצר מאחורי סורג ובריח במשך תקופה של כחודש ימים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יש למקם את עונשו ברף התחתון של מתחם הענישה ההולם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הנה כי כן בסופו של יום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בית המשפט המחוזי הנכבד הטיל על המערער את העונשים המנויים בפיסקה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שלעיל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למען שלמות התמונה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נזכיר פה כי בתאריך </w:t>
      </w:r>
      <w:r>
        <w:rPr>
          <w:rFonts w:cs="Century" w:ascii="Century" w:hAnsi="Century"/>
        </w:rPr>
        <w:t>23.05.2018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הוגש אלינו תסקיר משלים מטעם שירות המבחן בעניינו של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התסקיר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המשלים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במסגרת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התסקיר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נידונה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סוגיית הפגיעה האפשרית בעתידו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החשש שלא יצליח להירשם בעתיד כהנדסאי ולעבוד בתחום לו הקדיש את לימודיו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 עוד כי המערער שולב במסגרת טיפולית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הוא משתתף באופן פעיל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שירות המבחן חזר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תסקיר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על המלצתו לשקול את ביטול ההרשעה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הטלת צו שירות לתועלת הציבור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Style14"/>
        <w:ind w:end="0"/>
        <w:jc w:val="start"/>
        <w:rPr>
          <w:rFonts w:ascii="Century" w:hAnsi="Century" w:cs="FrankRuehl"/>
          <w:spacing w:val="10"/>
          <w:sz w:val="2"/>
          <w:szCs w:val="2"/>
        </w:rPr>
      </w:pPr>
      <w:r>
        <w:rPr>
          <w:rFonts w:cs="FrankRuehl" w:ascii="Century" w:hAnsi="Century"/>
          <w:spacing w:val="10"/>
          <w:sz w:val="2"/>
          <w:szCs w:val="2"/>
          <w:rtl w:val="true"/>
        </w:rPr>
      </w:r>
    </w:p>
    <w:p>
      <w:pPr>
        <w:pStyle w:val="Style14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</w:p>
    <w:p>
      <w:pPr>
        <w:pStyle w:val="Style14"/>
        <w:ind w:end="0"/>
        <w:jc w:val="start"/>
        <w:rPr>
          <w:rFonts w:ascii="Times New Roman" w:hAnsi="Times New Roman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בהודעת הערעור ובדיון שהתקיים 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טען כי החלטת בית המשפט המחוזי הנכבד להרשיע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ששירות המבחן המליץ לבטל את הרשעתו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מנוגדת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להלכה הפסוקה בעניין ולפיכך יש מקום להתערב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הוסיף וגרס כי העונש שהושת על המערער חורג במידה קיצונית מן העונשים המוטלים בנסיבות דומות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נוכח העובדה שהוא נעדר עבר 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בהתחשב בחלקו הקטן יחסית של המערער בפרשה ובעובדה שהוא איננו המבצע העיקרי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המערער הלין על כך שעל המערער הושת עונש מאסר בפועל לביצוע בדרך של עבודות שירות ולמשך תקופה השווה למחצית מעונש המאסר בפועל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לביצוע בדרך של עבודות שירות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שהושת על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אריאל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המבצע העיקרי בפרשה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טען כי לכל הפחות יש לנכות מעונשו של המערער את התקופה שבה הוא שהה במעצר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כך נוהגים על דרך הכלל מכוח ההסמכה הסטטוטורית לעשות כן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10"/>
          <w:szCs w:val="16"/>
        </w:rPr>
      </w:pPr>
      <w:r>
        <w:rPr>
          <w:rFonts w:cs="Century" w:ascii="Century" w:hAnsi="Century"/>
          <w:sz w:val="10"/>
          <w:szCs w:val="16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המשיבים 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מקום לביטול הרשעתו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נוכח העובדה שהמערער הודה בביצוע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מעבר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הוכח כי הותרת הרשעתו של המערער על כנה תגרום לפגיעה חמורה בשיקומו</w:t>
      </w:r>
      <w:r>
        <w:rPr>
          <w:rFonts w:cs="Century" w:ascii="Century" w:hAnsi="Century"/>
          <w:rtl w:val="true"/>
        </w:rPr>
        <w:t xml:space="preserve">.     </w:t>
      </w:r>
      <w:r>
        <w:rPr>
          <w:rFonts w:ascii="Century" w:hAnsi="Century" w:cs="Century"/>
          <w:rtl w:val="true"/>
        </w:rPr>
        <w:t>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המשיבים הוסיפה וטענה כי אין מקום להפחית מעונשו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ממילא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הוא קל בנסיבות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הנכבד מנה במסגרת השיקולים לעונש את העובדה שהמערער שהה במעצר מאחורי סורג ובריח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שקילה נוספת של נתון זה תעלה כדי כפילות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Style14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במהלך הדיון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המערער הודיע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בעצת בית המשפט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כי המערער החליט לצמצם את ערעורו ולבקש רק להפחית את העונש שהושת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במיוחד בשים לב לכך שימי המעצר שעברו עליו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הופחתו מהמאסר שנגזר עליו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לריצוי בדרך של עבודות שירות</w:t>
      </w:r>
      <w:r>
        <w:rPr>
          <w:rFonts w:cs="Century" w:ascii="Century" w:hAnsi="Century"/>
          <w:rtl w:val="true"/>
        </w:rPr>
        <w:t>).</w:t>
      </w:r>
    </w:p>
    <w:p>
      <w:pPr>
        <w:pStyle w:val="Style14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נעבור איפוא עתה לליבון הדברים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Style14"/>
        <w:ind w:end="0"/>
        <w:jc w:val="start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שעיינו בהודעת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ובחומר שצורף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ושמענו את טיעוני      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כוח הצדדים – הגענו לכלל מסקנה כי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להידחות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להלן יובאו עיקרי הטעמים למסקנתנו זו</w:t>
      </w:r>
      <w:r>
        <w:rPr>
          <w:rFonts w:cs="Century" w:ascii="Century" w:hAnsi="Century"/>
          <w:rtl w:val="true"/>
        </w:rPr>
        <w:t>.</w:t>
      </w:r>
    </w:p>
    <w:p>
      <w:pPr>
        <w:pStyle w:val="Style14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Style14"/>
        <w:ind w:end="0"/>
        <w:jc w:val="start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סוגיית ההימנעות מהרשעתו בדין של נאשם נידונה פעמים רבות בבית משפט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בפסק הדין המנחה בסוגיה זו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2083/96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כתב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נב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337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נקבעו שני תנאים מצטברים לכך</w:t>
      </w:r>
      <w:r>
        <w:rPr>
          <w:rFonts w:cs="Century" w:ascii="Century" w:hAnsi="Century"/>
          <w:rtl w:val="true"/>
        </w:rPr>
        <w:t>:</w:t>
      </w:r>
    </w:p>
    <w:p>
      <w:pPr>
        <w:pStyle w:val="Style14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הימנעות מהרשעה אפשרית אפוא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בהצטבר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גורמים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ההרשעה לפגוע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חמורה</w:t>
      </w:r>
      <w:r>
        <w:rPr>
          <w:rFonts w:ascii="Century" w:hAnsi="Century" w:cs="Century"/>
          <w:rtl w:val="true"/>
        </w:rPr>
        <w:t xml:space="preserve"> בשיקום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סוג העבירה מאפשר לוותר בנסיבות המקרה המסוים על ההרשעה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לפגוע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בשיקולי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האחרים</w:t>
      </w:r>
      <w:r>
        <w:rPr>
          <w:rFonts w:ascii="Century" w:hAnsi="Century" w:cs="Century"/>
          <w:rtl w:val="true"/>
        </w:rPr>
        <w:t xml:space="preserve"> המפורטים לעיל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ההדגשות שלי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Style14"/>
        <w:ind w:end="0"/>
        <w:jc w:val="start"/>
        <w:rPr>
          <w:rFonts w:ascii="Century" w:hAnsi="Century" w:cs="FrankRuehl"/>
          <w:spacing w:val="10"/>
          <w:sz w:val="2"/>
          <w:szCs w:val="10"/>
        </w:rPr>
      </w:pPr>
      <w:r>
        <w:rPr>
          <w:rFonts w:cs="FrankRuehl" w:ascii="Century" w:hAnsi="Century"/>
          <w:spacing w:val="10"/>
          <w:sz w:val="2"/>
          <w:szCs w:val="10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נוכח העובדה שהמערער חזר בו מערעורו במקטע זה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 וטוב שעשה כן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נרחיב פה בניתוח התנאים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ויישומם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נתספק רק בציון העובדה כי העבירה בה הורשע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משקפת את תופעת האלימות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בפרט באתרי בילוי ומועדונים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שהפכה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למרבה הצער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לנפוצה בחברתנו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ולפיכך היא מחייבת מתן קדימות לעקרונות הגמול וההתרעה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7555/11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18.07.2012</w:t>
      </w:r>
      <w:r>
        <w:rPr>
          <w:rFonts w:cs="Century" w:ascii="Century" w:hAnsi="Century"/>
          <w:rtl w:val="true"/>
        </w:rPr>
        <w:t xml:space="preserve">);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1929/12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מחאמיד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24.04.2012</w:t>
      </w:r>
      <w:r>
        <w:rPr>
          <w:rFonts w:cs="Century" w:ascii="Century" w:hAnsi="Century"/>
          <w:rtl w:val="true"/>
        </w:rPr>
        <w:t xml:space="preserve">);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405/06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חלייחל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08.05.2006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עיינו גם</w:t>
      </w:r>
      <w:r>
        <w:rPr>
          <w:rFonts w:cs="Century" w:ascii="Century" w:hAnsi="Century"/>
          <w:rtl w:val="true"/>
        </w:rPr>
        <w:t xml:space="preserve">: 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1119/18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חסן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09.05.2018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הימנעות מהרשעה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נראית מרחיקת לכת יתר על המידה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נוסיף בהקשר זה עוד כי לא נעלמו מעינינו המלצותיו של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שעלו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תסקיר</w:t>
      </w:r>
      <w:r>
        <w:rPr>
          <w:rFonts w:ascii="Century" w:hAnsi="Century" w:cs="Century"/>
          <w:rtl w:val="true"/>
        </w:rPr>
        <w:t xml:space="preserve"> וב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תסקיר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שלהמלצות אלו חשיבות 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ויש בהן לרוב כדי לסייע לבית המשפט בגזירת העונש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אין הן מחייבות בהכרח את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תפקידו לאזן בין ההמלצות האמורות לבין יתר השיקולים העומדים בבסיס ההרשעה והענישה הפלילית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פסק דינה של 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zCs w:val="24"/>
          <w:rtl w:val="true"/>
        </w:rPr>
        <w:t>ע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ארבל</w:t>
      </w:r>
      <w:r>
        <w:rPr>
          <w:rFonts w:ascii="Century" w:hAnsi="Century" w:cs="Century"/>
          <w:rtl w:val="true"/>
        </w:rPr>
        <w:t xml:space="preserve"> ב</w:t>
      </w:r>
      <w:r>
        <w:rPr>
          <w:rFonts w:cs="Century" w:ascii="Century" w:hAnsi="Century"/>
          <w:rtl w:val="true"/>
        </w:rPr>
        <w:t>-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8564/10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זועבי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03.03.2011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בענייננו המלצות אלו של שירות המבחן נלקחו בחשבון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בית המשפט המחוזי הנכבד עת שגזר עונש מתון על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פיסקאות </w:t>
      </w:r>
      <w:r>
        <w:rPr>
          <w:rFonts w:cs="Century" w:ascii="Century" w:hAnsi="Century"/>
        </w:rPr>
        <w:t>151-150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155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לא מצאנו איפוא שבנסיבות העניין יש מקום להתחשבות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כמבוקש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ונבהיר את הדברים להלן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באשר לטענה בדבר ניכוי ימי מעצרו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הלכה היא כי ערכאת הערעור לא תתערב</w:t>
      </w:r>
      <w:r>
        <w:rPr>
          <w:rFonts w:ascii="Century" w:hAnsi="Century" w:cs="Century"/>
          <w:rtl w:val="true"/>
        </w:rPr>
        <w:t xml:space="preserve"> בדרך כלל</w:t>
      </w:r>
      <w:r>
        <w:rPr>
          <w:rFonts w:ascii="Century" w:hAnsi="Century" w:cs="Century"/>
          <w:rtl w:val="true"/>
        </w:rPr>
        <w:t xml:space="preserve"> בעונש שהוטל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במקרים חריגים של סטייה קיצונית ממדיניות הענישה במקרים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כאשר מדובר בטעות מהותית שנפלה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מקום בו ישנן נסיבות מיוחדות המצדיקות זאת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בניאת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06.05.2015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מצאנו כי העונש שנגזר על המערער יסודו בטעות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כי מתקיימות נסיבות מיוחדות המצדיקות את קבלת הערעור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16"/>
          <w:szCs w:val="22"/>
        </w:rPr>
      </w:pPr>
      <w:r>
        <w:rPr>
          <w:rFonts w:cs="Century" w:ascii="Century" w:hAnsi="Century"/>
          <w:sz w:val="16"/>
          <w:szCs w:val="22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ההוראה הסטטוטורית המרכזית בדבר ניכוי ימי המעצר מתקופת המאסר שהוטלה על נאשם שהורשע בעבירה במסגרת גזר הדין מצויה </w:t>
      </w:r>
      <w:hyperlink r:id="rId20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קובע כדלקמן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David"/>
          <w:spacing w:val="0"/>
          <w:sz w:val="16"/>
          <w:szCs w:val="20"/>
        </w:rPr>
      </w:pPr>
      <w:r>
        <w:rPr>
          <w:rFonts w:cs="David" w:ascii="Century" w:hAnsi="Century"/>
          <w:spacing w:val="0"/>
          <w:sz w:val="16"/>
          <w:szCs w:val="20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David"/>
          <w:spacing w:val="0"/>
          <w:sz w:val="20"/>
          <w:szCs w:val="24"/>
          <w:rtl w:val="true"/>
        </w:rPr>
        <w:t>"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אחרת</w:t>
      </w:r>
      <w:r>
        <w:rPr>
          <w:rtl w:val="true"/>
        </w:rPr>
        <w:t xml:space="preserve">;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" (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כפי שניתן לראות מלשון הסעיף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ניכוי ימי מעצרו של נאשם המורשע בפלילים איננו עניין אוטומטי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ניכוי שכזה נתון לשיקול דעתו של בית המשפט ואין לנאשם המורשע בפלילים זכות קנויה לכך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7768/15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29.02.2016</w:t>
      </w:r>
      <w:r>
        <w:rPr>
          <w:rFonts w:cs="Century" w:ascii="Century" w:hAnsi="Century"/>
          <w:rtl w:val="true"/>
        </w:rPr>
        <w:t xml:space="preserve">); 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245/10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13.04.2010</w:t>
      </w:r>
      <w:r>
        <w:rPr>
          <w:rFonts w:cs="Century" w:ascii="Century" w:hAnsi="Century"/>
          <w:rtl w:val="true"/>
        </w:rPr>
        <w:t>)).</w:t>
      </w: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אכן נכון הדבר כי עם השנים התפתחה פרקטיקה שיפוטית לפיה בית המשפט מתחשב בדרך כלל בעת גזירת עונשו של נאשם מורשע בתקופת מעצרו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בהיעדר נימוקים מיוחדים לחומרה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ראוי כי הערכאה המבררת תביא תקופה זו בחשבון עת שהיא גוזרת את עונשו של הנאשם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4865/04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מדינת ישראל נ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סויסה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ד ס</w:t>
        </w:r>
      </w:hyperlink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cs="Times New Roman" w:ascii="Times New Roman" w:hAnsi="Times New Roman"/>
        </w:rPr>
        <w:t>57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2000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 xml:space="preserve">יעקב קדמי </w:t>
      </w:r>
      <w:hyperlink r:id="rId24"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על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סדר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הדין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00"/>
            <w:spacing w:val="0"/>
            <w:sz w:val="28"/>
            <w:sz w:val="28"/>
            <w:szCs w:val="24"/>
            <w:rtl w:val="true"/>
          </w:rPr>
          <w:t>בפלילים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חלק שני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כרך 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עמ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cs="Times New Roman" w:ascii="Times New Roman" w:hAnsi="Times New Roman"/>
        </w:rPr>
        <w:t>1671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2009</w:t>
      </w:r>
      <w:r>
        <w:rPr>
          <w:rFonts w:cs="Times New Roman" w:ascii="Times New Roman" w:hAnsi="Times New Roman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cs="Times New Roman" w:ascii="Times New Roman" w:hAnsi="Times New Roman"/>
          <w:sz w:val="18"/>
          <w:szCs w:val="24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יחד עם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בענייננו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על המערער הושתו שלושה חודשי מאסר בפועל לריצוי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עבודות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שירות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ולפיכך ניכוי תקופת מעצרו איננו עניין של מה בכך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השוו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7584/14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02.12.2014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בפיסקה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 xml:space="preserve">זאת ועוד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מעיון בגזר הדין של בית המשפט המחוזי הנכבד עולה כי בית המשפט עמד על כך שהמערער היה נתון במעצר מאחורי סורג ובריח במשך תקופה של כחודש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כמו גם על כך שהיה משוחרר בערבות לאחר מכן במעצר בתנאים מגבילים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153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לגזר הדין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בית המשפט התחשב בנתונים אלו כשהשית על המערער עונש מתון מאוד בנסיבות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מצאנו טעם טוב להתערב בעונשו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אף שאכן ניתן לטעון כי יש פער מסוים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אולי צר מדי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 xml:space="preserve">בין העונש שהושת על המערער לבין זה שהוטל על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אריאל</w:t>
      </w:r>
      <w:r>
        <w:rPr>
          <w:rFonts w:ascii="Times New Roman" w:hAnsi="Times New Roman" w:cs="Times New Roman"/>
          <w:rtl w:val="true"/>
        </w:rPr>
        <w:t xml:space="preserve"> שהיה המבצע העיקרי בפרשה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 </w:t>
      </w:r>
      <w:r>
        <w:rPr>
          <w:rFonts w:ascii="Century" w:hAnsi="Century" w:cs="Century"/>
          <w:rtl w:val="true"/>
        </w:rPr>
        <w:t xml:space="preserve">נוכח כל האמור לעיל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נדחה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הממונה על עבודות השירות מתבקש לעדכן את חוות דעתו ולהגישה לנו עד לתאריך </w:t>
      </w:r>
      <w:r>
        <w:rPr>
          <w:rFonts w:cs="Century" w:ascii="Century" w:hAnsi="Century"/>
        </w:rPr>
        <w:t>01.08.2018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ובעקבות זאת תוצא החלטה משלימה</w:t>
      </w:r>
      <w:r>
        <w:rPr>
          <w:rFonts w:cs="Century" w:ascii="Century" w:hAnsi="Century"/>
          <w:rtl w:val="true"/>
        </w:rPr>
        <w:t>.</w:t>
      </w:r>
    </w:p>
    <w:p>
      <w:pPr>
        <w:pStyle w:val="Style14"/>
        <w:ind w:end="0"/>
        <w:jc w:val="start"/>
        <w:rPr>
          <w:rFonts w:ascii="Century" w:hAnsi="Century" w:cs="FrankRuehl"/>
          <w:spacing w:val="10"/>
          <w:sz w:val="14"/>
          <w:szCs w:val="22"/>
        </w:rPr>
      </w:pPr>
      <w:r>
        <w:rPr>
          <w:rFonts w:cs="FrankRuehl" w:ascii="Century" w:hAnsi="Century"/>
          <w:spacing w:val="10"/>
          <w:sz w:val="14"/>
          <w:szCs w:val="22"/>
          <w:rtl w:val="true"/>
        </w:rPr>
      </w:r>
    </w:p>
    <w:p>
      <w:pPr>
        <w:pStyle w:val="Style14"/>
        <w:ind w:end="0"/>
        <w:jc w:val="start"/>
        <w:rPr>
          <w:rFonts w:ascii="Century" w:hAnsi="Century" w:cs="FrankRuehl"/>
          <w:spacing w:val="10"/>
          <w:sz w:val="14"/>
          <w:szCs w:val="22"/>
        </w:rPr>
      </w:pPr>
      <w:r>
        <w:rPr>
          <w:rFonts w:cs="FrankRuehl" w:ascii="Century" w:hAnsi="Century"/>
          <w:spacing w:val="10"/>
          <w:sz w:val="14"/>
          <w:szCs w:val="22"/>
          <w:rtl w:val="true"/>
        </w:rPr>
      </w:r>
    </w:p>
    <w:p>
      <w:pPr>
        <w:pStyle w:val="Style14"/>
        <w:ind w:end="0"/>
        <w:jc w:val="start"/>
        <w:rPr>
          <w:rFonts w:ascii="Century" w:hAnsi="Century" w:cs="FrankRuehl"/>
          <w:spacing w:val="10"/>
          <w:sz w:val="14"/>
          <w:szCs w:val="22"/>
        </w:rPr>
      </w:pPr>
      <w:r>
        <w:rPr>
          <w:rFonts w:cs="FrankRuehl" w:ascii="Century" w:hAnsi="Century"/>
          <w:spacing w:val="10"/>
          <w:sz w:val="14"/>
          <w:szCs w:val="22"/>
          <w:rtl w:val="true"/>
        </w:rPr>
      </w:r>
    </w:p>
    <w:p>
      <w:pPr>
        <w:pStyle w:val="Style14"/>
        <w:ind w:end="0"/>
        <w:jc w:val="start"/>
        <w:rPr>
          <w:rFonts w:ascii="Century" w:hAnsi="Century" w:cs="FrankRuehl"/>
          <w:spacing w:val="10"/>
          <w:sz w:val="6"/>
          <w:szCs w:val="14"/>
        </w:rPr>
      </w:pPr>
      <w:r>
        <w:rPr>
          <w:rFonts w:cs="FrankRuehl" w:ascii="Century" w:hAnsi="Century"/>
          <w:spacing w:val="10"/>
          <w:sz w:val="6"/>
          <w:szCs w:val="1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בתמוז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8.7.2018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18002010</w:t>
      </w:r>
      <w:r>
        <w:rPr>
          <w:sz w:val="16"/>
          <w:rtl w:val="true"/>
        </w:rPr>
        <w:t>_</w:t>
      </w:r>
      <w:r>
        <w:rPr>
          <w:sz w:val="16"/>
        </w:rPr>
        <w:t>K07.doc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אר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54678313-201/18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201/18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ליאור טויזר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0" w:hanging="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4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Style14">
    <w:name w:val="פיסקת רשימה"/>
    <w:basedOn w:val="Normal"/>
    <w:qFormat/>
    <w:pPr>
      <w:ind w:hanging="0" w:start="72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50075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3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case/20500755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case/5810781" TargetMode="External"/><Relationship Id="rId14" Type="http://schemas.openxmlformats.org/officeDocument/2006/relationships/hyperlink" Target="http://www.nevo.co.il/case/6247882" TargetMode="External"/><Relationship Id="rId15" Type="http://schemas.openxmlformats.org/officeDocument/2006/relationships/hyperlink" Target="http://www.nevo.co.il/case/5571024" TargetMode="External"/><Relationship Id="rId16" Type="http://schemas.openxmlformats.org/officeDocument/2006/relationships/hyperlink" Target="http://www.nevo.co.il/case/5699446" TargetMode="External"/><Relationship Id="rId17" Type="http://schemas.openxmlformats.org/officeDocument/2006/relationships/hyperlink" Target="http://www.nevo.co.il/case/23750920" TargetMode="External"/><Relationship Id="rId18" Type="http://schemas.openxmlformats.org/officeDocument/2006/relationships/hyperlink" Target="http://www.nevo.co.il/case/6128669" TargetMode="External"/><Relationship Id="rId19" Type="http://schemas.openxmlformats.org/officeDocument/2006/relationships/hyperlink" Target="http://www.nevo.co.il/case/20251483" TargetMode="External"/><Relationship Id="rId20" Type="http://schemas.openxmlformats.org/officeDocument/2006/relationships/hyperlink" Target="http://www.nevo.co.il/law/70301/43" TargetMode="External"/><Relationship Id="rId21" Type="http://schemas.openxmlformats.org/officeDocument/2006/relationships/hyperlink" Target="http://www.nevo.co.il/case/20832660" TargetMode="External"/><Relationship Id="rId22" Type="http://schemas.openxmlformats.org/officeDocument/2006/relationships/hyperlink" Target="http://www.nevo.co.il/case/5687081" TargetMode="External"/><Relationship Id="rId23" Type="http://schemas.openxmlformats.org/officeDocument/2006/relationships/hyperlink" Target="http://www.nevo.co.il/case/5980400" TargetMode="External"/><Relationship Id="rId24" Type="http://schemas.openxmlformats.org/officeDocument/2006/relationships/hyperlink" Target="http://www.nevo.co.il/safrut/bookgroup/2344" TargetMode="External"/><Relationship Id="rId25" Type="http://schemas.openxmlformats.org/officeDocument/2006/relationships/hyperlink" Target="http://www.nevo.co.il/case/18653810" TargetMode="External"/><Relationship Id="rId26" Type="http://schemas.openxmlformats.org/officeDocument/2006/relationships/hyperlink" Target="https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2022-08-31T13:15:00Z</dcterms:created>
  <dc:creator> </dc:creator>
  <dc:description/>
  <cp:keywords/>
  <dc:language>en-IL</dc:language>
  <cp:lastModifiedBy>h11</cp:lastModifiedBy>
  <cp:lastPrinted>2018-07-05T14:12:00Z</cp:lastPrinted>
  <dcterms:modified xsi:type="dcterms:W3CDTF">2022-08-31T13:15:00Z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ליאור טויזר</vt:lpwstr>
  </property>
  <property fmtid="{D5CDD505-2E9C-101B-9397-08002B2CF9AE}" pid="3" name="APPELLEE">
    <vt:lpwstr>מדינת ישראל;שקד מעתוק</vt:lpwstr>
  </property>
  <property fmtid="{D5CDD505-2E9C-101B-9397-08002B2CF9AE}" pid="4" name="BOOKGROUPTMP1">
    <vt:lpwstr/>
  </property>
  <property fmtid="{D5CDD505-2E9C-101B-9397-08002B2CF9AE}" pid="5" name="CASESLISTTMP1">
    <vt:lpwstr>20500755:2;5810781;6247882;5571024;5699446;23750920;6128669;20251483;20832660;5687081;5980400;18653810</vt:lpwstr>
  </property>
  <property fmtid="{D5CDD505-2E9C-101B-9397-08002B2CF9AE}" pid="6" name="DATE">
    <vt:lpwstr>20180708</vt:lpwstr>
  </property>
  <property fmtid="{D5CDD505-2E9C-101B-9397-08002B2CF9AE}" pid="7" name="ISABSTRACT">
    <vt:lpwstr>Y</vt:lpwstr>
  </property>
  <property fmtid="{D5CDD505-2E9C-101B-9397-08002B2CF9AE}" pid="8" name="JUDGE">
    <vt:lpwstr>ד' ברק ארז;ע' גרוסקופף;ח' מלצר</vt:lpwstr>
  </property>
  <property fmtid="{D5CDD505-2E9C-101B-9397-08002B2CF9AE}" pid="9" name="LAWLISTTMP1">
    <vt:lpwstr>70301/333:2;031:2;043</vt:lpwstr>
  </property>
  <property fmtid="{D5CDD505-2E9C-101B-9397-08002B2CF9AE}" pid="10" name="LAWYER">
    <vt:lpwstr>עידית פרג'ון;מיכאל כרמל</vt:lpwstr>
  </property>
  <property fmtid="{D5CDD505-2E9C-101B-9397-08002B2CF9AE}" pid="11" name="METAKZER">
    <vt:lpwstr>פאני</vt:lpwstr>
  </property>
  <property fmtid="{D5CDD505-2E9C-101B-9397-08002B2CF9AE}" pid="12" name="NOBOOKNEVO">
    <vt:lpwstr>2344</vt:lpwstr>
  </property>
  <property fmtid="{D5CDD505-2E9C-101B-9397-08002B2CF9AE}" pid="13" name="NOSE11">
    <vt:lpwstr>עונשין</vt:lpwstr>
  </property>
  <property fmtid="{D5CDD505-2E9C-101B-9397-08002B2CF9AE}" pid="14" name="NOSE12">
    <vt:lpwstr>עונשין</vt:lpwstr>
  </property>
  <property fmtid="{D5CDD505-2E9C-101B-9397-08002B2CF9AE}" pid="15" name="NOSE13">
    <vt:lpwstr>עונשין</vt:lpwstr>
  </property>
  <property fmtid="{D5CDD505-2E9C-101B-9397-08002B2CF9AE}" pid="16" name="NOSE1ID">
    <vt:lpwstr>77;77;77</vt:lpwstr>
  </property>
  <property fmtid="{D5CDD505-2E9C-101B-9397-08002B2CF9AE}" pid="17" name="NOSE21">
    <vt:lpwstr>ענישה</vt:lpwstr>
  </property>
  <property fmtid="{D5CDD505-2E9C-101B-9397-08002B2CF9AE}" pid="18" name="NOSE22">
    <vt:lpwstr>ענישה</vt:lpwstr>
  </property>
  <property fmtid="{D5CDD505-2E9C-101B-9397-08002B2CF9AE}" pid="19" name="NOSE23">
    <vt:lpwstr>ענישה</vt:lpwstr>
  </property>
  <property fmtid="{D5CDD505-2E9C-101B-9397-08002B2CF9AE}" pid="20" name="NOSE2ID">
    <vt:lpwstr>1446;1446;1446</vt:lpwstr>
  </property>
  <property fmtid="{D5CDD505-2E9C-101B-9397-08002B2CF9AE}" pid="21" name="NOSE31">
    <vt:lpwstr>מדיניות ענישה: עבירות אלימות</vt:lpwstr>
  </property>
  <property fmtid="{D5CDD505-2E9C-101B-9397-08002B2CF9AE}" pid="22" name="NOSE32">
    <vt:lpwstr>הימנעות מהרשעה</vt:lpwstr>
  </property>
  <property fmtid="{D5CDD505-2E9C-101B-9397-08002B2CF9AE}" pid="23" name="NOSE33">
    <vt:lpwstr>ניכוי ימי מעצר</vt:lpwstr>
  </property>
  <property fmtid="{D5CDD505-2E9C-101B-9397-08002B2CF9AE}" pid="24" name="NOSE3ID">
    <vt:lpwstr>8984;11695;16105</vt:lpwstr>
  </property>
  <property fmtid="{D5CDD505-2E9C-101B-9397-08002B2CF9AE}" pid="25" name="PADIDATE">
    <vt:lpwstr>20180709</vt:lpwstr>
  </property>
  <property fmtid="{D5CDD505-2E9C-101B-9397-08002B2CF9AE}" pid="26" name="PADIMAIL">
    <vt:lpwstr>YES</vt:lpwstr>
  </property>
  <property fmtid="{D5CDD505-2E9C-101B-9397-08002B2CF9AE}" pid="27" name="PROCESS">
    <vt:lpwstr>עפ</vt:lpwstr>
  </property>
  <property fmtid="{D5CDD505-2E9C-101B-9397-08002B2CF9AE}" pid="28" name="PROCNUM">
    <vt:lpwstr>201</vt:lpwstr>
  </property>
  <property fmtid="{D5CDD505-2E9C-101B-9397-08002B2CF9AE}" pid="29" name="PROCYEAR">
    <vt:lpwstr>18</vt:lpwstr>
  </property>
  <property fmtid="{D5CDD505-2E9C-101B-9397-08002B2CF9AE}" pid="30" name="PSAKDIN">
    <vt:lpwstr>פסק-דין</vt:lpwstr>
  </property>
  <property fmtid="{D5CDD505-2E9C-101B-9397-08002B2CF9AE}" pid="31" name="TYPE">
    <vt:lpwstr>1</vt:lpwstr>
  </property>
  <property fmtid="{D5CDD505-2E9C-101B-9397-08002B2CF9AE}" pid="32" name="TYPE_ABS_DATE">
    <vt:lpwstr>410120180708</vt:lpwstr>
  </property>
  <property fmtid="{D5CDD505-2E9C-101B-9397-08002B2CF9AE}" pid="33" name="TYPE_N_DATE">
    <vt:lpwstr>41020180708</vt:lpwstr>
  </property>
  <property fmtid="{D5CDD505-2E9C-101B-9397-08002B2CF9AE}" pid="34" name="WORDNUMPAGES">
    <vt:lpwstr>9</vt:lpwstr>
  </property>
</Properties>
</file>