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2012/17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איידר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קסימובה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1.8.2016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בוסתן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7816-08-14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07.06.2018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נהרי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לביא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inks_Kitvei_Start"/>
      <w:bookmarkStart w:id="7" w:name="Links_End"/>
      <w:bookmarkStart w:id="8" w:name="Links_Kitvei_Start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Kitvei_Start"/>
      <w:bookmarkEnd w:id="10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5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מרים גור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אריה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על ההבחנה בין הכנה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לב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505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לעיתוי ההשלמה של עבירת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  <w:bookmarkStart w:id="11" w:name="Links_Kitvei_End"/>
      <w:bookmarkStart w:id="12" w:name="Links_Kitvei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5" w:name="ABSTRACT_START"/>
      <w:bookmarkEnd w:id="1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בשתי הודעות שמסר המערער די כדי לבסס את הרשעתו בעבירת הניסיון לסחר בנשק וכדי לעמוד במבחן החד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לפיהן גילה המערער באופן 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משמעי את כוונתו לבצע את עבירת הסחר בנשק בכך שכבר סיכם את תנאי העסקה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והיה בנסיעה למסירת הנשק וקבלת התמורה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להתערב במתחמי הענישה שנקבעו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נוכח אי מתן משקל לעובדה כי בעת מעצרו נהגו במערער בדרך בלתי 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ונוכח כך שכיום המערער מקבל אחריות על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המאסר בפועל הופחת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ניסיון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נשק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נמשכות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אחריות פלילית – ריבוי עבירות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חלקי על הכרעת דינו וגזר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במסגרתם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שישה 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רכוש ונשק והושתו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השאר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תקופות מאסר על תנאי ותשלום פיצוי לנפגעי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צמצם את ערעורו כנגד הרשעתו באישום השישי וכנגד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השופטים מזוז ואלרון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קובע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אדם מנסה לעבור עבירה 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לבצעה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עשה מעשה שאין בו הכנה בלבד והעבירה לא הושלמה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הסעיף מבחין בין מצב שבו נעשה מעשה שהוא בגדר ניסיון לעבור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שבגינו ניתן לייחס אחריות פלילית למבצע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מצב שבו נערכו פעולות הכנה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מקימות אחריות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לשם הבחנה בין הכנה לניסיון פותחו שני מבחנים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 הקרבה להשלמת הביצוע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 החד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האישום השישי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נתפס כשברכבו מצויים כלי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בשתי הודעות מתוך שלוש הודעות שמסר המערער די כדי לבסס את הרשעתו בעבירת הניסיון לסחר בנשק וכדי לעמוד במבחן החד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לפיהן גילה המערער באופן 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משמעי את כוונתו לבצע את עבירת הסחר בנשק בכך שכבר סיכם את תנאי העסקה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ראה את העסקה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סגורה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והיה בנסיעה למסירת הנשק וקבלת התמורה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קשר בין עבירת נשיאת הנשק המיוחסת למערער באישום הראשון ובאישום השלישי לעבירה המיוחסת לו באישום השישי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גם מקום לסברה בנסיבות אלו כי העבירה של נשיאת הנשק באישום השישי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נבלעת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כביכול בעבירה המיוחסת למערער באישום השלישי מפאת סמיכות הזמנים בשני האישומים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המצבים בהם נשא המערער בשני האישומים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ואין מדובר בעבירה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נמשכת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הטעונה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 מנתק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המבדיל בין חלקי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קבע מתחם ענישה אחד לאישומים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השלישי והשישי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יג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כותרתו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מבחין בין מצב שבו העבירות מהוות אירוע אחד למצב שבו הן מהוות כמה 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ההבחנה בין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כמה 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נעשית לפי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מבחן הקשר ההדוק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 עבירות שיש ביניהן קשר הדוק תיחשבנה לאירוע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נפל פגם באופן שבו יושם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הגם שניתן למצוא קשר מסוים בין העבירות בכל אחד מן האישומים בדמות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מטרת 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שלשמה בוצעו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פערים משמעותיים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להביא למסקנה כי יש לראות באישומים אירוע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שגגה שנפלה באופן הפעלת מנגנון הבניית שיקול הדעת בענישה מצדיקה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נכון לראות במעשים הרבים המיוחסים לנאשם כאירוע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 צריך להביא בחשבון את כלל המעשים המיוחסים לו באותו אירוע והוא אינו מוגבל לעונש המקסימלי שניתן להשית בגין העבירה החמורה שבעבירות המיוחסות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המערער חמורים ולכך יש להוסיף את עברו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משקל לעובדה כי בעת מעצרו נהגו במערער בדרך בלתי 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מקבל אחריות על אשר 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כולל המאסר המותנה שהופעל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הופחת כך שיעמוד על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8" w:name="PsakDin"/>
            <w:bookmarkStart w:id="19" w:name="BeginProtocol"/>
            <w:bookmarkStart w:id="20" w:name="secretary"/>
            <w:bookmarkEnd w:id="18"/>
            <w:bookmarkEnd w:id="19"/>
            <w:bookmarkEnd w:id="2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1" w:name="Writer_Name"/>
      <w:bookmarkEnd w:id="2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2" w:name="Start_Write"/>
      <w:bookmarkStart w:id="23" w:name="Start_Write"/>
      <w:bookmarkEnd w:id="23"/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1.8.2016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16.1.2017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בוסתן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7816-08-14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10.8.2014</w:t>
      </w:r>
      <w:r>
        <w:rPr>
          <w:rtl w:val="true"/>
        </w:rPr>
        <w:t xml:space="preserve"> </w:t>
      </w:r>
      <w:r>
        <w:rPr>
          <w:rtl w:val="true"/>
        </w:rPr>
        <w:t>הוגש נגד המערער כתב אישום המייחס לו עבירות רכוש ונשק בשישה אישומים</w:t>
      </w:r>
      <w:r>
        <w:rPr>
          <w:rtl w:val="true"/>
        </w:rPr>
        <w:t xml:space="preserve">. </w:t>
      </w:r>
      <w:r>
        <w:rPr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במהלך התקופה שבין חודש נובמבר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 xml:space="preserve">לחודש ינואר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 למשיבה</w:t>
      </w:r>
      <w:r>
        <w:rPr>
          <w:rtl w:val="true"/>
        </w:rPr>
        <w:t xml:space="preserve">, </w:t>
      </w:r>
      <w:r>
        <w:rPr>
          <w:rtl w:val="true"/>
        </w:rPr>
        <w:t>התפרץ המערער לדירת מגורים בראש העין ולקח מתוך כספת שהייתה בדירה אקדח</w:t>
      </w:r>
      <w:r>
        <w:rPr>
          <w:rtl w:val="true"/>
        </w:rPr>
        <w:t xml:space="preserve">, </w:t>
      </w:r>
      <w:r>
        <w:rPr>
          <w:rtl w:val="true"/>
        </w:rPr>
        <w:t>מחסניות תואמות לאקדח</w:t>
      </w:r>
      <w:r>
        <w:rPr>
          <w:rtl w:val="true"/>
        </w:rPr>
        <w:t xml:space="preserve">, </w:t>
      </w:r>
      <w:r>
        <w:rPr>
          <w:rtl w:val="true"/>
        </w:rPr>
        <w:t>נרתיק לאקדח</w:t>
      </w:r>
      <w:r>
        <w:rPr>
          <w:rtl w:val="true"/>
        </w:rPr>
        <w:t xml:space="preserve">, </w:t>
      </w:r>
      <w:r>
        <w:rPr>
          <w:rtl w:val="true"/>
        </w:rPr>
        <w:t>קופסת תחמושת וכסף מזומן</w:t>
      </w:r>
      <w:r>
        <w:rPr>
          <w:rtl w:val="true"/>
        </w:rPr>
        <w:t xml:space="preserve">. </w:t>
      </w:r>
      <w:r>
        <w:rPr>
          <w:rtl w:val="true"/>
        </w:rPr>
        <w:t xml:space="preserve">בגין אישום זה יוחסו למערער עבירות של התפרצות למקום מגורים לפי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גניבה לפי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ונשיאת והובלת נשק ותחמושת בלא רשות על פי דין לפי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לחוק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8.5.2014</w:t>
      </w:r>
      <w:r>
        <w:rPr>
          <w:rtl w:val="true"/>
        </w:rPr>
        <w:t xml:space="preserve"> </w:t>
      </w:r>
      <w:r>
        <w:rPr>
          <w:rtl w:val="true"/>
        </w:rPr>
        <w:t>התפרץ המערער לדירה בהוד השרון כשהוא רעול פנים</w:t>
      </w:r>
      <w:r>
        <w:rPr>
          <w:rtl w:val="true"/>
        </w:rPr>
        <w:t xml:space="preserve">, </w:t>
      </w:r>
      <w:r>
        <w:rPr>
          <w:rtl w:val="true"/>
        </w:rPr>
        <w:t>לובש כפפות על ידיו ונושא אקדח בכיס מכנסיו</w:t>
      </w:r>
      <w:r>
        <w:rPr>
          <w:rtl w:val="true"/>
        </w:rPr>
        <w:t xml:space="preserve">, </w:t>
      </w:r>
      <w:r>
        <w:rPr>
          <w:rtl w:val="true"/>
        </w:rPr>
        <w:t>כאשר ברשותו אזיקונים וסכין</w:t>
      </w:r>
      <w:r>
        <w:rPr>
          <w:rtl w:val="true"/>
        </w:rPr>
        <w:t xml:space="preserve">. </w:t>
      </w:r>
      <w:r>
        <w:rPr>
          <w:rtl w:val="true"/>
        </w:rPr>
        <w:t>הוא נכנס לחדרה של בתם של בעלי הבית</w:t>
      </w:r>
      <w:r>
        <w:rPr>
          <w:rtl w:val="true"/>
        </w:rPr>
        <w:t xml:space="preserve">, </w:t>
      </w:r>
      <w:r>
        <w:rPr>
          <w:rtl w:val="true"/>
        </w:rPr>
        <w:t>קשר את רגליה וידיה באמצעות אזיקונים והסיר ממנה תכשיטי זהב שהיו עליה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משלא השיבה לשאלתו על אודות מיקומה של הכספת בדירה</w:t>
      </w:r>
      <w:r>
        <w:rPr>
          <w:rtl w:val="true"/>
        </w:rPr>
        <w:t xml:space="preserve">, </w:t>
      </w:r>
      <w:r>
        <w:rPr>
          <w:rtl w:val="true"/>
        </w:rPr>
        <w:t>הניח המערער על צווארה אזיקון עד אשר סיפרה כי הכספת מצויה בחדר השינה של הוריה</w:t>
      </w:r>
      <w:r>
        <w:rPr>
          <w:rtl w:val="true"/>
        </w:rPr>
        <w:t xml:space="preserve">. </w:t>
      </w:r>
      <w:r>
        <w:rPr>
          <w:rtl w:val="true"/>
        </w:rPr>
        <w:t>המערער פנה לחדר השינה של ההורים ולאחר מספר ניסיונות לפתיחת הכספת הביא פטיש גדול ובאמצעותו פירק אותה ממקומה</w:t>
      </w:r>
      <w:r>
        <w:rPr>
          <w:rtl w:val="true"/>
        </w:rPr>
        <w:t xml:space="preserve">, </w:t>
      </w:r>
      <w:r>
        <w:rPr>
          <w:rtl w:val="true"/>
        </w:rPr>
        <w:t>נשא אותה עמו ויצא מהדירה</w:t>
      </w:r>
      <w:r>
        <w:rPr>
          <w:rtl w:val="true"/>
        </w:rPr>
        <w:t xml:space="preserve">. </w:t>
      </w:r>
      <w:r>
        <w:rPr>
          <w:rtl w:val="true"/>
        </w:rPr>
        <w:t xml:space="preserve">הכספת הכילה תכשיטים ושעונים בשווי של </w:t>
      </w:r>
      <w:r>
        <w:rPr/>
        <w:t>160,000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וכן כסף מזומן בסכום של אלפי שקלים נוספים</w:t>
      </w:r>
      <w:r>
        <w:rPr>
          <w:rtl w:val="true"/>
        </w:rPr>
        <w:t xml:space="preserve">. </w:t>
      </w:r>
      <w:r>
        <w:rPr>
          <w:rtl w:val="true"/>
        </w:rPr>
        <w:t xml:space="preserve">בגין אישום זה יוחסו למערער עבירות של התפרצות למקום מגורים לפי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ושוד לפי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13.7.2014</w:t>
      </w:r>
      <w:r>
        <w:rPr>
          <w:rtl w:val="true"/>
        </w:rPr>
        <w:t xml:space="preserve"> </w:t>
      </w:r>
      <w:r>
        <w:rPr>
          <w:rtl w:val="true"/>
        </w:rPr>
        <w:t>טיפס המערער ונכנס לבית בזכרון יעקב דרך חלון במרפסת</w:t>
      </w:r>
      <w:r>
        <w:rPr>
          <w:rtl w:val="true"/>
        </w:rPr>
        <w:t xml:space="preserve">, </w:t>
      </w:r>
      <w:r>
        <w:rPr>
          <w:rtl w:val="true"/>
        </w:rPr>
        <w:t>פתח כספת שהייתה בו ולקח מתוכה כסף ואקדח</w:t>
      </w:r>
      <w:r>
        <w:rPr>
          <w:rtl w:val="true"/>
        </w:rPr>
        <w:t xml:space="preserve">. </w:t>
      </w:r>
      <w:r>
        <w:rPr>
          <w:rtl w:val="true"/>
        </w:rPr>
        <w:t xml:space="preserve">בגין אישום זה יוחסו למערער עבירות של התפרצות למקום מגורים לפי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גניבה לפי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ונשיאת והובלת נשק בלא רשות על פי דין לפי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19.7.2014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אותר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שהוצא נגדו צו מעצר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ידי שוטרים בתוך רכב בתחנת דלק בכניסה לטייבה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משניגש אליו שוטר וביקש ממנו להזדהות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נגח המערער בראשו בבטנו של השוטר ודחף אותו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השוטר הפיל את המערער לקרקע אך הוא נאבק בו והצליח להתחמק מאחיזתו תוך שימוש באלימות ולברוח מהמקום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בגין אישום זה יוחסה למערער עבירה של תקיפת שוטר בנסיבות מחמירות לפי </w:t>
      </w:r>
      <w:hyperlink r:id="rId3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274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22.7.2014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חדר המערער לבית בתל אביב ונטל מתוך חדר השינה שבו תכשיטים ושעונים השייכים לבני הבית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למחרת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23.7.2018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שוב התפרץ המערער לאותו הבית כשהוא רעול פנים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כפפות על ידיו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ונושא עמו אקדח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סכין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תרסיס פלפל ואזיקונים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המערער ריסס את בני הזוג אשר התגוררו בבית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בני </w:t>
      </w:r>
      <w:r>
        <w:rPr>
          <w:rFonts w:cs="Century" w:ascii="Century" w:hAnsi="Century"/>
          <w:sz w:val="22"/>
        </w:rPr>
        <w:t>55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65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בגז פלפל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היכה אותם וחבט בהם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קשר את ידיהם באזיקונים ודרש מהם לומר לו היכן נמצאת הכספת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מכן נטל המערער מחדר השינה תכשיטי זהב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שעונים וקופסה ובה שטרות כסף ישן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ויצא מהבית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כתוצאה ממעשיו נגרמו לבני הזוג חבלות רבות</w:t>
      </w:r>
      <w:r>
        <w:rPr>
          <w:rtl w:val="true"/>
        </w:rPr>
        <w:t xml:space="preserve">. </w:t>
      </w:r>
      <w:r>
        <w:rPr>
          <w:rtl w:val="true"/>
        </w:rPr>
        <w:t xml:space="preserve">בגין אישום זה יוחסו למערער עבירות של התפרצות למקום מגורים לפי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גניבה לפי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שוד לפי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חבלה חמורה בנסיבות מחמירות לפי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ופציעה בנסיבות מחמירות לפי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23.7.2014</w:t>
      </w:r>
      <w:r>
        <w:rPr>
          <w:rtl w:val="true"/>
        </w:rPr>
        <w:t xml:space="preserve">, </w:t>
      </w:r>
      <w:r>
        <w:rPr>
          <w:rtl w:val="true"/>
        </w:rPr>
        <w:t>אותו היום בו בוצעו המעשים המתוארים באישום החמישי</w:t>
      </w:r>
      <w:r>
        <w:rPr>
          <w:rtl w:val="true"/>
        </w:rPr>
        <w:t xml:space="preserve">, </w:t>
      </w:r>
      <w:r>
        <w:rPr>
          <w:rtl w:val="true"/>
        </w:rPr>
        <w:t xml:space="preserve">נעצר המערער בעקבות מידע מודיעיני בפתח תקווה כשהוא נושא עמו ברכבו שני אקדחים </w:t>
      </w:r>
      <w:r>
        <w:rPr>
          <w:rtl w:val="true"/>
        </w:rPr>
        <w:t>(</w:t>
      </w:r>
      <w:r>
        <w:rPr>
          <w:rtl w:val="true"/>
        </w:rPr>
        <w:t>אשר נגנבו במסגרת האישום הראשון והשלישי</w:t>
      </w:r>
      <w:r>
        <w:rPr>
          <w:rtl w:val="true"/>
        </w:rPr>
        <w:t xml:space="preserve">),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מסכה לפנים</w:t>
      </w:r>
      <w:r>
        <w:rPr>
          <w:rtl w:val="true"/>
        </w:rPr>
        <w:t xml:space="preserve">, </w:t>
      </w:r>
      <w:r>
        <w:rPr>
          <w:rtl w:val="true"/>
        </w:rPr>
        <w:t>תרסיס גז פלפל</w:t>
      </w:r>
      <w:r>
        <w:rPr>
          <w:rtl w:val="true"/>
        </w:rPr>
        <w:t xml:space="preserve">, </w:t>
      </w:r>
      <w:r>
        <w:rPr>
          <w:rtl w:val="true"/>
        </w:rPr>
        <w:t>חבילת אזיקונים ונרתיק של אקדח</w:t>
      </w:r>
      <w:r>
        <w:rPr>
          <w:rtl w:val="true"/>
        </w:rPr>
        <w:t xml:space="preserve">. </w:t>
      </w:r>
      <w:r>
        <w:rPr>
          <w:rtl w:val="true"/>
        </w:rPr>
        <w:t xml:space="preserve">כן נשא המערער סכום של </w:t>
      </w:r>
      <w:r>
        <w:rPr/>
        <w:t>10,753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תכשיטים רבים ושעונים </w:t>
      </w:r>
      <w:r>
        <w:rPr>
          <w:rtl w:val="true"/>
        </w:rPr>
        <w:t>(</w:t>
      </w:r>
      <w:r>
        <w:rPr>
          <w:rtl w:val="true"/>
        </w:rPr>
        <w:t>אשר חלקם נגנבו במסגרת השוד המתואר באישום החמישי</w:t>
      </w:r>
      <w:r>
        <w:rPr>
          <w:rtl w:val="true"/>
        </w:rPr>
        <w:t xml:space="preserve">). </w:t>
      </w:r>
      <w:r>
        <w:rPr>
          <w:rtl w:val="true"/>
        </w:rPr>
        <w:t>המערער היה בדרכו למכור את האקדחים</w:t>
      </w:r>
      <w:r>
        <w:rPr>
          <w:rtl w:val="true"/>
        </w:rPr>
        <w:t xml:space="preserve">. </w:t>
      </w:r>
      <w:r>
        <w:rPr>
          <w:rtl w:val="true"/>
        </w:rPr>
        <w:t xml:space="preserve">בגין אישום זה יוחסו למערער עבירות של נשיאת והובלת נשק ותחמושת בלא רשות על פי דין לפי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ניסיון לסחור בנשק לפי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והחזקת סכין שלא כדין לפי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אקדים את המאוחר ואציין כי המערער הורשע בכל העבירות שיוחסו לו והגיש ערעור על חלק מהאישומים שהורשע בהם ועל גזר הדין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המערער חזר בו מרוב הערעור שהגיש נגד הכרעת הדין</w:t>
      </w:r>
      <w:r>
        <w:rPr>
          <w:rtl w:val="true"/>
        </w:rPr>
        <w:t xml:space="preserve">, </w:t>
      </w:r>
      <w:r>
        <w:rPr>
          <w:rtl w:val="true"/>
        </w:rPr>
        <w:t>וצמצם את הערעור על הכרעת הדין בעניין האישום השישי ועל גזר הדין בלבד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הדיון סביב הכרעת הדין יתמקד באישום השישי בלבד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13.4.2015</w:t>
      </w:r>
      <w:r>
        <w:rPr>
          <w:rtl w:val="true"/>
        </w:rPr>
        <w:t xml:space="preserve"> </w:t>
      </w:r>
      <w:r>
        <w:rPr>
          <w:rtl w:val="true"/>
        </w:rPr>
        <w:t>התקיים דיון לפני בית המשפט המחוזי במסגרתו השיב המערער לכתב האישום</w:t>
      </w:r>
      <w:r>
        <w:rPr>
          <w:rtl w:val="true"/>
        </w:rPr>
        <w:t xml:space="preserve">. </w:t>
      </w:r>
      <w:r>
        <w:rPr>
          <w:rtl w:val="true"/>
        </w:rPr>
        <w:t>באשר לאישום הראשון ולאישום השלישי הודה המערער בקבלת נכס שהושג בעוון ובהחזקת נשק</w:t>
      </w:r>
      <w:r>
        <w:rPr>
          <w:rtl w:val="true"/>
        </w:rPr>
        <w:t xml:space="preserve">, </w:t>
      </w:r>
      <w:r>
        <w:rPr>
          <w:rtl w:val="true"/>
        </w:rPr>
        <w:t>וכפר בהתפרצות לדירה ובגניבה</w:t>
      </w:r>
      <w:r>
        <w:rPr>
          <w:rtl w:val="true"/>
        </w:rPr>
        <w:t xml:space="preserve">. </w:t>
      </w:r>
      <w:r>
        <w:rPr>
          <w:rtl w:val="true"/>
        </w:rPr>
        <w:t>באשר לאישום השני והחמישי כפר המערער בכל המיוחס לו</w:t>
      </w:r>
      <w:r>
        <w:rPr>
          <w:rtl w:val="true"/>
        </w:rPr>
        <w:t xml:space="preserve">. </w:t>
      </w:r>
      <w:r>
        <w:rPr>
          <w:rtl w:val="true"/>
        </w:rPr>
        <w:t>באשר לאישום הרביעי טען המערער כי הוא הוכה על ידי שוטרים בעת מעצרו</w:t>
      </w:r>
      <w:r>
        <w:rPr>
          <w:rtl w:val="true"/>
        </w:rPr>
        <w:t xml:space="preserve">, </w:t>
      </w:r>
      <w:r>
        <w:rPr>
          <w:rtl w:val="true"/>
        </w:rPr>
        <w:t xml:space="preserve">ובהיעדר </w:t>
      </w:r>
      <w:r>
        <w:rPr>
          <w:rtl w:val="true"/>
        </w:rPr>
        <w:t>"</w:t>
      </w:r>
      <w:r>
        <w:rPr>
          <w:rtl w:val="true"/>
        </w:rPr>
        <w:t>אישור שפיטה</w:t>
      </w:r>
      <w:r>
        <w:rPr>
          <w:rtl w:val="true"/>
        </w:rPr>
        <w:t>" (</w:t>
      </w:r>
      <w:r>
        <w:rPr>
          <w:rtl w:val="true"/>
        </w:rPr>
        <w:t>כנדרש בהתאם להנחיות פרקליט המדינה</w:t>
      </w:r>
      <w:r>
        <w:rPr>
          <w:rtl w:val="true"/>
        </w:rPr>
        <w:t xml:space="preserve">) </w:t>
      </w:r>
      <w:r>
        <w:rPr>
          <w:rtl w:val="true"/>
        </w:rPr>
        <w:t>ביקש לבטל את האישום</w:t>
      </w:r>
      <w:r>
        <w:rPr>
          <w:rtl w:val="true"/>
        </w:rPr>
        <w:t xml:space="preserve">. </w:t>
      </w:r>
      <w:r>
        <w:rPr>
          <w:rtl w:val="true"/>
        </w:rPr>
        <w:t>באשר לאישום השישי הודה המערער בהחזקת נשק וסכין</w:t>
      </w:r>
      <w:r>
        <w:rPr>
          <w:rtl w:val="true"/>
        </w:rPr>
        <w:t xml:space="preserve">, </w:t>
      </w:r>
      <w:r>
        <w:rPr>
          <w:rtl w:val="true"/>
        </w:rPr>
        <w:t>וכפר בניסיון לסחר בנשק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באותו הדיון העלה בא</w:t>
      </w:r>
      <w:r>
        <w:rPr>
          <w:rtl w:val="true"/>
        </w:rPr>
        <w:t>-</w:t>
      </w:r>
      <w:r>
        <w:rPr>
          <w:rtl w:val="true"/>
        </w:rPr>
        <w:t xml:space="preserve">כוח המערער </w:t>
      </w:r>
      <w:r>
        <w:rPr>
          <w:rtl w:val="true"/>
        </w:rPr>
        <w:t>"</w:t>
      </w:r>
      <w:r>
        <w:rPr>
          <w:rtl w:val="true"/>
        </w:rPr>
        <w:t>טענת זוטא</w:t>
      </w:r>
      <w:r>
        <w:rPr>
          <w:rtl w:val="true"/>
        </w:rPr>
        <w:t xml:space="preserve">", </w:t>
      </w:r>
      <w:r>
        <w:rPr>
          <w:rtl w:val="true"/>
        </w:rPr>
        <w:t>לפיה בעת מעצרו הוכה המערער קשות ואושפז בבית חולים</w:t>
      </w:r>
      <w:r>
        <w:rPr>
          <w:rtl w:val="true"/>
        </w:rPr>
        <w:t xml:space="preserve">, </w:t>
      </w:r>
      <w:r>
        <w:rPr>
          <w:rtl w:val="true"/>
        </w:rPr>
        <w:t>והשוטרים אף איימו עליו שיפגעו ברעייתו ויעצרו אותה</w:t>
      </w:r>
      <w:r>
        <w:rPr>
          <w:rtl w:val="true"/>
        </w:rPr>
        <w:t xml:space="preserve">. </w:t>
      </w:r>
      <w:r>
        <w:rPr>
          <w:rtl w:val="true"/>
        </w:rPr>
        <w:t>הוסכם כי הטענה תידון במאוחד עם ההליך העיקרי ולא באופן נפרד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26.4.2015</w:t>
      </w:r>
      <w:r>
        <w:rPr>
          <w:rtl w:val="true"/>
        </w:rPr>
        <w:t xml:space="preserve"> </w:t>
      </w:r>
      <w:r>
        <w:rPr>
          <w:rtl w:val="true"/>
        </w:rPr>
        <w:t>נפתח שלב שמיעת הראיות במשפט</w:t>
      </w:r>
      <w:r>
        <w:rPr>
          <w:rtl w:val="true"/>
        </w:rPr>
        <w:t xml:space="preserve">. </w:t>
      </w:r>
      <w:r>
        <w:rPr>
          <w:rtl w:val="true"/>
        </w:rPr>
        <w:t>במסגרת פרשת התביעה הובאו לעדות עדי התביעה ובהם שוטרים</w:t>
      </w:r>
      <w:r>
        <w:rPr>
          <w:rtl w:val="true"/>
        </w:rPr>
        <w:t xml:space="preserve">, </w:t>
      </w:r>
      <w:r>
        <w:rPr>
          <w:rtl w:val="true"/>
        </w:rPr>
        <w:t>חוקרים משטרתיים ונפגעי העבירות</w:t>
      </w:r>
      <w:r>
        <w:rPr>
          <w:rtl w:val="true"/>
        </w:rPr>
        <w:t xml:space="preserve">. </w:t>
      </w:r>
      <w:r>
        <w:rPr>
          <w:rtl w:val="true"/>
        </w:rPr>
        <w:t>במסגרת זו העידו השוטרים שהשתתפו במעצר המערער</w:t>
      </w:r>
      <w:r>
        <w:rPr>
          <w:rtl w:val="true"/>
        </w:rPr>
        <w:t xml:space="preserve">, </w:t>
      </w:r>
      <w:r>
        <w:rPr>
          <w:rtl w:val="true"/>
        </w:rPr>
        <w:t>וציינו בהתייחס לטענת הזוטא כי המערער אכן נחבל בראשו בעת מעצרו ונדרש לטיפול רפואי</w:t>
      </w:r>
      <w:r>
        <w:rPr>
          <w:rtl w:val="true"/>
        </w:rPr>
        <w:t xml:space="preserve">, </w:t>
      </w:r>
      <w:r>
        <w:rPr>
          <w:rtl w:val="true"/>
        </w:rPr>
        <w:t>אולם הפעלת הכוח כלפיו הייתה מחויבת המציאות לצורך השתלטות עליו</w:t>
      </w:r>
      <w:r>
        <w:rPr>
          <w:rtl w:val="true"/>
        </w:rPr>
        <w:t xml:space="preserve">. </w:t>
      </w:r>
      <w:r>
        <w:rPr>
          <w:rtl w:val="true"/>
        </w:rPr>
        <w:t>בין השוטרים המשתתפים במעצר אשר הובאו לעדות היה שוטר שערך והגיש דו</w:t>
      </w:r>
      <w:r>
        <w:rPr>
          <w:rtl w:val="true"/>
        </w:rPr>
        <w:t>"</w:t>
      </w:r>
      <w:r>
        <w:rPr>
          <w:rtl w:val="true"/>
        </w:rPr>
        <w:t>ח פעולה בו נרשם כי בעת המעצר נמצא בכיסו של המערער מפתח לרכב</w:t>
      </w:r>
      <w:r>
        <w:rPr>
          <w:rtl w:val="true"/>
        </w:rPr>
        <w:t xml:space="preserve">, </w:t>
      </w:r>
      <w:r>
        <w:rPr>
          <w:rtl w:val="true"/>
        </w:rPr>
        <w:t>ולאחר איתור הרכב נערך בו חיפוש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כן הובא לעדות החוקר המשטרתי אשר גבה את ההודעה הראשונה שמסר המערער מיד מחזרתו מבית החולים בליל אותו היום שבו נעצר</w:t>
      </w:r>
      <w:r>
        <w:rPr>
          <w:rtl w:val="true"/>
        </w:rPr>
        <w:t xml:space="preserve">. </w:t>
      </w:r>
      <w:r>
        <w:rPr>
          <w:rtl w:val="true"/>
        </w:rPr>
        <w:t>בהודעה זו</w:t>
      </w:r>
      <w:r>
        <w:rPr>
          <w:rtl w:val="true"/>
        </w:rPr>
        <w:t xml:space="preserve">, </w:t>
      </w:r>
      <w:r>
        <w:rPr>
          <w:rtl w:val="true"/>
        </w:rPr>
        <w:t>שסומנה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מסר המערער בין היתר</w:t>
      </w:r>
      <w:r>
        <w:rPr>
          <w:rtl w:val="true"/>
        </w:rPr>
        <w:t xml:space="preserve">, </w:t>
      </w:r>
      <w:r>
        <w:rPr>
          <w:rtl w:val="true"/>
        </w:rPr>
        <w:t>כי האקדחים שנמצאו ברכבו היו גנובים</w:t>
      </w:r>
      <w:r>
        <w:rPr>
          <w:rtl w:val="true"/>
        </w:rPr>
        <w:t xml:space="preserve">; </w:t>
      </w:r>
      <w:r>
        <w:rPr>
          <w:rtl w:val="true"/>
        </w:rPr>
        <w:t>כי אקדח אחד נגנב כחצי שנה קודם לכן מראש העין והשני נגנב ארבעה ימים קודם לכן מכפר תבור</w:t>
      </w:r>
      <w:r>
        <w:rPr>
          <w:rtl w:val="true"/>
        </w:rPr>
        <w:t xml:space="preserve">; </w:t>
      </w:r>
      <w:r>
        <w:rPr>
          <w:rtl w:val="true"/>
        </w:rPr>
        <w:t>כי גם הסכין שנמצאה ברכבו נגנבה מכפר תבור</w:t>
      </w:r>
      <w:r>
        <w:rPr>
          <w:rtl w:val="true"/>
        </w:rPr>
        <w:t xml:space="preserve">; </w:t>
      </w:r>
      <w:r>
        <w:rPr>
          <w:rtl w:val="true"/>
        </w:rPr>
        <w:t>כי יתכן שהאזיקונים שנתפסו ברכבו קשורים לעבודתו</w:t>
      </w:r>
      <w:r>
        <w:rPr>
          <w:rtl w:val="true"/>
        </w:rPr>
        <w:t xml:space="preserve">; </w:t>
      </w:r>
      <w:r>
        <w:rPr>
          <w:rtl w:val="true"/>
        </w:rPr>
        <w:t>כי אינו יודע של מי התכשיטים שנתפסו ברכבו</w:t>
      </w:r>
      <w:r>
        <w:rPr>
          <w:rtl w:val="true"/>
        </w:rPr>
        <w:t xml:space="preserve">; </w:t>
      </w:r>
      <w:r>
        <w:rPr>
          <w:rtl w:val="true"/>
        </w:rPr>
        <w:t>כי הוא התכוון למכור את הרכוש והאקדחים שהיו ברכב בטייבה אך לא ציין למי</w:t>
      </w:r>
      <w:r>
        <w:rPr>
          <w:rtl w:val="true"/>
        </w:rPr>
        <w:t xml:space="preserve">; </w:t>
      </w:r>
      <w:r>
        <w:rPr>
          <w:rtl w:val="true"/>
        </w:rPr>
        <w:t xml:space="preserve">כי הוא לא זוכר אם פרץ לדירות נוספות כי </w:t>
      </w:r>
      <w:r>
        <w:rPr>
          <w:rtl w:val="true"/>
        </w:rPr>
        <w:t>"</w:t>
      </w:r>
      <w:r>
        <w:rPr>
          <w:rtl w:val="true"/>
        </w:rPr>
        <w:t>קיבלתי מכה בראש</w:t>
      </w:r>
      <w:r>
        <w:rPr>
          <w:rtl w:val="true"/>
        </w:rPr>
        <w:t xml:space="preserve">. </w:t>
      </w:r>
      <w:r>
        <w:rPr>
          <w:rtl w:val="true"/>
        </w:rPr>
        <w:t>טוב שאני זוכר את השם שלי</w:t>
      </w:r>
      <w:r>
        <w:rPr>
          <w:rtl w:val="true"/>
        </w:rPr>
        <w:t xml:space="preserve">, </w:t>
      </w:r>
      <w:r>
        <w:rPr>
          <w:rtl w:val="true"/>
        </w:rPr>
        <w:t>זה כבר הרבה</w:t>
      </w:r>
      <w:r>
        <w:rPr>
          <w:rtl w:val="true"/>
        </w:rPr>
        <w:t xml:space="preserve">". </w:t>
      </w:r>
      <w:r>
        <w:rPr>
          <w:rtl w:val="true"/>
        </w:rPr>
        <w:t>בפתח עדות זו הצהיר בא</w:t>
      </w:r>
      <w:r>
        <w:rPr>
          <w:rtl w:val="true"/>
        </w:rPr>
        <w:t>-</w:t>
      </w:r>
      <w:r>
        <w:rPr>
          <w:rtl w:val="true"/>
        </w:rPr>
        <w:t xml:space="preserve">כוח המערער לפני בית המשפט כי טענת </w:t>
      </w:r>
      <w:r>
        <w:rPr>
          <w:rFonts w:ascii="Century" w:hAnsi="Century" w:cs="Century"/>
          <w:sz w:val="22"/>
          <w:sz w:val="22"/>
          <w:rtl w:val="true"/>
        </w:rPr>
        <w:t>הזוטא אינה מתייחסת להודעה 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עד תביעה מרכזי נוסף מטעם המשיבה היה השוטר עוזי בואני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בואני</w:t>
      </w:r>
      <w:r>
        <w:rPr>
          <w:rtl w:val="true"/>
        </w:rPr>
        <w:t xml:space="preserve">), </w:t>
      </w:r>
      <w:r>
        <w:rPr>
          <w:rtl w:val="true"/>
        </w:rPr>
        <w:t xml:space="preserve">אשר הובא לעדות על מנת להגיש שני דוחות פעולה אותם ערך בחודש יוני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הקשורים לחקירת האירועים המתוארים באישום השני</w:t>
      </w:r>
      <w:r>
        <w:rPr>
          <w:rtl w:val="true"/>
        </w:rPr>
        <w:t xml:space="preserve">. </w:t>
      </w:r>
      <w:r>
        <w:rPr>
          <w:rtl w:val="true"/>
        </w:rPr>
        <w:t xml:space="preserve">במהלך חקירתו הנגדית התברר כי הוא נכח הן בניסיון מעצר המערער ביום </w:t>
      </w:r>
      <w:r>
        <w:rPr/>
        <w:t>19.4.2014</w:t>
      </w:r>
      <w:r>
        <w:rPr>
          <w:rtl w:val="true"/>
        </w:rPr>
        <w:t xml:space="preserve"> </w:t>
      </w:r>
      <w:r>
        <w:rPr>
          <w:rtl w:val="true"/>
        </w:rPr>
        <w:t xml:space="preserve">והן עם המערער בבית החולים לאחר מעצרו ביום </w:t>
      </w:r>
      <w:r>
        <w:rPr/>
        <w:t>23.7.2014</w:t>
      </w:r>
      <w:r>
        <w:rPr>
          <w:rtl w:val="true"/>
        </w:rPr>
        <w:t xml:space="preserve">, </w:t>
      </w:r>
      <w:r>
        <w:rPr>
          <w:rtl w:val="true"/>
        </w:rPr>
        <w:t>וזאת מבלי שרשם דו</w:t>
      </w:r>
      <w:r>
        <w:rPr>
          <w:rtl w:val="true"/>
        </w:rPr>
        <w:t>"</w:t>
      </w:r>
      <w:r>
        <w:rPr>
          <w:rtl w:val="true"/>
        </w:rPr>
        <w:t>ח על פעולות אלה</w:t>
      </w:r>
      <w:r>
        <w:rPr>
          <w:rtl w:val="true"/>
        </w:rPr>
        <w:t xml:space="preserve">. </w:t>
      </w:r>
      <w:r>
        <w:rPr>
          <w:rtl w:val="true"/>
        </w:rPr>
        <w:t>עוד עלה מחקירת השוטר בואני</w:t>
      </w:r>
      <w:r>
        <w:rPr>
          <w:rtl w:val="true"/>
        </w:rPr>
        <w:t xml:space="preserve">, </w:t>
      </w:r>
      <w:r>
        <w:rPr>
          <w:rtl w:val="true"/>
        </w:rPr>
        <w:t>כי במהלך שהותו עם המערער בבית החולים ובתחנת המשטרה</w:t>
      </w:r>
      <w:r>
        <w:rPr>
          <w:rtl w:val="true"/>
        </w:rPr>
        <w:t xml:space="preserve">, </w:t>
      </w:r>
      <w:r>
        <w:rPr>
          <w:rtl w:val="true"/>
        </w:rPr>
        <w:t>הוא כיסה את עיני המערער במגבת כי לא רצה ש</w:t>
      </w:r>
      <w:r>
        <w:rPr>
          <w:rtl w:val="true"/>
        </w:rPr>
        <w:t>"</w:t>
      </w:r>
      <w:r>
        <w:rPr>
          <w:rtl w:val="true"/>
        </w:rPr>
        <w:t>יראה כמה דברים</w:t>
      </w:r>
      <w:r>
        <w:rPr>
          <w:rtl w:val="true"/>
        </w:rPr>
        <w:t xml:space="preserve">", </w:t>
      </w:r>
      <w:r>
        <w:rPr>
          <w:rtl w:val="true"/>
        </w:rPr>
        <w:t>וכשנשאל על פי איזה נוהל פעל</w:t>
      </w:r>
      <w:r>
        <w:rPr>
          <w:rtl w:val="true"/>
        </w:rPr>
        <w:t xml:space="preserve">, </w:t>
      </w:r>
      <w:r>
        <w:rPr>
          <w:rtl w:val="true"/>
        </w:rPr>
        <w:t xml:space="preserve">השיב </w:t>
      </w:r>
      <w:r>
        <w:rPr>
          <w:rtl w:val="true"/>
        </w:rPr>
        <w:t>"</w:t>
      </w:r>
      <w:r>
        <w:rPr>
          <w:rtl w:val="true"/>
        </w:rPr>
        <w:t>אצלי יש נוהל כזה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 כי במהלך שלב שמיעת הראיות במשפט</w:t>
      </w:r>
      <w:r>
        <w:rPr>
          <w:rtl w:val="true"/>
        </w:rPr>
        <w:t xml:space="preserve">, </w:t>
      </w:r>
      <w:r>
        <w:rPr>
          <w:rtl w:val="true"/>
        </w:rPr>
        <w:t>לאחר חקירת השוטר שגבה את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ולפני חקירת השוטר בואני</w:t>
      </w:r>
      <w:r>
        <w:rPr>
          <w:rtl w:val="true"/>
        </w:rPr>
        <w:t xml:space="preserve">, </w:t>
      </w:r>
      <w:r>
        <w:rPr>
          <w:rtl w:val="true"/>
        </w:rPr>
        <w:t>הוחלף בא</w:t>
      </w:r>
      <w:r>
        <w:rPr>
          <w:rtl w:val="true"/>
        </w:rPr>
        <w:t>-</w:t>
      </w:r>
      <w:r>
        <w:rPr>
          <w:rtl w:val="true"/>
        </w:rPr>
        <w:t>כוח המערער בשל אי אלו מחלוקות בינו לבין המערער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בפתח עדותו העיד המערער על אודות נסיבות מעצרו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בשעות הערב של יום מעצרו הגיע לפתח תקווה על מנת להיפגש עם אדם כלשהו</w:t>
      </w:r>
      <w:r>
        <w:rPr>
          <w:rtl w:val="true"/>
        </w:rPr>
        <w:t xml:space="preserve">. </w:t>
      </w:r>
      <w:r>
        <w:rPr>
          <w:rtl w:val="true"/>
        </w:rPr>
        <w:t>משהגיע לנקודת המפגש התנפלו עליו מספר שוטרים</w:t>
      </w:r>
      <w:r>
        <w:rPr>
          <w:rtl w:val="true"/>
        </w:rPr>
        <w:t xml:space="preserve">, </w:t>
      </w:r>
      <w:r>
        <w:rPr>
          <w:rtl w:val="true"/>
        </w:rPr>
        <w:t>היכו אותו מכות קשות שגרמו לו לדמם בראשו ובעקבות זאת הוא נשלח לבית החולים</w:t>
      </w:r>
      <w:r>
        <w:rPr>
          <w:rtl w:val="true"/>
        </w:rPr>
        <w:t xml:space="preserve">. </w:t>
      </w:r>
      <w:r>
        <w:rPr>
          <w:rtl w:val="true"/>
        </w:rPr>
        <w:t>כן העיד כי בנוסף על הדברים שסיפר השוטר בואני</w:t>
      </w:r>
      <w:r>
        <w:rPr>
          <w:rtl w:val="true"/>
        </w:rPr>
        <w:t xml:space="preserve">, </w:t>
      </w:r>
      <w:r>
        <w:rPr>
          <w:rtl w:val="true"/>
        </w:rPr>
        <w:t>הוא גם הוכה על ידי השוטרים בנסיעה מבית החולים לתחנת המשטרה ובתחנה עצמה</w:t>
      </w:r>
      <w:r>
        <w:rPr>
          <w:rtl w:val="true"/>
        </w:rPr>
        <w:t xml:space="preserve">. </w:t>
      </w:r>
      <w:r>
        <w:rPr>
          <w:rtl w:val="true"/>
        </w:rPr>
        <w:t xml:space="preserve">בסביבות השעה </w:t>
      </w:r>
      <w:r>
        <w:rPr/>
        <w:t>3:00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לאחר שניקו את המערער מהדימום שנגרם לו</w:t>
      </w:r>
      <w:r>
        <w:rPr>
          <w:rtl w:val="true"/>
        </w:rPr>
        <w:t xml:space="preserve">, </w:t>
      </w:r>
      <w:r>
        <w:rPr>
          <w:rtl w:val="true"/>
        </w:rPr>
        <w:t xml:space="preserve">החלו לגבות ממנו את הודעתו הראשונה </w:t>
      </w:r>
      <w:r>
        <w:rPr>
          <w:rtl w:val="true"/>
        </w:rPr>
        <w:t>–</w:t>
      </w:r>
      <w:r>
        <w:rPr>
          <w:rtl w:val="true"/>
        </w:rPr>
        <w:t xml:space="preserve">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בתחילה ביקשו ממנו להסביר את הימצאותם של הפריטים ברכבו</w:t>
      </w:r>
      <w:r>
        <w:rPr>
          <w:rtl w:val="true"/>
        </w:rPr>
        <w:t xml:space="preserve">, </w:t>
      </w:r>
      <w:r>
        <w:rPr>
          <w:rtl w:val="true"/>
        </w:rPr>
        <w:t>אך לאחר שהשיב כי הדברים לא שלו והוא לא יודע דבר לגביהם</w:t>
      </w:r>
      <w:r>
        <w:rPr>
          <w:rtl w:val="true"/>
        </w:rPr>
        <w:t xml:space="preserve">, </w:t>
      </w:r>
      <w:r>
        <w:rPr>
          <w:rtl w:val="true"/>
        </w:rPr>
        <w:t>הוכה בשנית והם אף איימו עליו כי יפגעו באשתו ובמשפחתו</w:t>
      </w:r>
      <w:r>
        <w:rPr>
          <w:rtl w:val="true"/>
        </w:rPr>
        <w:t xml:space="preserve">. </w:t>
      </w:r>
      <w:r>
        <w:rPr>
          <w:rtl w:val="true"/>
        </w:rPr>
        <w:t>כתוצאה מכך חש המערער פחד והשפלה</w:t>
      </w:r>
      <w:r>
        <w:rPr>
          <w:rtl w:val="true"/>
        </w:rPr>
        <w:t xml:space="preserve">, </w:t>
      </w:r>
      <w:r>
        <w:rPr>
          <w:rtl w:val="true"/>
        </w:rPr>
        <w:t>והחל להודות במעשים שלא ביצע</w:t>
      </w:r>
      <w:r>
        <w:rPr>
          <w:rtl w:val="true"/>
        </w:rPr>
        <w:t xml:space="preserve">. </w:t>
      </w:r>
      <w:r>
        <w:rPr>
          <w:rtl w:val="true"/>
        </w:rPr>
        <w:t>כן ציין המערער כי בניגוד לדברים שמסר בהודעה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האקדחים שנמצאו באמתחתו נמסרו לו מאדם אחר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בפתח חקירתו הנגדית נשאל המערער על אודות התשובה שמסר בא</w:t>
      </w:r>
      <w:r>
        <w:rPr>
          <w:rtl w:val="true"/>
        </w:rPr>
        <w:t>-</w:t>
      </w:r>
      <w:r>
        <w:rPr>
          <w:rtl w:val="true"/>
        </w:rPr>
        <w:t>כוחו לכתב האישום</w:t>
      </w:r>
      <w:r>
        <w:rPr>
          <w:rtl w:val="true"/>
        </w:rPr>
        <w:t xml:space="preserve">. </w:t>
      </w:r>
      <w:r>
        <w:rPr>
          <w:rtl w:val="true"/>
        </w:rPr>
        <w:t>המערער אישר את הדברים ככל שהם נוגעים לאישומים הראשון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השלישי והחמישי</w:t>
      </w:r>
      <w:r>
        <w:rPr>
          <w:rtl w:val="true"/>
        </w:rPr>
        <w:t xml:space="preserve">. </w:t>
      </w:r>
      <w:r>
        <w:rPr>
          <w:rtl w:val="true"/>
        </w:rPr>
        <w:t>ביחס לאישום הרביעי</w:t>
      </w:r>
      <w:r>
        <w:rPr>
          <w:rtl w:val="true"/>
        </w:rPr>
        <w:t xml:space="preserve">, </w:t>
      </w:r>
      <w:r>
        <w:rPr>
          <w:rtl w:val="true"/>
        </w:rPr>
        <w:t>טען המערער כי נודע לו שהאדם אותו תקף הוא שוטר רק לאחר שהצליח לחמוק ממנו</w:t>
      </w:r>
      <w:r>
        <w:rPr>
          <w:rtl w:val="true"/>
        </w:rPr>
        <w:t xml:space="preserve">. </w:t>
      </w:r>
      <w:r>
        <w:rPr>
          <w:rtl w:val="true"/>
        </w:rPr>
        <w:t>באשר לאישום השישי</w:t>
      </w:r>
      <w:r>
        <w:rPr>
          <w:rtl w:val="true"/>
        </w:rPr>
        <w:t xml:space="preserve">, </w:t>
      </w:r>
      <w:r>
        <w:rPr>
          <w:rtl w:val="true"/>
        </w:rPr>
        <w:t>הודה המערער בהחזקת נשק וכפר בהחזקת הסכין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בסיכומים שהוגשו מטעם המערער נטען כי מעצרו ויתר הפעולות שבוצעו באותו היום נעשו תוך שימוש באמצעים פסולים</w:t>
      </w:r>
      <w:r>
        <w:rPr>
          <w:rtl w:val="true"/>
        </w:rPr>
        <w:t xml:space="preserve">, </w:t>
      </w:r>
      <w:r>
        <w:rPr>
          <w:rtl w:val="true"/>
        </w:rPr>
        <w:t>באלימות ובהשפלה חמורה ביותר</w:t>
      </w:r>
      <w:r>
        <w:rPr>
          <w:rtl w:val="true"/>
        </w:rPr>
        <w:t xml:space="preserve">, </w:t>
      </w:r>
      <w:r>
        <w:rPr>
          <w:rtl w:val="true"/>
        </w:rPr>
        <w:t>ותוך התעלמות מזכויותיו הבסיסיות</w:t>
      </w:r>
      <w:r>
        <w:rPr>
          <w:rtl w:val="true"/>
        </w:rPr>
        <w:t xml:space="preserve">. </w:t>
      </w:r>
      <w:r>
        <w:rPr>
          <w:rtl w:val="true"/>
        </w:rPr>
        <w:t>נטען כי התנהלות זו של הרשות החוקרת יורדת לשורשו של עניין ומשליכה באופן ישיר על מהימנות עדי התביעה</w:t>
      </w:r>
      <w:r>
        <w:rPr>
          <w:rtl w:val="true"/>
        </w:rPr>
        <w:t xml:space="preserve">, </w:t>
      </w:r>
      <w:r>
        <w:rPr>
          <w:rtl w:val="true"/>
        </w:rPr>
        <w:t>על אשמת המערער ועל הודעותיו במשטרה</w:t>
      </w:r>
      <w:r>
        <w:rPr>
          <w:rtl w:val="true"/>
        </w:rPr>
        <w:t xml:space="preserve">, </w:t>
      </w:r>
      <w:r>
        <w:rPr>
          <w:rtl w:val="true"/>
        </w:rPr>
        <w:t>ויש בה כדי לפסול את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ואף כדי להוביל לזיכויו בשל </w:t>
      </w:r>
      <w:r>
        <w:rPr>
          <w:rtl w:val="true"/>
        </w:rPr>
        <w:t>"</w:t>
      </w:r>
      <w:r>
        <w:rPr>
          <w:rtl w:val="true"/>
        </w:rPr>
        <w:t>הגנה מן הצדק</w:t>
      </w:r>
      <w:r>
        <w:rPr>
          <w:rtl w:val="true"/>
        </w:rPr>
        <w:t xml:space="preserve">". </w:t>
      </w:r>
      <w:r>
        <w:rPr>
          <w:rtl w:val="true"/>
        </w:rPr>
        <w:t>נטען עוד כי יש בהתנהלות זו כדי להשליך גם על חוקיות החיפוש שנעשה ברכבו לאחר מעצרו</w:t>
      </w:r>
      <w:r>
        <w:rPr>
          <w:rtl w:val="true"/>
        </w:rPr>
        <w:t xml:space="preserve">, </w:t>
      </w:r>
      <w:r>
        <w:rPr>
          <w:rtl w:val="true"/>
        </w:rPr>
        <w:t>אשר מכל מקום היה בלתי חוקי מפני שנעשה ללא צו שיפוטי</w:t>
      </w:r>
      <w:r>
        <w:rPr>
          <w:rtl w:val="true"/>
        </w:rPr>
        <w:t xml:space="preserve">, </w:t>
      </w:r>
      <w:r>
        <w:rPr>
          <w:rtl w:val="true"/>
        </w:rPr>
        <w:t>ללא ידיעתו ובלא הסכמתו</w:t>
      </w:r>
      <w:r>
        <w:rPr>
          <w:rtl w:val="true"/>
        </w:rPr>
        <w:t xml:space="preserve">, </w:t>
      </w:r>
      <w:r>
        <w:rPr>
          <w:rtl w:val="true"/>
        </w:rPr>
        <w:t>ללא נוכחות עדים וללא תיעוד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כי המשיבה לא עמדה בנטל הוכחת האשמה וכי גרסתו של המערער</w:t>
      </w:r>
      <w:r>
        <w:rPr>
          <w:rtl w:val="true"/>
        </w:rPr>
        <w:t xml:space="preserve">, </w:t>
      </w:r>
      <w:r>
        <w:rPr>
          <w:rtl w:val="true"/>
        </w:rPr>
        <w:t>לפיה אדם אחר מסר לו את הפריטים</w:t>
      </w:r>
      <w:r>
        <w:rPr>
          <w:rtl w:val="true"/>
        </w:rPr>
        <w:t xml:space="preserve">, </w:t>
      </w:r>
      <w:r>
        <w:rPr>
          <w:rtl w:val="true"/>
        </w:rPr>
        <w:t>היא הגרסה ההגיונית והמתיישבת עם חומר הראיות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1.8.2016</w:t>
      </w:r>
      <w:r>
        <w:rPr>
          <w:rtl w:val="true"/>
        </w:rPr>
        <w:t xml:space="preserve"> </w:t>
      </w:r>
      <w:r>
        <w:rPr>
          <w:rtl w:val="true"/>
        </w:rPr>
        <w:t>ניתנה הכרעת הדין בעניינו של המערער</w:t>
      </w:r>
      <w:r>
        <w:rPr>
          <w:rtl w:val="true"/>
        </w:rPr>
        <w:t xml:space="preserve">. </w:t>
      </w:r>
      <w:r>
        <w:rPr>
          <w:rtl w:val="true"/>
        </w:rPr>
        <w:t>תחילה התייחס בית המשפט לטענת הזוטא שהעלה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ופסק כי הגם שהתנהלות השוטר בואני </w:t>
      </w:r>
      <w:r>
        <w:rPr>
          <w:rtl w:val="true"/>
        </w:rPr>
        <w:t>(</w:t>
      </w:r>
      <w:r>
        <w:rPr>
          <w:rtl w:val="true"/>
        </w:rPr>
        <w:t>ורק הוא</w:t>
      </w:r>
      <w:r>
        <w:rPr>
          <w:rtl w:val="true"/>
        </w:rPr>
        <w:t xml:space="preserve">) </w:t>
      </w:r>
      <w:r>
        <w:rPr>
          <w:rtl w:val="true"/>
        </w:rPr>
        <w:t>הייתה בלתי ראויה בלשון המעטה</w:t>
      </w:r>
      <w:r>
        <w:rPr>
          <w:rtl w:val="true"/>
        </w:rPr>
        <w:t xml:space="preserve">, </w:t>
      </w:r>
      <w:r>
        <w:rPr>
          <w:rtl w:val="true"/>
        </w:rPr>
        <w:t>אין לפסול את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הן מטעם דיוני והן מטעם מהותי</w:t>
      </w:r>
      <w:r>
        <w:rPr>
          <w:rtl w:val="true"/>
        </w:rPr>
        <w:t xml:space="preserve">. </w:t>
      </w:r>
      <w:r>
        <w:rPr>
          <w:rtl w:val="true"/>
        </w:rPr>
        <w:t>מבחינה דיונית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החדש של המערער לא הודיע לבית המשפט כי הצהרת בא</w:t>
      </w:r>
      <w:r>
        <w:rPr>
          <w:rtl w:val="true"/>
        </w:rPr>
        <w:t>-</w:t>
      </w:r>
      <w:r>
        <w:rPr>
          <w:rtl w:val="true"/>
        </w:rPr>
        <w:t>כוחו הקודם</w:t>
      </w:r>
      <w:r>
        <w:rPr>
          <w:rtl w:val="true"/>
        </w:rPr>
        <w:t xml:space="preserve">, </w:t>
      </w:r>
      <w:r>
        <w:rPr>
          <w:rtl w:val="true"/>
        </w:rPr>
        <w:t>לפיה טענת הזוטא אינה נוגעת להודעה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אינה נכונה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איש מהשוטרים שהשתתפו במעצר המערער או בחקירתו במשטרה לא נשאל על אלימות שהופעלה כלפיו בבית החולים או בתחנת המשטרה</w:t>
      </w:r>
      <w:r>
        <w:rPr>
          <w:rtl w:val="true"/>
        </w:rPr>
        <w:t xml:space="preserve">, </w:t>
      </w:r>
      <w:r>
        <w:rPr>
          <w:rtl w:val="true"/>
        </w:rPr>
        <w:t>והטענה הועלתה על ידי המערער לראשונה רק במהלך עדותו בבית המשפט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לבא</w:t>
      </w:r>
      <w:r>
        <w:rPr>
          <w:rtl w:val="true"/>
        </w:rPr>
        <w:t>-</w:t>
      </w:r>
      <w:r>
        <w:rPr>
          <w:rtl w:val="true"/>
        </w:rPr>
        <w:t>כוחו החדש ניתנה ההזדמנות להחזיר את כל השוטרים שכבר העידו לעדות נוספת נוכח החלפת הייצוג</w:t>
      </w:r>
      <w:r>
        <w:rPr>
          <w:rtl w:val="true"/>
        </w:rPr>
        <w:t xml:space="preserve">, </w:t>
      </w:r>
      <w:r>
        <w:rPr>
          <w:rtl w:val="true"/>
        </w:rPr>
        <w:t>אך הוא לא ניצל הזדמנות זו</w:t>
      </w:r>
      <w:r>
        <w:rPr>
          <w:rtl w:val="true"/>
        </w:rPr>
        <w:t xml:space="preserve">. </w:t>
      </w:r>
      <w:r>
        <w:rPr>
          <w:rtl w:val="true"/>
        </w:rPr>
        <w:t>הוא טען כי הסיבה לכך היא שיש לייחס לשוטרים חוסר אמון ועל כן עדותם ממילא לא הייתה מועילה</w:t>
      </w:r>
      <w:r>
        <w:rPr>
          <w:rtl w:val="true"/>
        </w:rPr>
        <w:t xml:space="preserve">, </w:t>
      </w:r>
      <w:r>
        <w:rPr>
          <w:rtl w:val="true"/>
        </w:rPr>
        <w:t>אולם בית המשפט דחה טענה זו</w:t>
      </w:r>
      <w:r>
        <w:rPr>
          <w:rtl w:val="true"/>
        </w:rPr>
        <w:t xml:space="preserve">. </w:t>
      </w:r>
      <w:r>
        <w:rPr>
          <w:rtl w:val="true"/>
        </w:rPr>
        <w:t>מבחינה מהותית</w:t>
      </w:r>
      <w:r>
        <w:rPr>
          <w:rtl w:val="true"/>
        </w:rPr>
        <w:t xml:space="preserve">, </w:t>
      </w:r>
      <w:r>
        <w:rPr>
          <w:rtl w:val="true"/>
        </w:rPr>
        <w:t>נקבע כי לא היה בכיסוי העיניים כדי לפגוע בזכות המערער לחיסיון מפני הפללה עצמית</w:t>
      </w:r>
      <w:r>
        <w:rPr>
          <w:rtl w:val="true"/>
        </w:rPr>
        <w:t xml:space="preserve">, </w:t>
      </w:r>
      <w:r>
        <w:rPr>
          <w:rtl w:val="true"/>
        </w:rPr>
        <w:t>שכן הדבר נעשה על ידי שוטר אחד בלבד</w:t>
      </w:r>
      <w:r>
        <w:rPr>
          <w:rtl w:val="true"/>
        </w:rPr>
        <w:t xml:space="preserve">, </w:t>
      </w:r>
      <w:r>
        <w:rPr>
          <w:rtl w:val="true"/>
        </w:rPr>
        <w:t>ומכל מקום במסגרת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אין הודאה בביצוע מעשי השוד המיוחסים לו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נקבע כי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קבילה וניתנה באופן חופשי ומרצון וכי אין לשעות לטענות בדבר פסילתה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כן דחה בית המשפט את טענות המערער בדבר חוקיות החיפוש ברכבו</w:t>
      </w:r>
      <w:r>
        <w:rPr>
          <w:rtl w:val="true"/>
        </w:rPr>
        <w:t xml:space="preserve">. </w:t>
      </w:r>
      <w:r>
        <w:rPr>
          <w:rtl w:val="true"/>
        </w:rPr>
        <w:t>נקבע כי לשוטרים היה יסוד סביר להניח כי בוצעה עבירה בת מעצר וכי היה צורך לבצע חיפוש דחוף לשם איתור ראיה הקשורה בעבירה</w:t>
      </w:r>
      <w:r>
        <w:rPr>
          <w:rtl w:val="true"/>
        </w:rPr>
        <w:t xml:space="preserve">, </w:t>
      </w:r>
      <w:r>
        <w:rPr>
          <w:rtl w:val="true"/>
        </w:rPr>
        <w:t>ויש בכך כדי להכשיר את החיפוש</w:t>
      </w:r>
      <w:r>
        <w:rPr>
          <w:rtl w:val="true"/>
        </w:rPr>
        <w:t xml:space="preserve">. </w:t>
      </w:r>
      <w:r>
        <w:rPr>
          <w:rtl w:val="true"/>
        </w:rPr>
        <w:t>בתוך כך דחה בית המשפט את טענת המערער כי יש בהתנהלות השוטרים כדי להשליך גם על חוקיות החיפוש ברכב</w:t>
      </w:r>
      <w:r>
        <w:rPr>
          <w:rtl w:val="true"/>
        </w:rPr>
        <w:t xml:space="preserve">. </w:t>
      </w:r>
      <w:r>
        <w:rPr>
          <w:rtl w:val="true"/>
        </w:rPr>
        <w:t>נקבע כי הגם שאין להקל ראש בהתנהלות השוטר בואני</w:t>
      </w:r>
      <w:r>
        <w:rPr>
          <w:rtl w:val="true"/>
        </w:rPr>
        <w:t xml:space="preserve">, </w:t>
      </w:r>
      <w:r>
        <w:rPr>
          <w:rtl w:val="true"/>
        </w:rPr>
        <w:t>לא הוכח כי שאר השוטרים היו שותפים להתנהלותו וידעו עליה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החיפוש ברכב נעשה על ידי שוטרים שנותרו במקום בזמן שפונה המערער לבית החולים</w:t>
      </w:r>
      <w:r>
        <w:rPr>
          <w:rtl w:val="true"/>
        </w:rPr>
        <w:t xml:space="preserve">, </w:t>
      </w:r>
      <w:r>
        <w:rPr>
          <w:rtl w:val="true"/>
        </w:rPr>
        <w:t>ועל כן אין לקשור בין המקרים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לגופם של האישומים</w:t>
      </w:r>
      <w:r>
        <w:rPr>
          <w:rtl w:val="true"/>
        </w:rPr>
        <w:t xml:space="preserve">, </w:t>
      </w:r>
      <w:r>
        <w:rPr>
          <w:rtl w:val="true"/>
        </w:rPr>
        <w:t>בית המשפט קבע כי המשיבה הוכיחה שהמערער ביצע את המעשים המיוחסים לו בכל ששת האישומים</w:t>
      </w:r>
      <w:r>
        <w:rPr>
          <w:rtl w:val="true"/>
        </w:rPr>
        <w:t xml:space="preserve">, </w:t>
      </w:r>
      <w:r>
        <w:rPr>
          <w:rtl w:val="true"/>
        </w:rPr>
        <w:t>תוך שהוא דוחה את שלל טענות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באשר לאישום השישי </w:t>
      </w:r>
      <w:r>
        <w:rPr>
          <w:rtl w:val="true"/>
        </w:rPr>
        <w:t>(</w:t>
      </w:r>
      <w:r>
        <w:rPr>
          <w:rtl w:val="true"/>
        </w:rPr>
        <w:t>השנוי כאמור במחלוקת</w:t>
      </w:r>
      <w:r>
        <w:rPr>
          <w:rtl w:val="true"/>
        </w:rPr>
        <w:t xml:space="preserve">) </w:t>
      </w:r>
      <w:r>
        <w:rPr>
          <w:rtl w:val="true"/>
        </w:rPr>
        <w:t>נקבע כי קיימות סתירות בעדות המערער באשר למקור החפצים שנתפסו ברכבו ובאשר לסיבה שלשמה הם היו מצויים בחזקתו</w:t>
      </w:r>
      <w:r>
        <w:rPr>
          <w:rtl w:val="true"/>
        </w:rPr>
        <w:t xml:space="preserve">. </w:t>
      </w:r>
      <w:r>
        <w:rPr>
          <w:rtl w:val="true"/>
        </w:rPr>
        <w:t>כן נקבע כי על בסיס מספר הודעות שמסר המערער בצירוף הפריטים שנתפסו אצלו בחיפוש ברכבו</w:t>
      </w:r>
      <w:r>
        <w:rPr>
          <w:rtl w:val="true"/>
        </w:rPr>
        <w:t xml:space="preserve">, </w:t>
      </w:r>
      <w:r>
        <w:rPr>
          <w:rtl w:val="true"/>
        </w:rPr>
        <w:t>הוכיחה המשיבה את גרסתה לפיה המערער התכוון למכור את כלי הנשק שנתפסו אצלו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16.1.2017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עונשו של המערער</w:t>
      </w:r>
      <w:r>
        <w:rPr>
          <w:rtl w:val="true"/>
        </w:rPr>
        <w:t xml:space="preserve">. </w:t>
      </w:r>
      <w:r>
        <w:rPr>
          <w:rtl w:val="true"/>
        </w:rPr>
        <w:t>תחילה נקבע כי ששת האישומים עוסקים בשישה אירועים שונים</w:t>
      </w:r>
      <w:r>
        <w:rPr>
          <w:rtl w:val="true"/>
        </w:rPr>
        <w:t xml:space="preserve">, </w:t>
      </w:r>
      <w:r>
        <w:rPr>
          <w:rtl w:val="true"/>
        </w:rPr>
        <w:t>ולכן לא ניתן לראות בהם אירועים בעלי קשר הדוק המצדיקים קביעת מתחם אחד</w:t>
      </w:r>
      <w:r>
        <w:rPr>
          <w:rtl w:val="true"/>
        </w:rPr>
        <w:t xml:space="preserve">. </w:t>
      </w:r>
      <w:r>
        <w:rPr>
          <w:rtl w:val="true"/>
        </w:rPr>
        <w:t>האירועים שונים זה מזה בזמן הביצוע ובמקום הביצוע</w:t>
      </w:r>
      <w:r>
        <w:rPr>
          <w:rtl w:val="true"/>
        </w:rPr>
        <w:t xml:space="preserve">, </w:t>
      </w:r>
      <w:r>
        <w:rPr>
          <w:rtl w:val="true"/>
        </w:rPr>
        <w:t>ואף הנסיבות הקשורות בביצוע העבירות שונות מאירוע לאירוע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נקבע כי לגבי האישומים הראשון והשלישי מתחם העונש צריך להיות זהה בשל הדמיון הרב בין המעשים והשיקולים שיש לשקול בקביעת המתחם</w:t>
      </w:r>
      <w:r>
        <w:rPr>
          <w:rtl w:val="true"/>
        </w:rPr>
        <w:t xml:space="preserve">, </w:t>
      </w:r>
      <w:r>
        <w:rPr>
          <w:rtl w:val="true"/>
        </w:rPr>
        <w:t>אולם לא כך באשר לאישומים השני והחמישי</w:t>
      </w:r>
      <w:r>
        <w:rPr>
          <w:rtl w:val="true"/>
        </w:rPr>
        <w:t xml:space="preserve">, </w:t>
      </w:r>
      <w:r>
        <w:rPr>
          <w:rtl w:val="true"/>
        </w:rPr>
        <w:t>שלמרות הדמיון ביניהם נסיבות האישום החמישי חמורות יותר</w:t>
      </w:r>
      <w:r>
        <w:rPr>
          <w:rtl w:val="true"/>
        </w:rPr>
        <w:t xml:space="preserve">. </w:t>
      </w:r>
      <w:r>
        <w:rPr>
          <w:rtl w:val="true"/>
        </w:rPr>
        <w:t>עוד נקבע כי בנסיבות האירועים שבהם הורשע המערער</w:t>
      </w:r>
      <w:r>
        <w:rPr>
          <w:rtl w:val="true"/>
        </w:rPr>
        <w:t xml:space="preserve">, </w:t>
      </w:r>
      <w:r>
        <w:rPr>
          <w:rtl w:val="true"/>
        </w:rPr>
        <w:t>הפגיעה בערכים המוגנים כתוצאה מעבירות הרכוש והגוף הייתה ברף גבוה</w:t>
      </w:r>
      <w:r>
        <w:rPr>
          <w:rtl w:val="true"/>
        </w:rPr>
        <w:t xml:space="preserve">, </w:t>
      </w:r>
      <w:r>
        <w:rPr>
          <w:rtl w:val="true"/>
        </w:rPr>
        <w:t>ואילו הפגיעה בשלטון החוק הייתה ברף הבינוני</w:t>
      </w:r>
      <w:r>
        <w:rPr>
          <w:rtl w:val="true"/>
        </w:rPr>
        <w:t xml:space="preserve">. </w:t>
      </w:r>
      <w:r>
        <w:rPr>
          <w:rtl w:val="true"/>
        </w:rPr>
        <w:t>בהתחשב בכל האמור ובמדיניות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קבע בית המשפט כי מתחם העונש ההולם בכל אחד מהאישומים הראשון והשלישי הוא בין שנה לשנתיים מאסר בפועל</w:t>
      </w:r>
      <w:r>
        <w:rPr>
          <w:rtl w:val="true"/>
        </w:rPr>
        <w:t xml:space="preserve">; </w:t>
      </w:r>
      <w:r>
        <w:rPr>
          <w:rtl w:val="true"/>
        </w:rPr>
        <w:t>באישום השני הוא בין שנתיים לחמש 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באישום הרביעי הוא בין מאסר על תנאי לבין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באישום החמישי הוא בין ארבע לשמונה שנות מאסר בפועל</w:t>
      </w:r>
      <w:r>
        <w:rPr>
          <w:rtl w:val="true"/>
        </w:rPr>
        <w:t xml:space="preserve">; </w:t>
      </w:r>
      <w:r>
        <w:rPr>
          <w:rtl w:val="true"/>
        </w:rPr>
        <w:t>באישום השישי הוא בין שנה לשלוש שנות מאסר בפועל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קביעת מתחמי הענישה סקר בית המשפט את השיקולים לחומרה בקביעת עונשו של המערער ובהם עברו הפלילי והעובדה שהוא לא לקח אחריות על מעשיו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מצא בית המשפט כי יש להתחשב לקולא בנסיבות חייו הקשות של המערער ובעובדה שבמעצרו נהגו בו בדרך בלתי ראויה</w:t>
      </w:r>
      <w:r>
        <w:rPr>
          <w:rtl w:val="true"/>
        </w:rPr>
        <w:t xml:space="preserve">. </w:t>
      </w:r>
      <w:r>
        <w:rPr>
          <w:rtl w:val="true"/>
        </w:rPr>
        <w:t>לאחר שקלול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השית בית המשפט על המערער מאסר בפועל לתקופה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הפעלת המאסר המותנה שהושת עליו בהליך קודם למשך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שירוצה במצטבר</w:t>
      </w:r>
      <w:r>
        <w:rPr>
          <w:rtl w:val="true"/>
        </w:rPr>
        <w:t xml:space="preserve">; </w:t>
      </w:r>
      <w:r>
        <w:rPr>
          <w:rtl w:val="true"/>
        </w:rPr>
        <w:t xml:space="preserve">מאסר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על תנאי שלא יעבור עבירה מסוג פשע למשך שלוש שנים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מאסר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על תנאי שלא יעבור עבירה מסוג עוון למשך שלוש שנים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פיצוי לנפגעת העבירה מהוד השרון בסך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ופיצוי לבני הזוג מתל אביב בסך של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חילוט רכב המערער וחילוט סך של </w:t>
      </w:r>
      <w:r>
        <w:rPr/>
        <w:t>10,753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שנתפסו על גופו בעת מעצרו</w:t>
      </w:r>
      <w:r>
        <w:rPr>
          <w:rtl w:val="true"/>
        </w:rPr>
        <w:t xml:space="preserve">. </w:t>
      </w:r>
      <w:r>
        <w:rPr>
          <w:rtl w:val="true"/>
        </w:rPr>
        <w:t>צוין כי בשל מצבו הכלכלי של המערער ובשל חילוט הרכב והכספים כאמור</w:t>
      </w:r>
      <w:r>
        <w:rPr>
          <w:rtl w:val="true"/>
        </w:rPr>
        <w:t xml:space="preserve">, </w:t>
      </w:r>
      <w:r>
        <w:rPr>
          <w:rtl w:val="true"/>
        </w:rPr>
        <w:t>לא הוטל עליו קנס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חזר בו מהערעור על רובה של הכרעת הדין וצמצם את ערעורו כנגד הרשעתו באישום השישי וכנגד גזר הדין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לאישום השישי נטען תחילה כי יש לפסול את הודאת המערער במשטרה במסגרת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משום שהיא אינה עומדת בתנאים שנקבעו </w:t>
      </w:r>
      <w:hyperlink r:id="rId5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 xml:space="preserve">לאור כלל הפסילה הפסיקתי שהוכר במסגרת </w:t>
      </w:r>
      <w:hyperlink r:id="rId5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5121/98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יששכרוב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התובע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הצבאי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 סא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461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). </w:t>
      </w:r>
      <w:r>
        <w:rPr>
          <w:rtl w:val="true"/>
        </w:rPr>
        <w:t>לפי הטענה</w:t>
      </w:r>
      <w:r>
        <w:rPr>
          <w:rtl w:val="true"/>
        </w:rPr>
        <w:t xml:space="preserve">, </w:t>
      </w:r>
      <w:r>
        <w:rPr>
          <w:rtl w:val="true"/>
        </w:rPr>
        <w:t>ההודעה נגבתה לאחר שננקטו נגד המערער פעולות אלימות והשפלה מצד המשטרה אשר הביאו אותו להזדקק לטיפול רפואי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נדרש להשפעתם של אלה על יכולתו למסור הודעה כנה ואמיתית מתוך רצון חופשי</w:t>
      </w:r>
      <w:r>
        <w:rPr>
          <w:rtl w:val="true"/>
        </w:rPr>
        <w:t xml:space="preserve">. </w:t>
      </w:r>
      <w:r>
        <w:rPr>
          <w:rtl w:val="true"/>
        </w:rPr>
        <w:t>כן שגה בית המשפט כשדחה את טענתו לפסילת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מהטעם שהיא הועלתה בניגוד להצהרת בא</w:t>
      </w:r>
      <w:r>
        <w:rPr>
          <w:rtl w:val="true"/>
        </w:rPr>
        <w:t>-</w:t>
      </w:r>
      <w:r>
        <w:rPr>
          <w:rtl w:val="true"/>
        </w:rPr>
        <w:t>כוחו הראשון ומהטעם שהיא אינה כוללת הודאה בביצוע מעשי השוד המיוחסים לו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אין בכוחן של הנמקות אלה כדי לסתום את הגולל על טענתו</w:t>
      </w:r>
      <w:r>
        <w:rPr>
          <w:rtl w:val="true"/>
        </w:rPr>
        <w:t xml:space="preserve">, </w:t>
      </w:r>
      <w:r>
        <w:rPr>
          <w:rtl w:val="true"/>
        </w:rPr>
        <w:t>במיוחד נוכח הדברים שעלו מחקירת השוטר בואני</w:t>
      </w:r>
      <w:r>
        <w:rPr>
          <w:rtl w:val="true"/>
        </w:rPr>
        <w:t xml:space="preserve">. </w:t>
      </w:r>
      <w:r>
        <w:rPr>
          <w:rtl w:val="true"/>
        </w:rPr>
        <w:t xml:space="preserve">גם הקביעה כי מכיוון שהאמצעים הפסולים ננקטו רק על ידי שוטר אחד ולא על ידי כולם </w:t>
      </w:r>
      <w:r>
        <w:rPr>
          <w:rtl w:val="true"/>
        </w:rPr>
        <w:t>–</w:t>
      </w:r>
      <w:r>
        <w:rPr>
          <w:rtl w:val="true"/>
        </w:rPr>
        <w:t xml:space="preserve"> אין לפסול את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שגויה היא</w:t>
      </w:r>
      <w:r>
        <w:rPr>
          <w:rtl w:val="true"/>
        </w:rPr>
        <w:t xml:space="preserve">.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יש בעובדה שאף אחד מהשוטרים האחרים לא מנע ממנו לפעול כפי שפעל או למצער ניסה לתעד אותו</w:t>
      </w:r>
      <w:r>
        <w:rPr>
          <w:rtl w:val="true"/>
        </w:rPr>
        <w:t xml:space="preserve">, </w:t>
      </w:r>
      <w:r>
        <w:rPr>
          <w:rtl w:val="true"/>
        </w:rPr>
        <w:t>כדי לזקוף את המעשים גם לחובתם</w:t>
      </w:r>
      <w:r>
        <w:rPr>
          <w:rtl w:val="true"/>
        </w:rPr>
        <w:t xml:space="preserve">. </w:t>
      </w:r>
      <w:r>
        <w:rPr>
          <w:rtl w:val="true"/>
        </w:rPr>
        <w:t>אך למעלה מכך</w:t>
      </w:r>
      <w:r>
        <w:rPr>
          <w:rtl w:val="true"/>
        </w:rPr>
        <w:t xml:space="preserve">, </w:t>
      </w:r>
      <w:r>
        <w:rPr>
          <w:rtl w:val="true"/>
        </w:rPr>
        <w:t>אף אם היה מקום לקבל כראיה את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אין בדברים שנאמרו בה כדי להוכיח כי המעשים המיוחסים לו עברו משלב ההכנה לשלב הניסיון לבצעם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בנוסף טען המערער כי שגה בית המשפט כשדחה את טענתו לאי חוקיות החיפוש ברכבו</w:t>
      </w:r>
      <w:r>
        <w:rPr>
          <w:rtl w:val="true"/>
        </w:rPr>
        <w:t xml:space="preserve">. </w:t>
      </w:r>
      <w:r>
        <w:rPr>
          <w:rtl w:val="true"/>
        </w:rPr>
        <w:t>נטען כי מדוחות הנוגעים לחיפוש עולה סתירה בנוגע לזהות השוטרים שהשתתפו בחיפוש ולגורם שנתן את ההוראה לבצעו</w:t>
      </w:r>
      <w:r>
        <w:rPr>
          <w:rtl w:val="true"/>
        </w:rPr>
        <w:t xml:space="preserve">, </w:t>
      </w:r>
      <w:r>
        <w:rPr>
          <w:rtl w:val="true"/>
        </w:rPr>
        <w:t>וסתירה כזו אינה יכולה לעמוד לרעת המערער בהתחשב בהתנהלות הכוללת של המשטרה בעניינו</w:t>
      </w:r>
      <w:r>
        <w:rPr>
          <w:rtl w:val="true"/>
        </w:rPr>
        <w:t xml:space="preserve">. </w:t>
      </w:r>
      <w:r>
        <w:rPr>
          <w:rtl w:val="true"/>
        </w:rPr>
        <w:t>במצב דברים שכזה על המשיבה הנטל להוכיח את חוקיות החיפוש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העובדה שהיה למשטרה מידע מודיעיני על אודות מיקומו של המערער מלמדת כי היה באפשרותה להוציא צו חיפוש מבעוד מועד</w:t>
      </w:r>
      <w:r>
        <w:rPr>
          <w:rtl w:val="true"/>
        </w:rPr>
        <w:t xml:space="preserve">, </w:t>
      </w:r>
      <w:r>
        <w:rPr>
          <w:rtl w:val="true"/>
        </w:rPr>
        <w:t>ומכל מקום ה</w:t>
      </w:r>
      <w:r>
        <w:rPr>
          <w:rtl w:val="true"/>
        </w:rPr>
        <w:t>"</w:t>
      </w:r>
      <w:r>
        <w:rPr>
          <w:rtl w:val="true"/>
        </w:rPr>
        <w:t>חשד הסביר</w:t>
      </w:r>
      <w:r>
        <w:rPr>
          <w:rtl w:val="true"/>
        </w:rPr>
        <w:t xml:space="preserve">" </w:t>
      </w:r>
      <w:r>
        <w:rPr>
          <w:rtl w:val="true"/>
        </w:rPr>
        <w:t>המצדיק כביכול את החיפוש גובש על בסיס תשובת המערער לשאלת השוטרים כי אין במכנסיו דבר</w:t>
      </w:r>
      <w:r>
        <w:rPr>
          <w:rtl w:val="true"/>
        </w:rPr>
        <w:t xml:space="preserve">, </w:t>
      </w:r>
      <w:r>
        <w:rPr>
          <w:rtl w:val="true"/>
        </w:rPr>
        <w:t>ואין לקבל זאת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נטען כי במסגרת האישום השישי מיוחסות לו עבירות הנבלעות בעבירות האחרות המיוחסות לו ויש בכך משום כפל אישום </w:t>
      </w:r>
      <w:r>
        <w:rPr>
          <w:rtl w:val="true"/>
        </w:rPr>
        <w:t>(</w:t>
      </w:r>
      <w:r>
        <w:rPr>
          <w:rtl w:val="true"/>
        </w:rPr>
        <w:t>וזאת מבלי שהובהרה עד תום טענה זו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טוען המערער כי יש לזכותו מאישום זה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לגזר הדין</w:t>
      </w:r>
      <w:r>
        <w:rPr>
          <w:rtl w:val="true"/>
        </w:rPr>
        <w:t xml:space="preserve">, </w:t>
      </w:r>
      <w:r>
        <w:rPr>
          <w:rtl w:val="true"/>
        </w:rPr>
        <w:t>טוען המערער כי שגה בית המשפט משקבע מתחמי ענישה נפרדים לאישומים הראשון</w:t>
      </w:r>
      <w:r>
        <w:rPr>
          <w:rtl w:val="true"/>
        </w:rPr>
        <w:t xml:space="preserve">, </w:t>
      </w:r>
      <w:r>
        <w:rPr>
          <w:rtl w:val="true"/>
        </w:rPr>
        <w:t>השלישי והשישי</w:t>
      </w:r>
      <w:r>
        <w:rPr>
          <w:rtl w:val="true"/>
        </w:rPr>
        <w:t xml:space="preserve">, </w:t>
      </w:r>
      <w:r>
        <w:rPr>
          <w:rtl w:val="true"/>
        </w:rPr>
        <w:t>שכן כל האירועים במסגרתם</w:t>
      </w:r>
      <w:r>
        <w:rPr>
          <w:rtl w:val="true"/>
        </w:rPr>
        <w:t xml:space="preserve">, </w:t>
      </w:r>
      <w:r>
        <w:rPr>
          <w:rtl w:val="true"/>
        </w:rPr>
        <w:t>הם חלק מאותה מסכת עבריינית</w:t>
      </w:r>
      <w:r>
        <w:rPr>
          <w:rtl w:val="true"/>
        </w:rPr>
        <w:t xml:space="preserve">. </w:t>
      </w:r>
      <w:r>
        <w:rPr>
          <w:rtl w:val="true"/>
        </w:rPr>
        <w:t>ההוכחה לכך היא העובדה שהחפצים שנתפסו באישום השישי הם כלי הנשק שנגנבו באישומים הראשון והשלישי והתכשיטים שנגנבו באישום החמישי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מטרתו הייתה להשיג סכום כסף מסוים</w:t>
      </w:r>
      <w:r>
        <w:rPr>
          <w:rtl w:val="true"/>
        </w:rPr>
        <w:t xml:space="preserve">, </w:t>
      </w:r>
      <w:r>
        <w:rPr>
          <w:rtl w:val="true"/>
        </w:rPr>
        <w:t>וכל פעולותיו היו לריכוז השלל שערכו שווה לכך</w:t>
      </w:r>
      <w:r>
        <w:rPr>
          <w:rtl w:val="true"/>
        </w:rPr>
        <w:t xml:space="preserve">, </w:t>
      </w:r>
      <w:r>
        <w:rPr>
          <w:rtl w:val="true"/>
        </w:rPr>
        <w:t>כאשר תפיסתו ותפיסת השלל ברכבו מלמדים על הגעה לנקודה בה ניסה לממש בבת אחת את שווי הגניבות שביצע</w:t>
      </w:r>
      <w:r>
        <w:rPr>
          <w:rtl w:val="true"/>
        </w:rPr>
        <w:t xml:space="preserve">. </w:t>
      </w:r>
      <w:r>
        <w:rPr>
          <w:rtl w:val="true"/>
        </w:rPr>
        <w:t>המדובר בתכנית עבריינית אחת</w:t>
      </w:r>
      <w:r>
        <w:rPr>
          <w:rtl w:val="true"/>
        </w:rPr>
        <w:t xml:space="preserve">, </w:t>
      </w:r>
      <w:r>
        <w:rPr>
          <w:rtl w:val="true"/>
        </w:rPr>
        <w:t>ויש בכך כדי להשליך על קביעת מתחמי העונש ועל בחינת נסיבות ביצוע העבירות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המתחמים שנקבעו בגין האישומים השני והחמישי חורגים לחומרה מהפסיקה הנוהגת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 xml:space="preserve">העונש הראוי צריך לעמוד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בלבד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 המערער כי ישנן נסיבות חיצוניות לעבירות המצדיקות הקלה בעונשו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הפסיקה הכירה בכך שלהתנהגות מקוממת של הרשות כלפי נאשם תהא השפעה על עונשו במסגרת </w:t>
      </w:r>
      <w:r>
        <w:rPr>
          <w:rtl w:val="true"/>
        </w:rPr>
        <w:t>"</w:t>
      </w:r>
      <w:r>
        <w:rPr>
          <w:rtl w:val="true"/>
        </w:rPr>
        <w:t>הגנה מן הצדק</w:t>
      </w:r>
      <w:r>
        <w:rPr>
          <w:rtl w:val="true"/>
        </w:rPr>
        <w:t xml:space="preserve">".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 המשפט המחוזי הביע שאט נפש מההתנהגות המשפילה שתיאר השוטר בואני ומהדרך שבה נהגו במערער</w:t>
      </w:r>
      <w:r>
        <w:rPr>
          <w:rtl w:val="true"/>
        </w:rPr>
        <w:t xml:space="preserve">, </w:t>
      </w:r>
      <w:r>
        <w:rPr>
          <w:rtl w:val="true"/>
        </w:rPr>
        <w:t>אך לא נתן לכך התייחסות מספקת בגזירת העונש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בית המשפט לא העניק משקל מספיק לנסיבות חייו של המערער</w:t>
      </w:r>
      <w:r>
        <w:rPr>
          <w:rtl w:val="true"/>
        </w:rPr>
        <w:t xml:space="preserve">, </w:t>
      </w:r>
      <w:r>
        <w:rPr>
          <w:rtl w:val="true"/>
        </w:rPr>
        <w:t>המבהירות כי הבסיס לביצוע העבירות היה מצוקה כלכלית של מי שאין בידו לספק את צרכי משפחתו מרובת הילדים</w:t>
      </w:r>
      <w:r>
        <w:rPr>
          <w:rtl w:val="true"/>
        </w:rPr>
        <w:t xml:space="preserve">. </w:t>
      </w:r>
      <w:r>
        <w:rPr>
          <w:rtl w:val="true"/>
        </w:rPr>
        <w:t>לנוכח כל האמור טוען המערער כי יש להקל בעונש שהוטל עליו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המשיבה יש לדחות את הערעור על שני חלקיו</w:t>
      </w:r>
      <w:r>
        <w:rPr>
          <w:rtl w:val="true"/>
        </w:rPr>
        <w:t xml:space="preserve">. </w:t>
      </w:r>
      <w:r>
        <w:rPr>
          <w:rtl w:val="true"/>
        </w:rPr>
        <w:t>הרשעת המערער איתנה ומבוססת על קביעות עובדתיות שאין מקום להתערב בהן</w:t>
      </w:r>
      <w:r>
        <w:rPr>
          <w:rtl w:val="true"/>
        </w:rPr>
        <w:t xml:space="preserve">. </w:t>
      </w:r>
      <w:r>
        <w:rPr>
          <w:rtl w:val="true"/>
        </w:rPr>
        <w:t>בדיקת הראיות נעשתה על ידי בית המשפט המחוזי בקפידה</w:t>
      </w:r>
      <w:r>
        <w:rPr>
          <w:rtl w:val="true"/>
        </w:rPr>
        <w:t xml:space="preserve">, </w:t>
      </w:r>
      <w:r>
        <w:rPr>
          <w:rtl w:val="true"/>
        </w:rPr>
        <w:t>והמערער לא הצביע על טעם מיוחד המצדיק התערבות בית משפט זה בפסק דינו</w:t>
      </w:r>
      <w:r>
        <w:rPr>
          <w:rtl w:val="true"/>
        </w:rPr>
        <w:t xml:space="preserve">. </w:t>
      </w:r>
      <w:r>
        <w:rPr>
          <w:rtl w:val="true"/>
        </w:rPr>
        <w:t>לעניין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נטען כי נפלו פגמים בהתנהלות המערער ביחס לטענה לפסילתה</w:t>
      </w:r>
      <w:r>
        <w:rPr>
          <w:rtl w:val="true"/>
        </w:rPr>
        <w:t xml:space="preserve">, </w:t>
      </w:r>
      <w:r>
        <w:rPr>
          <w:rtl w:val="true"/>
        </w:rPr>
        <w:t>ובהם העלאת הטענה לראשונה רק לאחר שמיעת פרשת ההגנה והימנעותו מלחקור את החוקר שגבה את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בחקירה נגדית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הגם שאין חולק כי מעשיו של בואני היו בלתי ראויים</w:t>
      </w:r>
      <w:r>
        <w:rPr>
          <w:rtl w:val="true"/>
        </w:rPr>
        <w:t xml:space="preserve">, </w:t>
      </w:r>
      <w:r>
        <w:rPr>
          <w:rtl w:val="true"/>
        </w:rPr>
        <w:t>האמצעים הפסולים שהוכחו</w:t>
      </w:r>
      <w:r>
        <w:rPr>
          <w:rtl w:val="true"/>
        </w:rPr>
        <w:t xml:space="preserve">, </w:t>
      </w:r>
      <w:r>
        <w:rPr>
          <w:rtl w:val="true"/>
        </w:rPr>
        <w:t xml:space="preserve">הם עצימת עיני המערער באמצעות מגבת על ידי בואני </w:t>
      </w:r>
      <w:r>
        <w:rPr>
          <w:rtl w:val="true"/>
        </w:rPr>
        <w:t>–</w:t>
      </w:r>
      <w:r>
        <w:rPr>
          <w:rtl w:val="true"/>
        </w:rPr>
        <w:t xml:space="preserve"> אמצעי פסול אחד שננקט על ידי שוטר אחד בלבד</w:t>
      </w:r>
      <w:r>
        <w:rPr>
          <w:rtl w:val="true"/>
        </w:rPr>
        <w:t xml:space="preserve">, </w:t>
      </w:r>
      <w:r>
        <w:rPr>
          <w:rtl w:val="true"/>
        </w:rPr>
        <w:t>וממילא בואני לא הוא שגבה את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או כל הודעה אחרת שמסר המערער</w:t>
      </w:r>
      <w:r>
        <w:rPr>
          <w:rtl w:val="true"/>
        </w:rPr>
        <w:t xml:space="preserve">. </w:t>
      </w:r>
      <w:r>
        <w:rPr>
          <w:rtl w:val="true"/>
        </w:rPr>
        <w:t>עוד הוסיפה המשיבה כי צדק בית המשפט כשקבע כי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קבילה וניתנה חופשית ומרצון</w:t>
      </w:r>
      <w:r>
        <w:rPr>
          <w:rtl w:val="true"/>
        </w:rPr>
        <w:t xml:space="preserve">. </w:t>
      </w:r>
      <w:r>
        <w:rPr>
          <w:rtl w:val="true"/>
        </w:rPr>
        <w:t>המערער נחקר לאחר שהתקבלה תעודה רפואית לפיה אין מניעה לעצרו</w:t>
      </w:r>
      <w:r>
        <w:rPr>
          <w:rtl w:val="true"/>
        </w:rPr>
        <w:t xml:space="preserve">; </w:t>
      </w:r>
      <w:r>
        <w:rPr>
          <w:rtl w:val="true"/>
        </w:rPr>
        <w:t>החקירה תועדה</w:t>
      </w:r>
      <w:r>
        <w:rPr>
          <w:rtl w:val="true"/>
        </w:rPr>
        <w:t xml:space="preserve">; </w:t>
      </w:r>
      <w:r>
        <w:rPr>
          <w:rtl w:val="true"/>
        </w:rPr>
        <w:t>לא היו סימנים שהמערער לא יכול להיחקר</w:t>
      </w:r>
      <w:r>
        <w:rPr>
          <w:rtl w:val="true"/>
        </w:rPr>
        <w:t xml:space="preserve">; </w:t>
      </w:r>
      <w:r>
        <w:rPr>
          <w:rtl w:val="true"/>
        </w:rPr>
        <w:t>כשהוא ביקש להפסיק את החקירה היא הופסקה</w:t>
      </w:r>
      <w:r>
        <w:rPr>
          <w:rtl w:val="true"/>
        </w:rPr>
        <w:t xml:space="preserve">; </w:t>
      </w:r>
      <w:r>
        <w:rPr>
          <w:rtl w:val="true"/>
        </w:rPr>
        <w:t>צפייה בחקירה מלמדת כי היא התנהלה בנינוחות וניתן להתרשם כי המערער ענה באופן חופשי</w:t>
      </w:r>
      <w:r>
        <w:rPr>
          <w:rtl w:val="true"/>
        </w:rPr>
        <w:t xml:space="preserve">; </w:t>
      </w:r>
      <w:r>
        <w:rPr>
          <w:rtl w:val="true"/>
        </w:rPr>
        <w:t>באף אחת מהודעותיו</w:t>
      </w:r>
      <w:r>
        <w:rPr>
          <w:rtl w:val="true"/>
        </w:rPr>
        <w:t xml:space="preserve">, </w:t>
      </w:r>
      <w:r>
        <w:rPr>
          <w:rtl w:val="true"/>
        </w:rPr>
        <w:t>לרבות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לא הודה המערער בביצוע מעשי השוד</w:t>
      </w:r>
      <w:r>
        <w:rPr>
          <w:rtl w:val="true"/>
        </w:rPr>
        <w:t xml:space="preserve">. </w:t>
      </w:r>
      <w:r>
        <w:rPr>
          <w:rtl w:val="true"/>
        </w:rPr>
        <w:t>כל האמור לא מתיישב עם טענתו כי הודה בכל מה שרצו השוטרים רק בשל הכוח שהפעילו עליו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לחיפוש ברכבו של המערער</w:t>
      </w:r>
      <w:r>
        <w:rPr>
          <w:rtl w:val="true"/>
        </w:rPr>
        <w:t xml:space="preserve">, </w:t>
      </w:r>
      <w:r>
        <w:rPr>
          <w:rtl w:val="true"/>
        </w:rPr>
        <w:t>צדק בית המשפט כשקבע כי החיפוש נערך בסמכות</w:t>
      </w:r>
      <w:r>
        <w:rPr>
          <w:rtl w:val="true"/>
        </w:rPr>
        <w:t xml:space="preserve">. </w:t>
      </w:r>
      <w:r>
        <w:rPr>
          <w:rtl w:val="true"/>
        </w:rPr>
        <w:t>היה יסוד סביר לחשוד שהמערער מסתיר ראיה ברכבו ועל כן קמה סמכות לבצע חיפוש</w:t>
      </w:r>
      <w:r>
        <w:rPr>
          <w:rtl w:val="true"/>
        </w:rPr>
        <w:t xml:space="preserve">. </w:t>
      </w:r>
      <w:r>
        <w:rPr>
          <w:rtl w:val="true"/>
        </w:rPr>
        <w:t>בית המשפט אף צדק כשדחה את הטענות לפגמים באופן עריכת החיפוש</w:t>
      </w:r>
      <w:r>
        <w:rPr>
          <w:rtl w:val="true"/>
        </w:rPr>
        <w:t xml:space="preserve">, </w:t>
      </w:r>
      <w:r>
        <w:rPr>
          <w:rtl w:val="true"/>
        </w:rPr>
        <w:t>וכשקבע כי אין מקום לקשור בין התנהלות השוטר בואני לבין חוקיות החיפוש</w:t>
      </w:r>
      <w:r>
        <w:rPr>
          <w:rtl w:val="true"/>
        </w:rPr>
        <w:t xml:space="preserve">. </w:t>
      </w:r>
      <w:r>
        <w:rPr>
          <w:rtl w:val="true"/>
        </w:rPr>
        <w:t>באשר לעבירת הניסיון</w:t>
      </w:r>
      <w:r>
        <w:rPr>
          <w:rtl w:val="true"/>
        </w:rPr>
        <w:t xml:space="preserve">, </w:t>
      </w:r>
      <w:r>
        <w:rPr>
          <w:rtl w:val="true"/>
        </w:rPr>
        <w:t>המערער עבר משלב ההכנה לשלב הניסיון עת לקח עימו את האקדחים ונסע לבצע עסקת מכירה</w:t>
      </w:r>
      <w:r>
        <w:rPr>
          <w:rtl w:val="true"/>
        </w:rPr>
        <w:t xml:space="preserve">. </w:t>
      </w:r>
      <w:r>
        <w:rPr>
          <w:rtl w:val="true"/>
        </w:rPr>
        <w:t xml:space="preserve">לעניין הטענה לכפל אישומים בעבירת </w:t>
      </w:r>
      <w:r>
        <w:rPr>
          <w:rtl w:val="true"/>
        </w:rPr>
        <w:t>"</w:t>
      </w:r>
      <w:r>
        <w:rPr>
          <w:rtl w:val="true"/>
        </w:rPr>
        <w:t>נשיאת והובלת נשק</w:t>
      </w:r>
      <w:r>
        <w:rPr>
          <w:rtl w:val="true"/>
        </w:rPr>
        <w:t xml:space="preserve">", </w:t>
      </w:r>
      <w:r>
        <w:rPr>
          <w:rtl w:val="true"/>
        </w:rPr>
        <w:t>אין בה ממש שכן מדובר באירועים שונים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נטען כי העונש ממשי אך ראוי</w:t>
      </w:r>
      <w:r>
        <w:rPr>
          <w:rtl w:val="true"/>
        </w:rPr>
        <w:t xml:space="preserve">, </w:t>
      </w:r>
      <w:r>
        <w:rPr>
          <w:rtl w:val="true"/>
        </w:rPr>
        <w:t>ומשקף במידה הטובה ביותר את טיב המעשים</w:t>
      </w:r>
      <w:r>
        <w:rPr>
          <w:rtl w:val="true"/>
        </w:rPr>
        <w:t xml:space="preserve">, </w:t>
      </w:r>
      <w:r>
        <w:rPr>
          <w:rtl w:val="true"/>
        </w:rPr>
        <w:t>תוצאותיהם</w:t>
      </w:r>
      <w:r>
        <w:rPr>
          <w:rtl w:val="true"/>
        </w:rPr>
        <w:t xml:space="preserve">, </w:t>
      </w:r>
      <w:r>
        <w:rPr>
          <w:rtl w:val="true"/>
        </w:rPr>
        <w:t>הנזק שנגרם מהם ומשמעותם החברתית</w:t>
      </w:r>
      <w:r>
        <w:rPr>
          <w:rtl w:val="true"/>
        </w:rPr>
        <w:t xml:space="preserve">. </w:t>
      </w:r>
      <w:r>
        <w:rPr>
          <w:rtl w:val="true"/>
        </w:rPr>
        <w:t>בית המשפט צדק משקבע שנסיבות המקרה חמורות</w:t>
      </w:r>
      <w:r>
        <w:rPr>
          <w:rtl w:val="true"/>
        </w:rPr>
        <w:t xml:space="preserve">, </w:t>
      </w:r>
      <w:r>
        <w:rPr>
          <w:rtl w:val="true"/>
        </w:rPr>
        <w:t>בין היתר משום שהמערער ביצע את העבירות לאחר תכנון והצטיידות מראש בכלי עזר לביצוען</w:t>
      </w:r>
      <w:r>
        <w:rPr>
          <w:rtl w:val="true"/>
        </w:rPr>
        <w:t xml:space="preserve">. </w:t>
      </w:r>
      <w:r>
        <w:rPr>
          <w:rtl w:val="true"/>
        </w:rPr>
        <w:t>המעשים האלימים שביצע המערער במעשי השוד הותירו בנפגעי העבירה פגיעות נפשיות בנוסף לפגיעות הפיזיות</w:t>
      </w:r>
      <w:r>
        <w:rPr>
          <w:rtl w:val="true"/>
        </w:rPr>
        <w:t xml:space="preserve">. </w:t>
      </w:r>
      <w:r>
        <w:rPr>
          <w:rtl w:val="true"/>
        </w:rPr>
        <w:t>המערער לא הודה במיוחס לו ולא לקח אחריות על מעשיו</w:t>
      </w:r>
      <w:r>
        <w:rPr>
          <w:rtl w:val="true"/>
        </w:rPr>
        <w:t xml:space="preserve">, </w:t>
      </w:r>
      <w:r>
        <w:rPr>
          <w:rtl w:val="true"/>
        </w:rPr>
        <w:t>ויש לו עבר פלילי בעבירות רכוש ועבירות נוספות</w:t>
      </w:r>
      <w:r>
        <w:rPr>
          <w:rtl w:val="true"/>
        </w:rPr>
        <w:t xml:space="preserve">. </w:t>
      </w:r>
      <w:r>
        <w:rPr>
          <w:rtl w:val="true"/>
        </w:rPr>
        <w:t>בית המשפט נתן משקל לכך שהשוטר בואני נהג בו בדרך בלתי ראויה</w:t>
      </w:r>
      <w:r>
        <w:rPr>
          <w:rtl w:val="true"/>
        </w:rPr>
        <w:t xml:space="preserve">, </w:t>
      </w:r>
      <w:r>
        <w:rPr>
          <w:rtl w:val="true"/>
        </w:rPr>
        <w:t>והדבר בא לידי ביטוי בהקלה בעונש</w:t>
      </w:r>
      <w:r>
        <w:rPr>
          <w:rtl w:val="true"/>
        </w:rPr>
        <w:t xml:space="preserve">. </w:t>
      </w:r>
      <w:r>
        <w:rPr>
          <w:rtl w:val="true"/>
        </w:rPr>
        <w:t>בית המשפט גם נתן משקל לנימוקים נוספים לקולא</w:t>
      </w:r>
      <w:r>
        <w:rPr>
          <w:rtl w:val="true"/>
        </w:rPr>
        <w:t xml:space="preserve">, </w:t>
      </w:r>
      <w:r>
        <w:rPr>
          <w:rtl w:val="true"/>
        </w:rPr>
        <w:t>לרבות מצבו המשפחתי</w:t>
      </w:r>
      <w:r>
        <w:rPr>
          <w:rtl w:val="true"/>
        </w:rPr>
        <w:t xml:space="preserve">, </w:t>
      </w:r>
      <w:r>
        <w:rPr>
          <w:rtl w:val="true"/>
        </w:rPr>
        <w:t>ובנסיבות אלה אין מקום להקל עמו עוד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בטענות הצדדים ולאחר שמיעתן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על הכרעת הדין להידחות ואילו דין הערעור על גזר הדין להתקבל</w:t>
      </w:r>
      <w:r>
        <w:rPr>
          <w:rtl w:val="true"/>
        </w:rPr>
        <w:t xml:space="preserve">, </w:t>
      </w:r>
      <w:r>
        <w:rPr>
          <w:rtl w:val="true"/>
        </w:rPr>
        <w:t>וכך אציע לחבריי שנעשה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תחילה לעניין הכרעת הדין</w:t>
      </w:r>
      <w:r>
        <w:rPr>
          <w:rtl w:val="true"/>
        </w:rPr>
        <w:t xml:space="preserve">. </w:t>
      </w:r>
      <w:r>
        <w:rPr>
          <w:rtl w:val="true"/>
        </w:rPr>
        <w:t>לפני שאגש לעיקר</w:t>
      </w:r>
      <w:r>
        <w:rPr>
          <w:rtl w:val="true"/>
        </w:rPr>
        <w:t xml:space="preserve">, </w:t>
      </w:r>
      <w:r>
        <w:rPr>
          <w:rtl w:val="true"/>
        </w:rPr>
        <w:t>אסיר אבן נגף אחת מהדרך כבר כעת והיא טענת המערער לאי</w:t>
      </w:r>
      <w:r>
        <w:rPr>
          <w:rtl w:val="true"/>
        </w:rPr>
        <w:t>-</w:t>
      </w:r>
      <w:r>
        <w:rPr>
          <w:rtl w:val="true"/>
        </w:rPr>
        <w:t>חוקיות החיפוש ברכבו</w:t>
      </w:r>
      <w:r>
        <w:rPr>
          <w:rtl w:val="true"/>
        </w:rPr>
        <w:t xml:space="preserve">. </w:t>
      </w:r>
      <w:r>
        <w:rPr>
          <w:rtl w:val="true"/>
        </w:rPr>
        <w:t>המערער הודה באופן חד</w:t>
      </w:r>
      <w:r>
        <w:rPr>
          <w:rtl w:val="true"/>
        </w:rPr>
        <w:t>-</w:t>
      </w:r>
      <w:r>
        <w:rPr>
          <w:rtl w:val="true"/>
        </w:rPr>
        <w:t>משמעי ובלי הסתייגות בתשובתו לכתב האישום בהחזקת כלי הנשק</w:t>
      </w:r>
      <w:r>
        <w:rPr>
          <w:rtl w:val="true"/>
        </w:rPr>
        <w:t xml:space="preserve">. </w:t>
      </w:r>
      <w:r>
        <w:rPr>
          <w:rtl w:val="true"/>
        </w:rPr>
        <w:t>המערער אף עמד על תשובתו זו בחקירתו הנגדית</w:t>
      </w:r>
      <w:r>
        <w:rPr>
          <w:rtl w:val="true"/>
        </w:rPr>
        <w:t xml:space="preserve">, </w:t>
      </w:r>
      <w:r>
        <w:rPr>
          <w:rtl w:val="true"/>
        </w:rPr>
        <w:t>שהתקיימה לאחר החלפת סנגורו</w:t>
      </w:r>
      <w:r>
        <w:rPr>
          <w:rtl w:val="true"/>
        </w:rPr>
        <w:t xml:space="preserve">. </w:t>
      </w:r>
      <w:r>
        <w:rPr>
          <w:rtl w:val="true"/>
        </w:rPr>
        <w:t>המערער גם לא חזר בו מתשובתו זו בסיכומים שהגיש לבית המשפט המחוזי ואף לא בעיקרי הטיעון שהגיש לפנינו</w:t>
      </w:r>
      <w:r>
        <w:rPr>
          <w:rtl w:val="true"/>
        </w:rPr>
        <w:t xml:space="preserve">. </w:t>
      </w:r>
      <w:r>
        <w:rPr>
          <w:rtl w:val="true"/>
        </w:rPr>
        <w:t>קשה עד בלתי אפשרי אפוא להלום את הטענה היום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ולגופו של עניין</w:t>
      </w:r>
      <w:r>
        <w:rPr>
          <w:rtl w:val="true"/>
        </w:rPr>
        <w:t xml:space="preserve">.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קובע כי </w:t>
      </w:r>
      <w:r>
        <w:rPr>
          <w:rtl w:val="true"/>
        </w:rPr>
        <w:t>"</w:t>
      </w:r>
      <w:r>
        <w:rPr>
          <w:rtl w:val="true"/>
        </w:rPr>
        <w:t>אדם מנסה לעבור עבירה אם</w:t>
      </w:r>
      <w:r>
        <w:rPr>
          <w:rtl w:val="true"/>
        </w:rPr>
        <w:t xml:space="preserve">, </w:t>
      </w:r>
      <w:r>
        <w:rPr>
          <w:rtl w:val="true"/>
        </w:rPr>
        <w:t>במטרה לבצעה</w:t>
      </w:r>
      <w:r>
        <w:rPr>
          <w:rtl w:val="true"/>
        </w:rPr>
        <w:t xml:space="preserve">, </w:t>
      </w:r>
      <w:r>
        <w:rPr>
          <w:rtl w:val="true"/>
        </w:rPr>
        <w:t>עשה מעשה שאין בו הכנה בלבד והעבירה לא הושלמה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" </w:t>
      </w:r>
      <w:r>
        <w:rPr>
          <w:rtl w:val="true"/>
        </w:rPr>
        <w:t xml:space="preserve">הסעיף מבחין אפוא בין מצב שבו נעשה מעשה שהוא בגדר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tl w:val="true"/>
        </w:rPr>
        <w:t xml:space="preserve"> לעבור עבירה</w:t>
      </w:r>
      <w:r>
        <w:rPr>
          <w:rtl w:val="true"/>
        </w:rPr>
        <w:t xml:space="preserve">, </w:t>
      </w:r>
      <w:r>
        <w:rPr>
          <w:rtl w:val="true"/>
        </w:rPr>
        <w:t>אשר בגינו ניתן לייחס אחריות פלילית למבצע</w:t>
      </w:r>
      <w:r>
        <w:rPr>
          <w:rtl w:val="true"/>
        </w:rPr>
        <w:t xml:space="preserve">, </w:t>
      </w:r>
      <w:r>
        <w:rPr>
          <w:rtl w:val="true"/>
        </w:rPr>
        <w:t xml:space="preserve">לבין מצב שבו נערכו פעולות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הכנה</w:t>
      </w:r>
      <w:r>
        <w:rPr>
          <w:rtl w:val="true"/>
        </w:rPr>
        <w:t xml:space="preserve"> בלבד</w:t>
      </w:r>
      <w:r>
        <w:rPr>
          <w:rtl w:val="true"/>
        </w:rPr>
        <w:t xml:space="preserve">, </w:t>
      </w:r>
      <w:r>
        <w:rPr>
          <w:rtl w:val="true"/>
        </w:rPr>
        <w:t>אשר לא מקימות אחריות פלילית</w:t>
      </w:r>
      <w:r>
        <w:rPr>
          <w:rtl w:val="true"/>
        </w:rPr>
        <w:t xml:space="preserve">. </w:t>
      </w:r>
      <w:r>
        <w:rPr>
          <w:rtl w:val="true"/>
        </w:rPr>
        <w:t>אלא שההבחנה בין הכנה לבין ניסיון אינה פשוטה כלל ועיקר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פותחו שני מבחנים המסייעים בעריכת ההבחנה ובהכרעה האם מדובר בהכנה או בניסיון</w:t>
      </w:r>
      <w:r>
        <w:rPr>
          <w:rtl w:val="true"/>
        </w:rPr>
        <w:t xml:space="preserve">: </w:t>
      </w:r>
      <w:r>
        <w:rPr>
          <w:rtl w:val="true"/>
        </w:rPr>
        <w:t>מבחן הקרבה להשלמת הביצוע ומבחן החד</w:t>
      </w:r>
      <w:r>
        <w:rPr>
          <w:rtl w:val="true"/>
        </w:rPr>
        <w:t>-</w:t>
      </w:r>
      <w:r>
        <w:rPr>
          <w:rtl w:val="true"/>
        </w:rPr>
        <w:t xml:space="preserve">משמעות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1996/11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29-27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23.12.2014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11068/08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סנקר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(</w:t>
      </w:r>
      <w:r>
        <w:rPr/>
        <w:t>12.7.2010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סנקר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/>
        <w:t>264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 xml:space="preserve">)). </w:t>
      </w:r>
      <w:r>
        <w:rPr>
          <w:rtl w:val="true"/>
        </w:rPr>
        <w:t xml:space="preserve">על 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המספקת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יש לבחון כמה רחוק היה המבצע מהגשמת תכניתו העבריינית</w:t>
      </w:r>
      <w:r>
        <w:rPr>
          <w:rtl w:val="true"/>
        </w:rPr>
        <w:t xml:space="preserve">. </w:t>
      </w:r>
      <w:r>
        <w:rPr>
          <w:rtl w:val="true"/>
        </w:rPr>
        <w:t>ככל שהוא קרוב יותר להשלמת העבירה</w:t>
      </w:r>
      <w:r>
        <w:rPr>
          <w:rtl w:val="true"/>
        </w:rPr>
        <w:t xml:space="preserve">, </w:t>
      </w:r>
      <w:r>
        <w:rPr>
          <w:rtl w:val="true"/>
        </w:rPr>
        <w:t>כך תגבר הנטייה לראות במעשיו כ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tl w:val="true"/>
        </w:rPr>
        <w:t xml:space="preserve">" </w:t>
      </w:r>
      <w:r>
        <w:rPr>
          <w:rtl w:val="true"/>
        </w:rPr>
        <w:t xml:space="preserve">לביצועה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444</w:t>
      </w:r>
      <w:r>
        <w:rPr>
          <w:rtl w:val="true"/>
        </w:rPr>
        <w:t xml:space="preserve">, </w:t>
      </w:r>
      <w:r>
        <w:rPr/>
        <w:t>447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1/65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שמש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398</w:t>
      </w:r>
      <w:r>
        <w:rPr>
          <w:rtl w:val="true"/>
        </w:rPr>
        <w:t xml:space="preserve">, </w:t>
      </w:r>
      <w:r>
        <w:rPr/>
        <w:t>400</w:t>
      </w:r>
      <w:r>
        <w:rPr>
          <w:rtl w:val="true"/>
        </w:rPr>
        <w:t xml:space="preserve"> (</w:t>
      </w:r>
      <w:r>
        <w:rPr/>
        <w:t>1965</w:t>
      </w:r>
      <w:r>
        <w:rPr>
          <w:rtl w:val="true"/>
        </w:rPr>
        <w:t xml:space="preserve">); </w:t>
      </w:r>
      <w:r>
        <w:rPr>
          <w:rtl w:val="true"/>
        </w:rPr>
        <w:t>מרים גור</w:t>
      </w:r>
      <w:r>
        <w:rPr>
          <w:rtl w:val="true"/>
        </w:rPr>
        <w:t>-</w:t>
      </w:r>
      <w:hyperlink r:id="rId62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ההבחנה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לבין ניסיון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cs="Century"/>
          <w:sz w:val="22"/>
          <w:sz w:val="22"/>
          <w:rtl w:val="true"/>
        </w:rPr>
        <w:t xml:space="preserve"> לב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505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509-508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במסגרת מבחן זה ניתן משקל לעיתים גם למדדים של זמן ומקום</w:t>
      </w:r>
      <w:r>
        <w:rPr>
          <w:rtl w:val="true"/>
        </w:rPr>
        <w:t xml:space="preserve">, </w:t>
      </w:r>
      <w:r>
        <w:rPr>
          <w:rtl w:val="true"/>
        </w:rPr>
        <w:t xml:space="preserve">כאשר קרבה להשלמת המעשה העברייני בזמן ובמקום מעידה על התקיימותו של מבחן הקרבה להשלמת הביצוע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סנקר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9849/05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ברואיר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23.11.2006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ברואיר</w:t>
      </w:r>
      <w:r>
        <w:rPr>
          <w:rtl w:val="true"/>
        </w:rPr>
        <w:t xml:space="preserve">)).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r>
        <w:rPr>
          <w:rFonts w:cs="Miriam"/>
          <w:b/>
          <w:b/>
          <w:spacing w:val="0"/>
          <w:szCs w:val="24"/>
          <w:rtl w:val="true"/>
        </w:rPr>
        <w:t>מבחן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החד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ניסיון לבצע עבירה יכול שיתגבש גם אם העבריין ניגש לביצוע העבירה בפועל אך טרם התקרב להשלמתה</w:t>
      </w:r>
      <w:r>
        <w:rPr>
          <w:rtl w:val="true"/>
        </w:rPr>
        <w:t xml:space="preserve">, </w:t>
      </w:r>
      <w:r>
        <w:rPr>
          <w:rtl w:val="true"/>
        </w:rPr>
        <w:t>ובלבד שיש בתחילת הביצוע כדי לגלות בצורה חד</w:t>
      </w:r>
      <w:r>
        <w:rPr>
          <w:rtl w:val="true"/>
        </w:rPr>
        <w:t>-</w:t>
      </w:r>
      <w:r>
        <w:rPr>
          <w:rtl w:val="true"/>
        </w:rPr>
        <w:t xml:space="preserve">משמעית את כוונתו לבצע את העבירה הקונקרטית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סנקר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ברואיר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7399/95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נחושתן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תעשיות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מעליות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105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509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tl w:val="true"/>
        </w:rPr>
        <w:t xml:space="preserve"> כי הצטיידות באמצעים</w:t>
      </w:r>
      <w:r>
        <w:rPr>
          <w:rtl w:val="true"/>
        </w:rPr>
        <w:t xml:space="preserve">, </w:t>
      </w:r>
      <w:r>
        <w:rPr>
          <w:rtl w:val="true"/>
        </w:rPr>
        <w:t>איסוף מידע</w:t>
      </w:r>
      <w:r>
        <w:rPr>
          <w:rtl w:val="true"/>
        </w:rPr>
        <w:t xml:space="preserve">, </w:t>
      </w:r>
      <w:r>
        <w:rPr>
          <w:rtl w:val="true"/>
        </w:rPr>
        <w:t>תכנון וביצוע פעולות המכוונות ליצור תנאים לביצוע עבירה</w:t>
      </w:r>
      <w:r>
        <w:rPr>
          <w:rtl w:val="true"/>
        </w:rPr>
        <w:t xml:space="preserve">, </w:t>
      </w:r>
      <w:r>
        <w:rPr>
          <w:rtl w:val="true"/>
        </w:rPr>
        <w:t>לאחר שגמלה בלבו של פלוני ההחלטה לבצע את אותה עבירה</w:t>
      </w:r>
      <w:r>
        <w:rPr>
          <w:rtl w:val="true"/>
        </w:rPr>
        <w:t xml:space="preserve">, </w:t>
      </w:r>
      <w:r>
        <w:rPr>
          <w:rtl w:val="true"/>
        </w:rPr>
        <w:t>יהוו פעולות המעבירות את המעשה משלב ההכנה לשלב הניסיון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במקרים אחרים אותן פעולות לא תחשבנה כפעולות העולות כדי ניסיון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סנקר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; </w:t>
      </w:r>
      <w:hyperlink r:id="rId6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5150/93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סריס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מח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183</w:t>
      </w:r>
      <w:r>
        <w:rPr>
          <w:rtl w:val="true"/>
        </w:rPr>
        <w:t xml:space="preserve">, </w:t>
      </w:r>
      <w:r>
        <w:rPr/>
        <w:t>187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הדבר תלוי בנסיבות העניין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ומהתם להכא</w:t>
      </w:r>
      <w:r>
        <w:rPr>
          <w:rtl w:val="true"/>
        </w:rPr>
        <w:t xml:space="preserve">. </w:t>
      </w:r>
      <w:r>
        <w:rPr>
          <w:rtl w:val="true"/>
        </w:rPr>
        <w:t>על פי עובדות האישום השישי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נתפס </w:t>
      </w:r>
      <w:r>
        <w:rPr>
          <w:rFonts w:ascii="Century" w:hAnsi="Century" w:cs="Century"/>
          <w:sz w:val="22"/>
          <w:sz w:val="22"/>
          <w:rtl w:val="true"/>
        </w:rPr>
        <w:t>בעיר פתח תקווה כשברכבו מצויים כלי הנשק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המחוזי הסתמך בהכרעת דינו על שלוש הודעות שונות </w:t>
      </w:r>
      <w:r>
        <w:rPr>
          <w:rtl w:val="true"/>
        </w:rPr>
        <w:t>שמסר המערער באותן נסיבות</w:t>
      </w:r>
      <w:r>
        <w:rPr>
          <w:rtl w:val="true"/>
        </w:rPr>
        <w:t xml:space="preserve">: </w:t>
      </w:r>
      <w:r>
        <w:rPr>
          <w:rtl w:val="true"/>
        </w:rPr>
        <w:t>בהודעה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מסר המערער לאחר תפיסתו בעיר פתח תקווה</w:t>
      </w:r>
      <w:r>
        <w:rPr>
          <w:rtl w:val="true"/>
        </w:rPr>
        <w:t xml:space="preserve">, </w:t>
      </w:r>
      <w:r>
        <w:rPr>
          <w:rtl w:val="true"/>
        </w:rPr>
        <w:t xml:space="preserve">כי שלושה ימים לפני תפיסתו ביקש למכור את האקדחים בטייבה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211-201</w:t>
      </w:r>
      <w:r>
        <w:rPr>
          <w:rtl w:val="true"/>
        </w:rPr>
        <w:t xml:space="preserve">); </w:t>
      </w:r>
      <w:r>
        <w:rPr>
          <w:rtl w:val="true"/>
        </w:rPr>
        <w:t>בהודעה 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מסר המערער כי התכוון למכור את כלי הנשק תמורת סך של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41</w:t>
      </w:r>
      <w:r>
        <w:rPr>
          <w:rtl w:val="true"/>
        </w:rPr>
        <w:t xml:space="preserve">); </w:t>
      </w:r>
      <w:r>
        <w:rPr>
          <w:rtl w:val="true"/>
        </w:rPr>
        <w:t>בהודעה 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מסר המערער כי בעת תפיסתו בפתח תקווה היה בדרך לביצוע עסקת מכירה</w:t>
      </w:r>
      <w:r>
        <w:rPr>
          <w:rtl w:val="true"/>
        </w:rPr>
        <w:t xml:space="preserve">, </w:t>
      </w:r>
      <w:r>
        <w:rPr>
          <w:rtl w:val="true"/>
        </w:rPr>
        <w:t xml:space="preserve">הן של האקדחים והן של התכשיטים וכי עסקת מכירת כלי הנשק הייתה כדבריו </w:t>
      </w:r>
      <w:r>
        <w:rPr>
          <w:rtl w:val="true"/>
        </w:rPr>
        <w:t>"</w:t>
      </w:r>
      <w:r>
        <w:rPr>
          <w:rtl w:val="true"/>
        </w:rPr>
        <w:t>סגורה</w:t>
      </w:r>
      <w:r>
        <w:rPr>
          <w:rtl w:val="true"/>
        </w:rPr>
        <w:t xml:space="preserve">". </w:t>
      </w:r>
      <w:r>
        <w:rPr>
          <w:rtl w:val="true"/>
        </w:rPr>
        <w:t xml:space="preserve">הוא היה צפוי לקבל תמורת האקדחים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כשמתוכם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יועדו להגיע לכיסו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70-69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עמד בטיעוניו רק על משמעותה של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לצורך גיבוש עבירת הניסיון לסחר בנשק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 אם אתעלם לגמרי מהודעה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יש בהודעות 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די כדי לבסס את הרשעת המערער בעבירת הניסיון לסחר בנשק</w:t>
      </w:r>
      <w:r>
        <w:rPr>
          <w:rtl w:val="true"/>
        </w:rPr>
        <w:t xml:space="preserve">. </w:t>
      </w:r>
      <w:r>
        <w:rPr>
          <w:rtl w:val="true"/>
        </w:rPr>
        <w:t xml:space="preserve">יש בשתי ההודעות האמורות כדי לעמוד </w:t>
      </w:r>
      <w:r>
        <w:rPr>
          <w:rtl w:val="true"/>
        </w:rPr>
        <w:t>"</w:t>
      </w:r>
      <w:r>
        <w:rPr>
          <w:rtl w:val="true"/>
        </w:rPr>
        <w:t>במבחן החד</w:t>
      </w:r>
      <w:r>
        <w:rPr>
          <w:rtl w:val="true"/>
        </w:rPr>
        <w:t>-</w:t>
      </w:r>
      <w:r>
        <w:rPr>
          <w:rtl w:val="true"/>
        </w:rPr>
        <w:t>משמעות</w:t>
      </w:r>
      <w:r>
        <w:rPr>
          <w:rtl w:val="true"/>
        </w:rPr>
        <w:t xml:space="preserve">", </w:t>
      </w:r>
      <w:r>
        <w:rPr>
          <w:rtl w:val="true"/>
        </w:rPr>
        <w:t>שכן על פיהן גילה המערער באופן חד</w:t>
      </w:r>
      <w:r>
        <w:rPr>
          <w:rtl w:val="true"/>
        </w:rPr>
        <w:t>-</w:t>
      </w:r>
      <w:r>
        <w:rPr>
          <w:rtl w:val="true"/>
        </w:rPr>
        <w:t xml:space="preserve">משמעי את כוונתו לבצע את עבירת הסחר בנשק בכך שכבר סיכם את תנאי העסקה </w:t>
      </w:r>
      <w:r>
        <w:rPr>
          <w:rtl w:val="true"/>
        </w:rPr>
        <w:t>–</w:t>
      </w:r>
      <w:r>
        <w:rPr>
          <w:rtl w:val="true"/>
        </w:rPr>
        <w:t xml:space="preserve"> לרבות מחיר כלי הנשק</w:t>
      </w:r>
      <w:r>
        <w:rPr>
          <w:rtl w:val="true"/>
        </w:rPr>
        <w:t xml:space="preserve">. </w:t>
      </w:r>
      <w:r>
        <w:rPr>
          <w:rtl w:val="true"/>
        </w:rPr>
        <w:t>הוא ראה את העסקה כ</w:t>
      </w:r>
      <w:r>
        <w:rPr>
          <w:rtl w:val="true"/>
        </w:rPr>
        <w:t>"</w:t>
      </w:r>
      <w:r>
        <w:rPr>
          <w:rtl w:val="true"/>
        </w:rPr>
        <w:t>סגורה</w:t>
      </w:r>
      <w:r>
        <w:rPr>
          <w:rtl w:val="true"/>
        </w:rPr>
        <w:t xml:space="preserve">" </w:t>
      </w:r>
      <w:r>
        <w:rPr>
          <w:rtl w:val="true"/>
        </w:rPr>
        <w:t>והיה בנסיעה לקראת מסירת כלי הנשק וקבלת התמורה המוסכמת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אך פטור ללא כלום אי אפשר ועל כן אתייחס גם להודעה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בעניין זה תמים דעים אני עם בא</w:t>
      </w:r>
      <w:r>
        <w:rPr>
          <w:rtl w:val="true"/>
        </w:rPr>
        <w:t>-</w:t>
      </w:r>
      <w:r>
        <w:rPr>
          <w:rtl w:val="true"/>
        </w:rPr>
        <w:t>כוח המערער שעיון בהודעה זו מגלה כי אין בה כדי לגבש את עבירת הניסיון לסחר בנשק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 הודעה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לאחר שהודה בהחזקת כל החפצים לרבות הסכין והאקדחים ובגניבת חלקם</w:t>
      </w:r>
      <w:r>
        <w:rPr>
          <w:rtl w:val="true"/>
        </w:rPr>
        <w:t xml:space="preserve">, </w:t>
      </w:r>
      <w:r>
        <w:rPr>
          <w:rtl w:val="true"/>
        </w:rPr>
        <w:t>נשאל המערער ומסר כדלקמן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למכירה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והאקדחים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בטייבה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למי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ברחתי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211-201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 להודעות 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מהודעה זו לא עולה כי המערער עמד להיפגש עם רוכשים מסוימים או כי נרקמה עסקה של ממש למכירת האקדחים</w:t>
      </w:r>
      <w:r>
        <w:rPr>
          <w:rtl w:val="true"/>
        </w:rPr>
        <w:t xml:space="preserve">, </w:t>
      </w:r>
      <w:r>
        <w:rPr>
          <w:rtl w:val="true"/>
        </w:rPr>
        <w:t>לא בפתח תקווה מקום מעצרו</w:t>
      </w:r>
      <w:r>
        <w:rPr>
          <w:rtl w:val="true"/>
        </w:rPr>
        <w:t xml:space="preserve">, </w:t>
      </w:r>
      <w:r>
        <w:rPr>
          <w:rtl w:val="true"/>
        </w:rPr>
        <w:t>ולא בטייבה מספר ימים לפני מעצרו</w:t>
      </w:r>
      <w:r>
        <w:rPr>
          <w:rtl w:val="true"/>
        </w:rPr>
        <w:t xml:space="preserve">. </w:t>
      </w:r>
      <w:r>
        <w:rPr>
          <w:rtl w:val="true"/>
        </w:rPr>
        <w:t>מהודעה זו גם לא ניכר שגובשה תכנית עבריינית קונקרטית</w:t>
      </w:r>
      <w:r>
        <w:rPr>
          <w:rtl w:val="true"/>
        </w:rPr>
        <w:t xml:space="preserve">. </w:t>
      </w:r>
      <w:r>
        <w:rPr>
          <w:rtl w:val="true"/>
        </w:rPr>
        <w:t>כל שהודעה זו מעלה הוא כי המערער נסע לטייבה</w:t>
      </w:r>
      <w:r>
        <w:rPr>
          <w:rtl w:val="true"/>
        </w:rPr>
        <w:t xml:space="preserve">, </w:t>
      </w:r>
      <w:r>
        <w:rPr>
          <w:rtl w:val="true"/>
        </w:rPr>
        <w:t>וכי היו לו כוונות למכור את האקדחים</w:t>
      </w:r>
      <w:r>
        <w:rPr>
          <w:rtl w:val="true"/>
        </w:rPr>
        <w:t xml:space="preserve">. </w:t>
      </w:r>
      <w:r>
        <w:rPr>
          <w:rtl w:val="true"/>
        </w:rPr>
        <w:t xml:space="preserve">אין המדובר אפוא במידע שיש בו כדי לבסס את חציית הגבול בין הכנה לניסיון </w:t>
      </w:r>
      <w:r>
        <w:rPr>
          <w:rtl w:val="true"/>
        </w:rPr>
        <w:t>(</w:t>
      </w:r>
      <w:r>
        <w:rPr>
          <w:rtl w:val="true"/>
        </w:rPr>
        <w:t>והשוו למשל</w:t>
      </w:r>
      <w:r>
        <w:rPr>
          <w:rtl w:val="true"/>
        </w:rPr>
        <w:t xml:space="preserve">: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64-63</w:t>
      </w:r>
      <w:r>
        <w:rPr>
          <w:rtl w:val="true"/>
        </w:rPr>
        <w:t xml:space="preserve"> (</w:t>
      </w:r>
      <w:r>
        <w:rPr/>
        <w:t>23.8.2012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9511/01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קובקוב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687</w:t>
      </w:r>
      <w:r>
        <w:rPr>
          <w:rtl w:val="true"/>
        </w:rPr>
        <w:t xml:space="preserve">, </w:t>
      </w:r>
      <w:r>
        <w:rPr/>
        <w:t>695-694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פועל יוצא מהאמור</w:t>
      </w:r>
      <w:r>
        <w:rPr>
          <w:rtl w:val="true"/>
        </w:rPr>
        <w:t xml:space="preserve">, </w:t>
      </w:r>
      <w:r>
        <w:rPr>
          <w:rtl w:val="true"/>
        </w:rPr>
        <w:t>משלא נמצא כי יש בהודעת 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כדי לבסס את הרשעת המערער בניסיון לסחר בנשק</w:t>
      </w:r>
      <w:r>
        <w:rPr>
          <w:rtl w:val="true"/>
        </w:rPr>
        <w:t xml:space="preserve">, </w:t>
      </w:r>
      <w:r>
        <w:rPr>
          <w:rtl w:val="true"/>
        </w:rPr>
        <w:t>מתייתר הצורך לדון בקבילותה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יחד עם האמור</w:t>
      </w:r>
      <w:r>
        <w:rPr>
          <w:rtl w:val="true"/>
        </w:rPr>
        <w:t xml:space="preserve">, </w:t>
      </w:r>
      <w:r>
        <w:rPr>
          <w:rtl w:val="true"/>
        </w:rPr>
        <w:t>לא נעלמה מעיני התנהלותו הבעייתית</w:t>
      </w:r>
      <w:r>
        <w:rPr>
          <w:rtl w:val="true"/>
        </w:rPr>
        <w:t xml:space="preserve">, </w:t>
      </w:r>
      <w:r>
        <w:rPr>
          <w:rtl w:val="true"/>
        </w:rPr>
        <w:t>שלא לומר הפסולה של השוטר בואני</w:t>
      </w:r>
      <w:r>
        <w:rPr>
          <w:rtl w:val="true"/>
        </w:rPr>
        <w:t xml:space="preserve">. </w:t>
      </w:r>
      <w:r>
        <w:rPr>
          <w:rtl w:val="true"/>
        </w:rPr>
        <w:t>ואולם כאמור</w:t>
      </w:r>
      <w:r>
        <w:rPr>
          <w:rtl w:val="true"/>
        </w:rPr>
        <w:t xml:space="preserve">, </w:t>
      </w:r>
      <w:r>
        <w:rPr>
          <w:rtl w:val="true"/>
        </w:rPr>
        <w:t>לא מצאתי כי יש בכך להשפיע על התוצאה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גם אין לקבל את טענת המערער כי יש לזכותו מהעבירה הקבועה </w:t>
      </w:r>
      <w:hyperlink r:id="rId6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טענת המערער לעניין זה מתמצית במשפט הבא</w:t>
      </w:r>
      <w:r>
        <w:rPr>
          <w:rtl w:val="true"/>
        </w:rPr>
        <w:t>: "</w:t>
      </w:r>
      <w:r>
        <w:rPr>
          <w:rtl w:val="true"/>
        </w:rPr>
        <w:t>לסיום אישום זה</w:t>
      </w:r>
      <w:r>
        <w:rPr>
          <w:rtl w:val="true"/>
        </w:rPr>
        <w:t xml:space="preserve">, </w:t>
      </w:r>
      <w:r>
        <w:rPr>
          <w:rtl w:val="true"/>
        </w:rPr>
        <w:t xml:space="preserve">יוזכר ברוח דומה לכלל המוכר </w:t>
      </w:r>
      <w:r>
        <w:rPr>
          <w:rtl w:val="true"/>
        </w:rPr>
        <w:t>'</w:t>
      </w:r>
      <w:r>
        <w:rPr>
          <w:rtl w:val="true"/>
        </w:rPr>
        <w:t>כפל אישום</w:t>
      </w:r>
      <w:r>
        <w:rPr>
          <w:rtl w:val="true"/>
        </w:rPr>
        <w:t xml:space="preserve">', </w:t>
      </w:r>
      <w:r>
        <w:rPr>
          <w:rtl w:val="true"/>
        </w:rPr>
        <w:t>הרי כי בבוא תובע לנסח כתב האישום</w:t>
      </w:r>
      <w:r>
        <w:rPr>
          <w:rtl w:val="true"/>
        </w:rPr>
        <w:t xml:space="preserve">, </w:t>
      </w:r>
      <w:r>
        <w:rPr>
          <w:rtl w:val="true"/>
        </w:rPr>
        <w:t>אין זה מן הראוי ללקט ולשזור סעיפי עבירות נוספות שמאותה מסכת עובדות המיוחסת לנאשם</w:t>
      </w:r>
      <w:r>
        <w:rPr>
          <w:rtl w:val="true"/>
        </w:rPr>
        <w:t xml:space="preserve">, </w:t>
      </w:r>
      <w:r>
        <w:rPr>
          <w:rtl w:val="true"/>
        </w:rPr>
        <w:t>הנבלעות בתוככי סעיף העבירות המרכזיות המיוחסות לו</w:t>
      </w:r>
      <w:r>
        <w:rPr>
          <w:rtl w:val="true"/>
        </w:rPr>
        <w:t xml:space="preserve">". </w:t>
      </w:r>
      <w:r>
        <w:rPr>
          <w:rtl w:val="true"/>
        </w:rPr>
        <w:t xml:space="preserve">טענה זו לא התבהרה עד תום </w:t>
      </w:r>
      <w:r>
        <w:rPr>
          <w:rtl w:val="true"/>
        </w:rPr>
        <w:t>–</w:t>
      </w:r>
      <w:r>
        <w:rPr>
          <w:rtl w:val="true"/>
        </w:rPr>
        <w:t xml:space="preserve"> לא במסגרת כתב הערעור שהגיש המערער</w:t>
      </w:r>
      <w:r>
        <w:rPr>
          <w:rtl w:val="true"/>
        </w:rPr>
        <w:t xml:space="preserve">, </w:t>
      </w:r>
      <w:r>
        <w:rPr>
          <w:rtl w:val="true"/>
        </w:rPr>
        <w:t>לא במסגרת עיקרי הטיעון מטעמו ואף לא במסגרת הדיון שהתקיים לפנינו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לא פירט אלו עבירות </w:t>
      </w:r>
      <w:r>
        <w:rPr>
          <w:rtl w:val="true"/>
        </w:rPr>
        <w:t>"</w:t>
      </w:r>
      <w:r>
        <w:rPr>
          <w:rtl w:val="true"/>
        </w:rPr>
        <w:t>נבלעות</w:t>
      </w:r>
      <w:r>
        <w:rPr>
          <w:rtl w:val="true"/>
        </w:rPr>
        <w:t xml:space="preserve">", </w:t>
      </w:r>
      <w:r>
        <w:rPr>
          <w:rtl w:val="true"/>
        </w:rPr>
        <w:t xml:space="preserve">ובתוך אלו עבירות הן </w:t>
      </w:r>
      <w:r>
        <w:rPr>
          <w:rtl w:val="true"/>
        </w:rPr>
        <w:t>"</w:t>
      </w:r>
      <w:r>
        <w:rPr>
          <w:rtl w:val="true"/>
        </w:rPr>
        <w:t>נבלעות</w:t>
      </w:r>
      <w:r>
        <w:rPr>
          <w:rtl w:val="true"/>
        </w:rPr>
        <w:t xml:space="preserve">", </w:t>
      </w:r>
      <w:r>
        <w:rPr>
          <w:rtl w:val="true"/>
        </w:rPr>
        <w:t>ולא סמך טענתו על חוק</w:t>
      </w:r>
      <w:r>
        <w:rPr>
          <w:rtl w:val="true"/>
        </w:rPr>
        <w:t xml:space="preserve">,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ספרות או מקור משפטי אחר</w:t>
      </w:r>
      <w:r>
        <w:rPr>
          <w:rtl w:val="true"/>
        </w:rPr>
        <w:t xml:space="preserve">. </w:t>
      </w:r>
      <w:r>
        <w:rPr>
          <w:rtl w:val="true"/>
        </w:rPr>
        <w:t>יש בכך אפוא די כדי לדחות את הטענה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למעלה מהצורך אומר</w:t>
      </w:r>
      <w:r>
        <w:rPr>
          <w:rtl w:val="true"/>
        </w:rPr>
        <w:t xml:space="preserve">, </w:t>
      </w:r>
      <w:r>
        <w:rPr>
          <w:rtl w:val="true"/>
        </w:rPr>
        <w:t>כי אין קשר בין עבירת נשיאת הנשק המיוחסת למערער באישום הראשון ובאישום השלישי לבין העבירה המיוחסת לו באישום השישי</w:t>
      </w:r>
      <w:r>
        <w:rPr>
          <w:rtl w:val="true"/>
        </w:rPr>
        <w:t xml:space="preserve">. </w:t>
      </w:r>
      <w:r>
        <w:rPr>
          <w:rtl w:val="true"/>
        </w:rPr>
        <w:t xml:space="preserve">העבירה המיוחסת למערער באישום הראשון עוסקת בנשיאת הנשק לאחר ביצועה ההתפרצות והגניבה שהתבצעו לכל המאוחר בחודש ינואר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 xml:space="preserve">עבירת נשיאת הנשק המיוחסת למערער באישום השלישי עוסקת באירוע הפריצה והגניבה מיום </w:t>
      </w:r>
      <w:r>
        <w:rPr/>
        <w:t>13.7.2014</w:t>
      </w:r>
      <w:r>
        <w:rPr>
          <w:rtl w:val="true"/>
        </w:rPr>
        <w:t xml:space="preserve">. </w:t>
      </w:r>
      <w:r>
        <w:rPr>
          <w:rtl w:val="true"/>
        </w:rPr>
        <w:t xml:space="preserve">לעומת זאת עבירת נשיאת הנשק מושא האישום השישי מתייחסת לתפיסת המערער בפתח תקוה ביום </w:t>
      </w:r>
      <w:r>
        <w:rPr/>
        <w:t>23.7.2014</w:t>
      </w:r>
      <w:r>
        <w:rPr>
          <w:rtl w:val="true"/>
        </w:rPr>
        <w:t xml:space="preserve">. </w:t>
      </w:r>
      <w:r>
        <w:rPr>
          <w:rtl w:val="true"/>
        </w:rPr>
        <w:t>אין גם מקום לסברה 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כי העבירה של נשיאת הנשק באישום השישי </w:t>
      </w:r>
      <w:r>
        <w:rPr>
          <w:rtl w:val="true"/>
        </w:rPr>
        <w:t>"</w:t>
      </w:r>
      <w:r>
        <w:rPr>
          <w:rtl w:val="true"/>
        </w:rPr>
        <w:t>נבלעת</w:t>
      </w:r>
      <w:r>
        <w:rPr>
          <w:rtl w:val="true"/>
        </w:rPr>
        <w:t xml:space="preserve">" </w:t>
      </w:r>
      <w:r>
        <w:rPr>
          <w:rtl w:val="true"/>
        </w:rPr>
        <w:t>כביכול ולו בעבירה המיוחסת למערער באישום השלישי מפאת סמיכות הזמנים בשני האישומים</w:t>
      </w:r>
      <w:r>
        <w:rPr>
          <w:rtl w:val="true"/>
        </w:rPr>
        <w:t xml:space="preserve">. </w:t>
      </w:r>
      <w:r>
        <w:rPr>
          <w:rtl w:val="true"/>
        </w:rPr>
        <w:t>המצבים בהם נשא המערער בשני האישומים שונים</w:t>
      </w:r>
      <w:r>
        <w:rPr>
          <w:rtl w:val="true"/>
        </w:rPr>
        <w:t xml:space="preserve">. </w:t>
      </w:r>
      <w:r>
        <w:rPr>
          <w:rtl w:val="true"/>
        </w:rPr>
        <w:t xml:space="preserve">ואין המדובר בעבירה </w:t>
      </w:r>
      <w:r>
        <w:rPr>
          <w:rtl w:val="true"/>
        </w:rPr>
        <w:t>"</w:t>
      </w:r>
      <w:r>
        <w:rPr>
          <w:rtl w:val="true"/>
        </w:rPr>
        <w:t>נמשכת</w:t>
      </w:r>
      <w:r>
        <w:rPr>
          <w:rtl w:val="true"/>
        </w:rPr>
        <w:t>" (</w:t>
      </w:r>
      <w:r>
        <w:rPr>
          <w:rtl w:val="true"/>
        </w:rPr>
        <w:t xml:space="preserve">על אודות ההבחנה בין עבירה </w:t>
      </w:r>
      <w:r>
        <w:rPr>
          <w:rtl w:val="true"/>
        </w:rPr>
        <w:t>"</w:t>
      </w:r>
      <w:r>
        <w:rPr>
          <w:rtl w:val="true"/>
        </w:rPr>
        <w:t>נמשכת</w:t>
      </w:r>
      <w:r>
        <w:rPr>
          <w:rtl w:val="true"/>
        </w:rPr>
        <w:t xml:space="preserve">" </w:t>
      </w:r>
      <w:r>
        <w:rPr>
          <w:rtl w:val="true"/>
        </w:rPr>
        <w:t xml:space="preserve">לעומת עבירה </w:t>
      </w:r>
      <w:r>
        <w:rPr>
          <w:rtl w:val="true"/>
        </w:rPr>
        <w:t>"</w:t>
      </w:r>
      <w:r>
        <w:rPr>
          <w:rtl w:val="true"/>
        </w:rPr>
        <w:t>רגעית</w:t>
      </w:r>
      <w:r>
        <w:rPr>
          <w:rtl w:val="true"/>
        </w:rPr>
        <w:t xml:space="preserve">"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ז </w:t>
      </w:r>
      <w:hyperlink r:id="rId70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לעיתוי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ההשלמה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הגניבה </w:t>
      </w:r>
      <w:r>
        <w:rPr>
          <w:rtl w:val="true"/>
        </w:rPr>
        <w:t>(</w:t>
      </w:r>
      <w:r>
        <w:rPr>
          <w:rtl w:val="true"/>
        </w:rPr>
        <w:t>עבירה רגעית</w:t>
      </w:r>
      <w:r>
        <w:rPr>
          <w:rtl w:val="true"/>
        </w:rPr>
        <w:t xml:space="preserve">, </w:t>
      </w:r>
      <w:r>
        <w:rPr>
          <w:rtl w:val="true"/>
        </w:rPr>
        <w:t>עבירה נמשכת</w:t>
      </w:r>
      <w:r>
        <w:rPr>
          <w:rtl w:val="true"/>
        </w:rPr>
        <w:t xml:space="preserve">, </w:t>
      </w:r>
      <w:r>
        <w:rPr>
          <w:rtl w:val="true"/>
        </w:rPr>
        <w:t>או עבירת שרשרת</w:t>
      </w:r>
      <w:r>
        <w:rPr>
          <w:rtl w:val="true"/>
        </w:rPr>
        <w:t xml:space="preserve">)"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tl w:val="true"/>
        </w:rPr>
        <w:t xml:space="preserve"> י </w:t>
      </w:r>
      <w:r>
        <w:rPr/>
        <w:t>121</w:t>
      </w:r>
      <w:r>
        <w:rPr>
          <w:rtl w:val="true"/>
        </w:rPr>
        <w:t xml:space="preserve">, </w:t>
      </w:r>
      <w:r>
        <w:rPr/>
        <w:t>132-131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29.7.2013</w:t>
      </w:r>
      <w:r>
        <w:rPr>
          <w:rtl w:val="true"/>
        </w:rPr>
        <w:t xml:space="preserve">); </w:t>
      </w:r>
      <w:r>
        <w:rPr>
          <w:rStyle w:val="apple-style-span"/>
          <w:color w:val="000000"/>
          <w:rtl w:val="true"/>
        </w:rPr>
        <w:t>ש</w:t>
      </w:r>
      <w:r>
        <w:rPr>
          <w:rStyle w:val="apple-style-span"/>
          <w:color w:val="000000"/>
          <w:rtl w:val="true"/>
        </w:rPr>
        <w:t>"</w:t>
      </w:r>
      <w:r>
        <w:rPr>
          <w:rStyle w:val="apple-style-span"/>
          <w:color w:val="000000"/>
          <w:rtl w:val="true"/>
        </w:rPr>
        <w:t xml:space="preserve">ז </w:t>
      </w:r>
      <w:hyperlink r:id="rId7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פלר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יסודות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בדיני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עונשין</w:t>
        </w:r>
      </w:hyperlink>
      <w:r>
        <w:rPr>
          <w:rStyle w:val="apple-style-span"/>
          <w:color w:val="000000"/>
          <w:rtl w:val="true"/>
        </w:rPr>
        <w:t xml:space="preserve"> כרך ג </w:t>
      </w:r>
      <w:r>
        <w:rPr>
          <w:rStyle w:val="apple-style-span"/>
          <w:color w:val="000000"/>
        </w:rPr>
        <w:t>170</w:t>
      </w:r>
      <w:r>
        <w:rPr>
          <w:rStyle w:val="apple-style-span"/>
          <w:color w:val="000000"/>
          <w:rtl w:val="true"/>
        </w:rPr>
        <w:t xml:space="preserve">, </w:t>
      </w:r>
      <w:r>
        <w:rPr>
          <w:rStyle w:val="apple-style-span"/>
          <w:color w:val="000000"/>
        </w:rPr>
        <w:t>187-186</w:t>
      </w:r>
      <w:r>
        <w:rPr>
          <w:rStyle w:val="apple-style-span"/>
          <w:color w:val="000000"/>
          <w:rtl w:val="true"/>
        </w:rPr>
        <w:t xml:space="preserve"> (</w:t>
      </w:r>
      <w:r>
        <w:rPr>
          <w:rStyle w:val="apple-style-span"/>
          <w:color w:val="000000"/>
        </w:rPr>
        <w:t>1992</w:t>
      </w:r>
      <w:r>
        <w:rPr>
          <w:rStyle w:val="apple-style-span"/>
          <w:color w:val="000000"/>
          <w:rtl w:val="true"/>
        </w:rPr>
        <w:t xml:space="preserve">)), </w:t>
      </w:r>
      <w:r>
        <w:rPr>
          <w:rStyle w:val="apple-style-span"/>
          <w:color w:val="000000"/>
          <w:rtl w:val="true"/>
        </w:rPr>
        <w:t xml:space="preserve">הטעונה </w:t>
      </w:r>
      <w:r>
        <w:rPr>
          <w:rStyle w:val="apple-style-span"/>
          <w:color w:val="000000"/>
          <w:rtl w:val="true"/>
        </w:rPr>
        <w:t>"</w:t>
      </w:r>
      <w:r>
        <w:rPr>
          <w:rStyle w:val="apple-style-span"/>
          <w:color w:val="000000"/>
          <w:rtl w:val="true"/>
        </w:rPr>
        <w:t>אירוע מנתק</w:t>
      </w:r>
      <w:r>
        <w:rPr>
          <w:rStyle w:val="apple-style-span"/>
          <w:color w:val="000000"/>
          <w:rtl w:val="true"/>
        </w:rPr>
        <w:t xml:space="preserve">" </w:t>
      </w:r>
      <w:r>
        <w:rPr>
          <w:rStyle w:val="apple-style-span"/>
          <w:color w:val="000000"/>
          <w:rtl w:val="true"/>
        </w:rPr>
        <w:t xml:space="preserve">המבדיל בין חלקי העבירה </w:t>
      </w:r>
      <w:r>
        <w:rPr>
          <w:rStyle w:val="apple-style-span"/>
          <w:color w:val="000000"/>
          <w:rtl w:val="true"/>
        </w:rPr>
        <w:t>(</w:t>
      </w:r>
      <w:r>
        <w:rPr>
          <w:rStyle w:val="apple-style-span"/>
          <w:color w:val="000000"/>
          <w:rtl w:val="true"/>
        </w:rPr>
        <w:t>וראו לעניין זה</w:t>
      </w:r>
      <w:r>
        <w:rPr>
          <w:rStyle w:val="apple-style-span"/>
          <w:color w:val="000000"/>
          <w:rtl w:val="true"/>
        </w:rPr>
        <w:t xml:space="preserve">: </w:t>
      </w:r>
      <w:hyperlink r:id="rId7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10571/08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מלכיאל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26.3.2011</w:t>
      </w:r>
      <w:r>
        <w:rPr>
          <w:rtl w:val="true"/>
        </w:rPr>
        <w:t xml:space="preserve">); </w:t>
      </w:r>
      <w:hyperlink r:id="rId7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ר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ע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122/82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‏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‎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עלפי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</w:rPr>
          <w:t>‎ ‎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''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ד לז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326</w:t>
      </w:r>
      <w:r>
        <w:rPr>
          <w:rtl w:val="true"/>
        </w:rPr>
        <w:t xml:space="preserve">, </w:t>
      </w:r>
      <w:r>
        <w:rPr/>
        <w:t>330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 xml:space="preserve">);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361/68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ראנד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בפשיטת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רגל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כונס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הנכסים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הרשמי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כג</w:t>
        </w:r>
      </w:hyperlink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151</w:t>
      </w:r>
      <w:r>
        <w:rPr>
          <w:sz w:val="22"/>
          <w:rtl w:val="true"/>
        </w:rPr>
        <w:t xml:space="preserve">, </w:t>
      </w:r>
      <w:r>
        <w:rPr>
          <w:sz w:val="22"/>
        </w:rPr>
        <w:t>156</w:t>
      </w:r>
      <w:r>
        <w:rPr>
          <w:sz w:val="22"/>
          <w:rtl w:val="true"/>
        </w:rPr>
        <w:t xml:space="preserve"> (</w:t>
      </w:r>
      <w:r>
        <w:rPr>
          <w:sz w:val="22"/>
        </w:rPr>
        <w:t>1969</w:t>
      </w:r>
      <w:r>
        <w:rPr>
          <w:sz w:val="22"/>
          <w:rtl w:val="true"/>
        </w:rPr>
        <w:t xml:space="preserve">); </w:t>
      </w:r>
      <w:hyperlink r:id="rId7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11920/04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26.3.2007</w:t>
      </w:r>
      <w:r>
        <w:rPr>
          <w:rtl w:val="true"/>
        </w:rPr>
        <w:t>)</w:t>
      </w:r>
      <w:r>
        <w:rPr>
          <w:sz w:val="22"/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7694/97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חרמון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6.2.1998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לעניין גזר הדין מלין המערער כאמור הן על החלטתו של בית המשפט שלא לקבוע מתחם ענישה אחד לאישומים הראשון</w:t>
      </w:r>
      <w:r>
        <w:rPr>
          <w:rtl w:val="true"/>
        </w:rPr>
        <w:t xml:space="preserve">, </w:t>
      </w:r>
      <w:r>
        <w:rPr>
          <w:rtl w:val="true"/>
        </w:rPr>
        <w:t>השלישי והשישי</w:t>
      </w:r>
      <w:r>
        <w:rPr>
          <w:rtl w:val="true"/>
        </w:rPr>
        <w:t xml:space="preserve">; </w:t>
      </w:r>
      <w:r>
        <w:rPr>
          <w:rtl w:val="true"/>
        </w:rPr>
        <w:t>הן על המתחמים שנקבעו לאישומים השני והחמישי</w:t>
      </w:r>
      <w:r>
        <w:rPr>
          <w:rtl w:val="true"/>
        </w:rPr>
        <w:t xml:space="preserve">; </w:t>
      </w:r>
      <w:r>
        <w:rPr>
          <w:rtl w:val="true"/>
        </w:rPr>
        <w:t>הן על גובה העונש שנגזר עליו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tl w:val="true"/>
        </w:rPr>
        <w:t xml:space="preserve"> 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tl w:val="true"/>
        </w:rPr>
        <w:t>ריבוי עבירות</w:t>
      </w:r>
      <w:r>
        <w:rPr>
          <w:rtl w:val="true"/>
        </w:rPr>
        <w:t xml:space="preserve">", </w:t>
      </w:r>
      <w:r>
        <w:rPr>
          <w:rtl w:val="true"/>
        </w:rPr>
        <w:t xml:space="preserve">נחקק במסגרת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 העונשין שעניינו הבניית שיקול הדעת בענישה</w:t>
      </w:r>
      <w:r>
        <w:rPr>
          <w:rtl w:val="true"/>
        </w:rPr>
        <w:t xml:space="preserve">. </w:t>
      </w:r>
      <w:r>
        <w:rPr>
          <w:rtl w:val="true"/>
        </w:rPr>
        <w:t>הסעיף מתייחס לגזירת עונשו של אדם אשר הורשע במספר עבירות</w:t>
      </w:r>
      <w:r>
        <w:rPr>
          <w:rtl w:val="true"/>
        </w:rPr>
        <w:t xml:space="preserve">, </w:t>
      </w:r>
      <w:r>
        <w:rPr>
          <w:rtl w:val="true"/>
        </w:rPr>
        <w:t xml:space="preserve">והוא מבחין בין מצב שבו העבירות מהוות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tl w:val="true"/>
        </w:rPr>
        <w:t xml:space="preserve"> לבין מצב שבו הן מהוות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 xml:space="preserve">על פי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ככל שהעבירות מהוות אירוע אחד</w:t>
      </w:r>
      <w:r>
        <w:rPr>
          <w:rtl w:val="true"/>
        </w:rPr>
        <w:t xml:space="preserve">, </w:t>
      </w:r>
      <w:r>
        <w:rPr>
          <w:rtl w:val="true"/>
        </w:rPr>
        <w:t>על בית המשפט לקבוע מתחם עונש הולם אחד לאירוע כולו</w:t>
      </w:r>
      <w:r>
        <w:rPr>
          <w:rtl w:val="true"/>
        </w:rPr>
        <w:t xml:space="preserve">, </w:t>
      </w:r>
      <w:r>
        <w:rPr>
          <w:rtl w:val="true"/>
        </w:rPr>
        <w:t xml:space="preserve">ולגזור </w:t>
      </w:r>
      <w:r>
        <w:rPr>
          <w:rFonts w:ascii="Century" w:hAnsi="Century" w:cs="Century"/>
          <w:sz w:val="22"/>
          <w:sz w:val="22"/>
          <w:rtl w:val="true"/>
        </w:rPr>
        <w:t xml:space="preserve">עונש אחד </w:t>
      </w:r>
      <w:r>
        <w:rPr>
          <w:rtl w:val="true"/>
        </w:rPr>
        <w:t>לכל העבירות בשל אותו אירוע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ככל שמדובר בעבירות המהוות כמה אירועים</w:t>
      </w:r>
      <w:r>
        <w:rPr>
          <w:rtl w:val="true"/>
        </w:rPr>
        <w:t xml:space="preserve">, </w:t>
      </w:r>
      <w:r>
        <w:rPr>
          <w:rtl w:val="true"/>
        </w:rPr>
        <w:t>על בית המשפט לקבוע מתחם עונש הולם לכל אירוע בנפרד</w:t>
      </w:r>
      <w:r>
        <w:rPr>
          <w:rtl w:val="true"/>
        </w:rPr>
        <w:t xml:space="preserve">, </w:t>
      </w:r>
      <w:r>
        <w:rPr>
          <w:rtl w:val="true"/>
        </w:rPr>
        <w:t>ולאחר מכן הוא רשאי לגזור עונש נפרד לכל אירוע או עונש כולל לכל האירועים</w:t>
      </w:r>
      <w:r>
        <w:rPr>
          <w:rtl w:val="true"/>
        </w:rPr>
        <w:t xml:space="preserve">. </w:t>
      </w:r>
      <w:r>
        <w:rPr>
          <w:rtl w:val="true"/>
        </w:rPr>
        <w:t>אם נגזר עונש נפרד לכל אירוע</w:t>
      </w:r>
      <w:r>
        <w:rPr>
          <w:rtl w:val="true"/>
        </w:rPr>
        <w:t xml:space="preserve">, </w:t>
      </w:r>
      <w:r>
        <w:rPr>
          <w:rtl w:val="true"/>
        </w:rPr>
        <w:t>בית המשפט יקבע את מידת החפיפה בין העונשים או הצטברותם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ההבחנה בין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כמה אירועים</w:t>
      </w:r>
      <w:r>
        <w:rPr>
          <w:rtl w:val="true"/>
        </w:rPr>
        <w:t xml:space="preserve">" </w:t>
      </w:r>
      <w:r>
        <w:rPr>
          <w:rtl w:val="true"/>
        </w:rPr>
        <w:t xml:space="preserve">נעשית על פי </w:t>
      </w:r>
      <w:r>
        <w:rPr>
          <w:rtl w:val="true"/>
        </w:rPr>
        <w:t>"</w:t>
      </w:r>
      <w:r>
        <w:rPr>
          <w:rtl w:val="true"/>
        </w:rPr>
        <w:t>מבחן הקשר ההדוק</w:t>
      </w:r>
      <w:r>
        <w:rPr>
          <w:rtl w:val="true"/>
        </w:rPr>
        <w:t xml:space="preserve">", </w:t>
      </w:r>
      <w:r>
        <w:rPr>
          <w:rtl w:val="true"/>
        </w:rPr>
        <w:t xml:space="preserve">לפיו עבירות שיש ביניהן קשר הדוק תיחשבנה לאירוע אחד </w:t>
      </w:r>
      <w:r>
        <w:rPr>
          <w:rtl w:val="true"/>
        </w:rPr>
        <w:t>(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tl w:val="true"/>
        </w:rPr>
        <w:t xml:space="preserve">)). </w:t>
      </w:r>
      <w:r>
        <w:rPr>
          <w:rtl w:val="true"/>
        </w:rPr>
        <w:t>קשר שכזה יימצא כאשר תהיה סמיכות זמנים בין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או כאשר הן תהיינה חלק מאותה תכנית עבריינית אף אם הן בוצעו לאורך תקופת זמן שאינה קצרה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). </w:t>
      </w:r>
      <w:r>
        <w:rPr>
          <w:rtl w:val="true"/>
        </w:rPr>
        <w:t>בעת יישום מבחן הקשר ההדוק</w:t>
      </w:r>
      <w:r>
        <w:rPr>
          <w:rtl w:val="true"/>
        </w:rPr>
        <w:t xml:space="preserve">, </w:t>
      </w:r>
      <w:r>
        <w:rPr>
          <w:rtl w:val="true"/>
        </w:rPr>
        <w:t>על בית המשפט לעמוד על הנסיבות העובדתיות של העניין</w:t>
      </w:r>
      <w:r>
        <w:rPr>
          <w:rtl w:val="true"/>
        </w:rPr>
        <w:t xml:space="preserve">, </w:t>
      </w:r>
      <w:r>
        <w:rPr>
          <w:rtl w:val="true"/>
        </w:rPr>
        <w:t xml:space="preserve">המהוות </w:t>
      </w:r>
      <w:r>
        <w:rPr>
          <w:rtl w:val="true"/>
        </w:rPr>
        <w:t>"</w:t>
      </w:r>
      <w:r>
        <w:rPr>
          <w:rtl w:val="true"/>
        </w:rPr>
        <w:t>מבחני עזר</w:t>
      </w:r>
      <w:r>
        <w:rPr>
          <w:rtl w:val="true"/>
        </w:rPr>
        <w:t xml:space="preserve">" </w:t>
      </w:r>
      <w:r>
        <w:rPr>
          <w:rtl w:val="true"/>
        </w:rPr>
        <w:t>לקביעת עוצמת הקשר</w:t>
      </w:r>
      <w:r>
        <w:rPr>
          <w:rtl w:val="true"/>
        </w:rPr>
        <w:t xml:space="preserve">. </w:t>
      </w:r>
      <w:r>
        <w:rPr>
          <w:rtl w:val="true"/>
        </w:rPr>
        <w:t>במסגרת זו ניתן לבחון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אם ביצוען של העבירות מאופיין בתכנון</w:t>
      </w:r>
      <w:r>
        <w:rPr>
          <w:rtl w:val="true"/>
        </w:rPr>
        <w:t xml:space="preserve">, </w:t>
      </w:r>
      <w:r>
        <w:rPr>
          <w:rtl w:val="true"/>
        </w:rPr>
        <w:t>האם ניתן להצביע על שיטתיות בביצוע העבירות</w:t>
      </w:r>
      <w:r>
        <w:rPr>
          <w:rtl w:val="true"/>
        </w:rPr>
        <w:t xml:space="preserve">, </w:t>
      </w:r>
      <w:r>
        <w:rPr>
          <w:rtl w:val="true"/>
        </w:rPr>
        <w:t>האם ביצועה של עבירה אחת נועד כדי לאפשר את האחרת או כדי לאפשר הימלטות מהאחרת</w:t>
      </w:r>
      <w:r>
        <w:rPr>
          <w:rtl w:val="true"/>
        </w:rPr>
        <w:t xml:space="preserve">, </w:t>
      </w:r>
      <w:r>
        <w:rPr>
          <w:rtl w:val="true"/>
        </w:rPr>
        <w:t xml:space="preserve">ועוד </w:t>
      </w:r>
      <w:r>
        <w:rPr>
          <w:rtl w:val="true"/>
        </w:rPr>
        <w:t>(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(</w:t>
      </w:r>
      <w:r>
        <w:rPr/>
        <w:t>3.9.2015</w:t>
      </w:r>
      <w:r>
        <w:rPr>
          <w:rtl w:val="true"/>
        </w:rPr>
        <w:t xml:space="preserve">)). </w:t>
      </w:r>
      <w:r>
        <w:rPr>
          <w:rtl w:val="true"/>
        </w:rPr>
        <w:t>לא למותר לציין כי מבחן הקשר ההדוק אינו מבחן בינארי</w:t>
      </w:r>
      <w:r>
        <w:rPr>
          <w:rtl w:val="true"/>
        </w:rPr>
        <w:t xml:space="preserve">, </w:t>
      </w:r>
      <w:r>
        <w:rPr>
          <w:rtl w:val="true"/>
        </w:rPr>
        <w:t>ואופן הפעלתו מסור לשיקול דעתו של בית המשפט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מצאתי כי נפל פגם באופן שבו יישם בית המשפט המחוזי את מבחן הקשר ההדוק</w:t>
      </w:r>
      <w:r>
        <w:rPr>
          <w:rtl w:val="true"/>
        </w:rPr>
        <w:t xml:space="preserve">.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 xml:space="preserve">קיים דמיון בנסיבות ביצוע העבירה שבין האישום הראשון לאישום שלישי </w:t>
      </w:r>
      <w:r>
        <w:rPr>
          <w:rtl w:val="true"/>
        </w:rPr>
        <w:t>(</w:t>
      </w:r>
      <w:r>
        <w:rPr>
          <w:rtl w:val="true"/>
        </w:rPr>
        <w:t>אך לא השישי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בשניהם פרץ המערער לדירות</w:t>
      </w:r>
      <w:r>
        <w:rPr>
          <w:rtl w:val="true"/>
        </w:rPr>
        <w:t xml:space="preserve">, </w:t>
      </w:r>
      <w:r>
        <w:rPr>
          <w:rtl w:val="true"/>
        </w:rPr>
        <w:t>לאחר איסוף מידע ותכנון</w:t>
      </w:r>
      <w:r>
        <w:rPr>
          <w:rtl w:val="true"/>
        </w:rPr>
        <w:t xml:space="preserve">, </w:t>
      </w:r>
      <w:r>
        <w:rPr>
          <w:rtl w:val="true"/>
        </w:rPr>
        <w:t>איתר את הכספות שבהן וגנב אקדח וכסף מזומן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 xml:space="preserve">העובדות המתוארות באישום הראשון והשלישי התרחשו במועדים שונים מאוד זה מזה </w:t>
      </w:r>
      <w:r>
        <w:rPr>
          <w:rtl w:val="true"/>
        </w:rPr>
        <w:t>–</w:t>
      </w:r>
      <w:r>
        <w:rPr>
          <w:rtl w:val="true"/>
        </w:rPr>
        <w:t xml:space="preserve"> האישום הראשון התרחש בין נובמבר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 xml:space="preserve">לינואר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והאישום השלישי התרחש ביום </w:t>
      </w:r>
      <w:r>
        <w:rPr/>
        <w:t>13.7.2014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אף אם בין האישום השלישי לאישום השישי</w:t>
      </w:r>
      <w:r>
        <w:rPr>
          <w:rtl w:val="true"/>
        </w:rPr>
        <w:t xml:space="preserve">, </w:t>
      </w:r>
      <w:r>
        <w:rPr>
          <w:rtl w:val="true"/>
        </w:rPr>
        <w:t xml:space="preserve">שהתרחש ביום </w:t>
      </w:r>
      <w:r>
        <w:rPr/>
        <w:t>23.7.2013</w:t>
      </w:r>
      <w:r>
        <w:rPr>
          <w:rtl w:val="true"/>
        </w:rPr>
        <w:t xml:space="preserve">, </w:t>
      </w:r>
      <w:r>
        <w:rPr>
          <w:rtl w:val="true"/>
        </w:rPr>
        <w:t>קיים פער של מספר ימים בודדים</w:t>
      </w:r>
      <w:r>
        <w:rPr>
          <w:rtl w:val="true"/>
        </w:rPr>
        <w:t xml:space="preserve">, </w:t>
      </w:r>
      <w:r>
        <w:rPr>
          <w:rtl w:val="true"/>
        </w:rPr>
        <w:t>המעשים שהתבצעו בכל אחד מהם שונים מאוד</w:t>
      </w:r>
      <w:r>
        <w:rPr>
          <w:rtl w:val="true"/>
        </w:rPr>
        <w:t xml:space="preserve">. </w:t>
      </w:r>
      <w:r>
        <w:rPr>
          <w:rtl w:val="true"/>
        </w:rPr>
        <w:t xml:space="preserve">בין האישומים קיים אף שוני משמעותי במקום הביצוע </w:t>
      </w:r>
      <w:r>
        <w:rPr>
          <w:rtl w:val="true"/>
        </w:rPr>
        <w:t>–</w:t>
      </w:r>
      <w:r>
        <w:rPr>
          <w:rtl w:val="true"/>
        </w:rPr>
        <w:t xml:space="preserve"> הראשון בראש העין</w:t>
      </w:r>
      <w:r>
        <w:rPr>
          <w:rtl w:val="true"/>
        </w:rPr>
        <w:t xml:space="preserve">; </w:t>
      </w:r>
      <w:r>
        <w:rPr>
          <w:rtl w:val="true"/>
        </w:rPr>
        <w:t>השלישי בזכרון יעקב</w:t>
      </w:r>
      <w:r>
        <w:rPr>
          <w:rtl w:val="true"/>
        </w:rPr>
        <w:t xml:space="preserve">; </w:t>
      </w:r>
      <w:r>
        <w:rPr>
          <w:rtl w:val="true"/>
        </w:rPr>
        <w:t>השישי בפתח תקווה</w:t>
      </w:r>
      <w:r>
        <w:rPr>
          <w:rtl w:val="true"/>
        </w:rPr>
        <w:t xml:space="preserve">. </w:t>
      </w:r>
      <w:r>
        <w:rPr>
          <w:rtl w:val="true"/>
        </w:rPr>
        <w:t xml:space="preserve">הגם שניתן למצוא קשר מסוים בין העבירות בכל אחד מן האישומים בדמות </w:t>
      </w:r>
      <w:r>
        <w:rPr>
          <w:rtl w:val="true"/>
        </w:rPr>
        <w:t>"</w:t>
      </w:r>
      <w:r>
        <w:rPr>
          <w:rtl w:val="true"/>
        </w:rPr>
        <w:t>מטרת על</w:t>
      </w:r>
      <w:r>
        <w:rPr>
          <w:rtl w:val="true"/>
        </w:rPr>
        <w:t xml:space="preserve">" </w:t>
      </w:r>
      <w:r>
        <w:rPr>
          <w:rtl w:val="true"/>
        </w:rPr>
        <w:t>שלשמה בוצעו העבירות</w:t>
      </w:r>
      <w:r>
        <w:rPr>
          <w:rtl w:val="true"/>
        </w:rPr>
        <w:t xml:space="preserve">, </w:t>
      </w:r>
      <w:r>
        <w:rPr>
          <w:rtl w:val="true"/>
        </w:rPr>
        <w:t>אין בכך</w:t>
      </w:r>
      <w:r>
        <w:rPr>
          <w:rtl w:val="true"/>
        </w:rPr>
        <w:t xml:space="preserve">, </w:t>
      </w:r>
      <w:r>
        <w:rPr>
          <w:rtl w:val="true"/>
        </w:rPr>
        <w:t>לנוכח הפערים המשמעותיים הנוספים</w:t>
      </w:r>
      <w:r>
        <w:rPr>
          <w:rtl w:val="true"/>
        </w:rPr>
        <w:t xml:space="preserve">, </w:t>
      </w:r>
      <w:r>
        <w:rPr>
          <w:rtl w:val="true"/>
        </w:rPr>
        <w:t>כדי להביא למסקנה כי יש לראות בשלושת האישומים אירוע אחד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כך יש להוסיף ולומר</w:t>
      </w:r>
      <w:r>
        <w:rPr>
          <w:rtl w:val="true"/>
        </w:rPr>
        <w:t xml:space="preserve">, </w:t>
      </w:r>
      <w:r>
        <w:rPr>
          <w:rtl w:val="true"/>
        </w:rPr>
        <w:t>כי אף אם הייתה מתקבלת טענת המערער לפיה יש לראות בשלושת האישומים האמורים כאירוע אחד בענייננו</w:t>
      </w:r>
      <w:r>
        <w:rPr>
          <w:rtl w:val="true"/>
        </w:rPr>
        <w:t xml:space="preserve">, </w:t>
      </w:r>
      <w:r>
        <w:rPr>
          <w:rtl w:val="true"/>
        </w:rPr>
        <w:t>לא היה בכך כדי לסייע לו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לא כל שגגה שנפלה באופן הפעלת מנגנון הבניית שיקול הדעת בענישה מצדיקה התערבות של ערכאת הערעור </w:t>
      </w:r>
      <w:r>
        <w:rPr>
          <w:rtl w:val="true"/>
        </w:rPr>
        <w:t>(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22.2.2018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9.6.2016</w:t>
      </w:r>
      <w:r>
        <w:rPr>
          <w:rtl w:val="true"/>
        </w:rPr>
        <w:t xml:space="preserve">)).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כפי שנקבע זה מכבר</w:t>
      </w:r>
      <w:r>
        <w:rPr>
          <w:rtl w:val="true"/>
        </w:rPr>
        <w:t xml:space="preserve">, </w:t>
      </w:r>
      <w:r>
        <w:rPr>
          <w:rtl w:val="true"/>
        </w:rPr>
        <w:t>אף אם בית המשפט נכון לראות במעשים הרבים המיוחסים לנאשם כאירוע אחד</w:t>
      </w:r>
      <w:r>
        <w:rPr>
          <w:rtl w:val="true"/>
        </w:rPr>
        <w:t xml:space="preserve">, </w:t>
      </w:r>
      <w:r>
        <w:rPr>
          <w:rtl w:val="true"/>
        </w:rPr>
        <w:t>מתחם הענישה הנוגע לאירוע זה צריך להביא בחשבון את כלל המעשים המיוחסים לו באותו אירוע</w:t>
      </w:r>
      <w:r>
        <w:rPr>
          <w:rtl w:val="true"/>
        </w:rPr>
        <w:t xml:space="preserve">. </w:t>
      </w:r>
      <w:r>
        <w:rPr>
          <w:rtl w:val="true"/>
        </w:rPr>
        <w:t xml:space="preserve">מתחם הענישה אינו מוגבל במקרים אלה לעונש המקסימלי שניתן להשית בגין העבירה החמורה שבעבירות המיוחסות לו </w:t>
      </w:r>
      <w:r>
        <w:rPr>
          <w:rtl w:val="true"/>
        </w:rPr>
        <w:t>(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4748/14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30.11.2015</w:t>
      </w:r>
      <w:r>
        <w:rPr>
          <w:rtl w:val="true"/>
        </w:rPr>
        <w:t xml:space="preserve">);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(</w:t>
      </w:r>
      <w:r>
        <w:rPr/>
        <w:t>23.7.2015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ובאשר למתחמים שנקבעו לאישומים השני והחמישי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מלאכת קביעת מתחם הענישה ההולם איננה עניין אריתמטי</w:t>
      </w:r>
      <w:r>
        <w:rPr>
          <w:rtl w:val="true"/>
        </w:rPr>
        <w:t xml:space="preserve">, </w:t>
      </w:r>
      <w:r>
        <w:rPr>
          <w:rtl w:val="true"/>
        </w:rPr>
        <w:t xml:space="preserve">ולבית המשפט נתון מרחב של גמישות שאין להתערב בו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14.6.2017</w:t>
      </w:r>
      <w:r>
        <w:rPr>
          <w:rtl w:val="true"/>
        </w:rPr>
        <w:t xml:space="preserve">);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2"/>
          <w:sz w:val="22"/>
          <w:szCs w:val="24"/>
          <w:rtl w:val="true"/>
        </w:rPr>
        <w:t>ג</w:t>
      </w:r>
      <w:r>
        <w:rPr>
          <w:rFonts w:cs="Miriam"/>
          <w:spacing w:val="0"/>
          <w:sz w:val="22"/>
          <w:szCs w:val="24"/>
          <w:rtl w:val="true"/>
        </w:rPr>
        <w:t>'</w:t>
      </w:r>
      <w:r>
        <w:rPr>
          <w:rFonts w:cs="Miriam"/>
          <w:spacing w:val="0"/>
          <w:sz w:val="22"/>
          <w:sz w:val="22"/>
          <w:szCs w:val="24"/>
          <w:rtl w:val="true"/>
        </w:rPr>
        <w:t>באלי</w:t>
      </w:r>
      <w:r>
        <w:rPr>
          <w:rFonts w:eastAsia="Garamond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spacing w:val="0"/>
          <w:sz w:val="22"/>
          <w:szCs w:val="24"/>
          <w:rtl w:val="true"/>
        </w:rPr>
        <w:t xml:space="preserve">' </w:t>
      </w:r>
      <w:r>
        <w:rPr>
          <w:rFonts w:cs="Miriam"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spacing w:val="0"/>
          <w:sz w:val="22"/>
          <w:sz w:val="22"/>
          <w:szCs w:val="24"/>
          <w:rtl w:val="true"/>
        </w:rPr>
        <w:t>ישראל</w:t>
      </w:r>
      <w:r>
        <w:rPr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5</w:t>
      </w:r>
      <w:r>
        <w:rPr>
          <w:sz w:val="28"/>
          <w:rtl w:val="true"/>
        </w:rPr>
        <w:t xml:space="preserve"> (</w:t>
      </w:r>
      <w:r>
        <w:rPr>
          <w:sz w:val="28"/>
        </w:rPr>
        <w:t>17.11.2016</w:t>
      </w:r>
      <w:r>
        <w:rPr>
          <w:sz w:val="28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 לגופו של עניין לא מצאתי ממש בטענה</w:t>
      </w:r>
      <w:r>
        <w:rPr>
          <w:rtl w:val="true"/>
        </w:rPr>
        <w:t xml:space="preserve">. </w:t>
      </w:r>
      <w:r>
        <w:rPr>
          <w:rtl w:val="true"/>
        </w:rPr>
        <w:t xml:space="preserve">עיון בפסיקת בית משפט זה מלמד כי מתחמי העונש שנקבעו ביחס לאישומים השני והחמישי עולים בקנה אחד עם מדיניות הענישה הנוהגת בעבירות דומות </w:t>
      </w:r>
      <w:r>
        <w:rPr>
          <w:rtl w:val="true"/>
        </w:rPr>
        <w:t>(</w:t>
      </w:r>
      <w:r>
        <w:rPr>
          <w:rtl w:val="true"/>
        </w:rPr>
        <w:t>וראו והשוו</w:t>
      </w:r>
      <w:r>
        <w:rPr>
          <w:rtl w:val="true"/>
        </w:rPr>
        <w:t xml:space="preserve">: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9833/16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19.7.2017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9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602/13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סלהב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3.3.2014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9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8788/18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7.4.2011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ולעניין חומרת העונש</w:t>
      </w:r>
      <w:r>
        <w:rPr>
          <w:rtl w:val="true"/>
        </w:rPr>
        <w:t xml:space="preserve">. </w:t>
      </w:r>
      <w:r>
        <w:rPr>
          <w:rtl w:val="true"/>
        </w:rPr>
        <w:t>הלכה נושנה היא כי אין זה מדרכה של ערכאת הערעור להתערב בגזר דין שנתנה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של סטייה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במקרים שבהם נפלה טעות מהותית בגזר הדין </w:t>
      </w:r>
      <w:r>
        <w:rPr>
          <w:rtl w:val="true"/>
        </w:rPr>
        <w:t>(</w:t>
      </w:r>
      <w:hyperlink r:id="rId9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4777/17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23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10.1.2018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9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4701/16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סבלאן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25.10.2017</w:t>
      </w:r>
      <w:r>
        <w:rPr>
          <w:rFonts w:cs="Century" w:ascii="Century" w:hAnsi="Century"/>
          <w:rtl w:val="true"/>
        </w:rPr>
        <w:t xml:space="preserve">); </w:t>
      </w:r>
      <w:hyperlink r:id="rId9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2420/15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אבטליון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29.11.2015</w:t>
      </w:r>
      <w:r>
        <w:rPr>
          <w:rtl w:val="true"/>
        </w:rPr>
        <w:t xml:space="preserve">); </w:t>
      </w:r>
      <w:hyperlink r:id="rId9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2840/11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יאסין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14.6.2012</w:t>
      </w:r>
      <w:r>
        <w:rPr>
          <w:rtl w:val="true"/>
        </w:rPr>
        <w:t xml:space="preserve">)).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אין צריך לומר כי מעשיו של המערער חמורים על פי כל קנה מידה</w:t>
      </w:r>
      <w:r>
        <w:rPr>
          <w:rtl w:val="true"/>
        </w:rPr>
        <w:t xml:space="preserve">. </w:t>
      </w:r>
      <w:r>
        <w:rPr>
          <w:rtl w:val="true"/>
        </w:rPr>
        <w:t>במשך כשנה הוא ביצע עבירות אלימות ורכוש חוזרות ונשנות</w:t>
      </w:r>
      <w:r>
        <w:rPr>
          <w:rtl w:val="true"/>
        </w:rPr>
        <w:t xml:space="preserve">. </w:t>
      </w:r>
      <w:r>
        <w:rPr>
          <w:rtl w:val="true"/>
        </w:rPr>
        <w:t>המערער פרץ לביתם</w:t>
      </w:r>
      <w:r>
        <w:rPr>
          <w:rtl w:val="true"/>
        </w:rPr>
        <w:t>-</w:t>
      </w:r>
      <w:r>
        <w:rPr>
          <w:rtl w:val="true"/>
        </w:rPr>
        <w:t>מבצרם של אנשים ובכך פגע בפרטיותם ובשלום גופם באופן אלים ומאיים</w:t>
      </w:r>
      <w:r>
        <w:rPr>
          <w:rtl w:val="true"/>
        </w:rPr>
        <w:t xml:space="preserve">. </w:t>
      </w:r>
      <w:r>
        <w:rPr>
          <w:rtl w:val="true"/>
        </w:rPr>
        <w:t>הוא אף הוביל שלא כדין כלי נשק באופן המסכן כשלעצמו את שלום הציבור ובטחונו</w:t>
      </w:r>
      <w:r>
        <w:rPr>
          <w:rtl w:val="true"/>
        </w:rPr>
        <w:t xml:space="preserve">. </w:t>
      </w:r>
      <w:r>
        <w:rPr>
          <w:rtl w:val="true"/>
        </w:rPr>
        <w:t>המערער סרב לקבל את מרות החוק ונמלט תוך שפגע באופן חמור בשוטר</w:t>
      </w:r>
      <w:r>
        <w:rPr>
          <w:rtl w:val="true"/>
        </w:rPr>
        <w:t xml:space="preserve">. </w:t>
      </w:r>
      <w:r>
        <w:rPr>
          <w:rtl w:val="true"/>
        </w:rPr>
        <w:t xml:space="preserve">על כך יש להוסיף את עברו הפלילי של המערער </w:t>
      </w:r>
      <w:r>
        <w:rPr>
          <w:rtl w:val="true"/>
        </w:rPr>
        <w:t>–</w:t>
      </w:r>
      <w:r>
        <w:rPr>
          <w:rtl w:val="true"/>
        </w:rPr>
        <w:t xml:space="preserve"> אשר עלה ארצה מקזחסטן בשנת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 xml:space="preserve">וכבר בשנת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נידון ל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 מאסר בפועל ולעשרה חודשי מאסר מותנה בשל צבר של עבירות רכוש ועבירות נוספות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ועל אף שבית המשפט המחוזי נתן בגזר דינו משקל לעובדה כי בעת מעצרו נהגו במערער בדרך בלתי ראויה</w:t>
      </w:r>
      <w:r>
        <w:rPr>
          <w:rtl w:val="true"/>
        </w:rPr>
        <w:t xml:space="preserve">, </w:t>
      </w:r>
      <w:r>
        <w:rPr>
          <w:rtl w:val="true"/>
        </w:rPr>
        <w:t>לא נראה כי ניתן לכך משקל מספק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בניגוד למצב שהיה קיים בבית המשפט המחוזי בעת מתן גזר הדין</w:t>
      </w:r>
      <w:r>
        <w:rPr>
          <w:rtl w:val="true"/>
        </w:rPr>
        <w:t xml:space="preserve">, </w:t>
      </w:r>
      <w:r>
        <w:rPr>
          <w:rtl w:val="true"/>
        </w:rPr>
        <w:t>כיום המערער מקבל אחריות על אשר עשה</w:t>
      </w:r>
      <w:r>
        <w:rPr>
          <w:rtl w:val="true"/>
        </w:rPr>
        <w:t xml:space="preserve">, </w:t>
      </w:r>
      <w:r>
        <w:rPr>
          <w:rtl w:val="true"/>
        </w:rPr>
        <w:t>דבר הבא לידי ביטוי בחזרתו מרוב הערעור על הרשעתו בדין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מצאתי כי יש להמתיק במידת מה את העונש אשר הושת עליו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לפיכך לסיכום</w:t>
      </w:r>
      <w:r>
        <w:rPr>
          <w:rtl w:val="true"/>
        </w:rPr>
        <w:t xml:space="preserve">, </w:t>
      </w:r>
      <w:r>
        <w:rPr>
          <w:rtl w:val="true"/>
        </w:rPr>
        <w:t>אם תישמע דעתי</w:t>
      </w:r>
      <w:r>
        <w:rPr>
          <w:rtl w:val="true"/>
        </w:rPr>
        <w:t xml:space="preserve">, </w:t>
      </w:r>
      <w:r>
        <w:rPr>
          <w:rtl w:val="true"/>
        </w:rPr>
        <w:t>הערעור על הכרעת הדין ידחה ואילו הערעור על גזר הדין יתקבל באופן שהמאסר בפועל אשר הושת על המערער</w:t>
      </w:r>
      <w:r>
        <w:rPr>
          <w:rtl w:val="true"/>
        </w:rPr>
        <w:t xml:space="preserve">, </w:t>
      </w:r>
      <w:r>
        <w:rPr>
          <w:rtl w:val="true"/>
        </w:rPr>
        <w:t>כולל המאסר המותנה שהופעל כמפורט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יעמוד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 xml:space="preserve">חלף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יתר רכיבי גזר הדין יעמדו על מכונם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מזוז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אלרון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31.7.2018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17020120</w:t>
      </w:r>
      <w:r>
        <w:rPr>
          <w:sz w:val="16"/>
          <w:rtl w:val="true"/>
        </w:rPr>
        <w:t>_</w:t>
      </w:r>
      <w:r>
        <w:rPr>
          <w:sz w:val="16"/>
        </w:rPr>
        <w:t>N06.doc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7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54678313-2012/17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9"/>
      <w:footerReference w:type="default" r:id="rId100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2012/17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איידר קסימובה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3z0">
    <w:name w:val="WW8Num13z0"/>
    <w:qFormat/>
    <w:rPr>
      <w:sz w:val="28"/>
    </w:rPr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/>
  </w:style>
  <w:style w:type="character" w:styleId="big-number">
    <w:name w:val="big-number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2">
    <w:name w:val=" Char Char2"/>
    <w:qFormat/>
    <w:rPr>
      <w:rFonts w:ascii="Tahoma" w:hAnsi="Tahoma" w:cs="Tahoma"/>
      <w:spacing w:val="10"/>
      <w:sz w:val="18"/>
      <w:szCs w:val="18"/>
    </w:rPr>
  </w:style>
  <w:style w:type="character" w:styleId="apple-style-span">
    <w:name w:val="apple-style-span"/>
    <w:qFormat/>
    <w:rPr/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Century" w:hAnsi="Century" w:cs="FrankRuehl"/>
      <w:b/>
      <w:bCs/>
      <w:spacing w:val="1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ruller411">
    <w:name w:val="ruller41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ruller50">
    <w:name w:val="ruller5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CommentSubject">
    <w:name w:val="Comment Subject"/>
    <w:basedOn w:val="CommentText"/>
    <w:next w:val="CommentText"/>
    <w:qFormat/>
    <w:pPr>
      <w:spacing w:lineRule="auto" w:line="240"/>
      <w:ind w:hanging="0" w:start="0" w:end="0"/>
      <w:jc w:val="start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06249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safrut/bookgroup/412" TargetMode="External"/><Relationship Id="rId5" Type="http://schemas.openxmlformats.org/officeDocument/2006/relationships/hyperlink" Target="http://www.nevo.co.il/safrut/book/5718" TargetMode="External"/><Relationship Id="rId6" Type="http://schemas.openxmlformats.org/officeDocument/2006/relationships/hyperlink" Target="http://www.nevo.co.il/safrut/book/5718" TargetMode="External"/><Relationship Id="rId7" Type="http://schemas.openxmlformats.org/officeDocument/2006/relationships/hyperlink" Target="http://www.nevo.co.il/safrut/book/5167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5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86.a" TargetMode="External"/><Relationship Id="rId13" Type="http://schemas.openxmlformats.org/officeDocument/2006/relationships/hyperlink" Target="http://www.nevo.co.il/law/70301/274.1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/334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84" TargetMode="External"/><Relationship Id="rId18" Type="http://schemas.openxmlformats.org/officeDocument/2006/relationships/hyperlink" Target="http://www.nevo.co.il/law/70301/402.b" TargetMode="External"/><Relationship Id="rId19" Type="http://schemas.openxmlformats.org/officeDocument/2006/relationships/hyperlink" Target="http://www.nevo.co.il/law/70301/406" TargetMode="External"/><Relationship Id="rId20" Type="http://schemas.openxmlformats.org/officeDocument/2006/relationships/hyperlink" Target="http://www.nevo.co.il/law/70301/406.b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/40jc.a" TargetMode="External"/><Relationship Id="rId23" Type="http://schemas.openxmlformats.org/officeDocument/2006/relationships/hyperlink" Target="http://www.nevo.co.il/law/70301/40jc.b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law/98569/12" TargetMode="External"/><Relationship Id="rId26" Type="http://schemas.openxmlformats.org/officeDocument/2006/relationships/hyperlink" Target="http://www.nevo.co.il/case/17906249" TargetMode="External"/><Relationship Id="rId27" Type="http://schemas.openxmlformats.org/officeDocument/2006/relationships/hyperlink" Target="http://www.nevo.co.il/law/70301/406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84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406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2.b" TargetMode="External"/><Relationship Id="rId34" Type="http://schemas.openxmlformats.org/officeDocument/2006/relationships/hyperlink" Target="http://www.nevo.co.il/law/70301/406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84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274.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6.b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84" TargetMode="External"/><Relationship Id="rId43" Type="http://schemas.openxmlformats.org/officeDocument/2006/relationships/hyperlink" Target="http://www.nevo.co.il/law/70301/402.b" TargetMode="External"/><Relationship Id="rId44" Type="http://schemas.openxmlformats.org/officeDocument/2006/relationships/hyperlink" Target="http://www.nevo.co.il/law/70301/335.a.1" TargetMode="External"/><Relationship Id="rId45" Type="http://schemas.openxmlformats.org/officeDocument/2006/relationships/hyperlink" Target="http://www.nevo.co.il/law/70301/333" TargetMode="External"/><Relationship Id="rId46" Type="http://schemas.openxmlformats.org/officeDocument/2006/relationships/hyperlink" Target="http://www.nevo.co.il/law/70301/335.a.1" TargetMode="External"/><Relationship Id="rId47" Type="http://schemas.openxmlformats.org/officeDocument/2006/relationships/hyperlink" Target="http://www.nevo.co.il/law/70301/334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44.b2" TargetMode="External"/><Relationship Id="rId51" Type="http://schemas.openxmlformats.org/officeDocument/2006/relationships/hyperlink" Target="http://www.nevo.co.il/law/70301/25" TargetMode="External"/><Relationship Id="rId52" Type="http://schemas.openxmlformats.org/officeDocument/2006/relationships/hyperlink" Target="http://www.nevo.co.il/law/70301/186.a" TargetMode="External"/><Relationship Id="rId53" Type="http://schemas.openxmlformats.org/officeDocument/2006/relationships/hyperlink" Target="http://www.nevo.co.il/law/98569/12" TargetMode="External"/><Relationship Id="rId54" Type="http://schemas.openxmlformats.org/officeDocument/2006/relationships/hyperlink" Target="http://www.nevo.co.il/law/98569" TargetMode="External"/><Relationship Id="rId55" Type="http://schemas.openxmlformats.org/officeDocument/2006/relationships/hyperlink" Target="http://www.nevo.co.il/case/5883040" TargetMode="External"/><Relationship Id="rId56" Type="http://schemas.openxmlformats.org/officeDocument/2006/relationships/hyperlink" Target="http://www.nevo.co.il/law/70301/25" TargetMode="External"/><Relationship Id="rId57" Type="http://schemas.openxmlformats.org/officeDocument/2006/relationships/hyperlink" Target="http://www.nevo.co.il/case/5804761" TargetMode="External"/><Relationship Id="rId58" Type="http://schemas.openxmlformats.org/officeDocument/2006/relationships/hyperlink" Target="http://www.nevo.co.il/case/5777967" TargetMode="External"/><Relationship Id="rId59" Type="http://schemas.openxmlformats.org/officeDocument/2006/relationships/hyperlink" Target="http://www.nevo.co.il/case/17920174" TargetMode="External"/><Relationship Id="rId60" Type="http://schemas.openxmlformats.org/officeDocument/2006/relationships/hyperlink" Target="http://www.nevo.co.il/case/17913388" TargetMode="External"/><Relationship Id="rId61" Type="http://schemas.openxmlformats.org/officeDocument/2006/relationships/hyperlink" Target="http://www.nevo.co.il/case/20036713" TargetMode="External"/><Relationship Id="rId62" Type="http://schemas.openxmlformats.org/officeDocument/2006/relationships/hyperlink" Target="http://www.nevo.co.il/safrut/book/5718" TargetMode="External"/><Relationship Id="rId63" Type="http://schemas.openxmlformats.org/officeDocument/2006/relationships/hyperlink" Target="http://www.nevo.co.il/case/6140432" TargetMode="External"/><Relationship Id="rId64" Type="http://schemas.openxmlformats.org/officeDocument/2006/relationships/hyperlink" Target="http://www.nevo.co.il/case/6102864" TargetMode="External"/><Relationship Id="rId65" Type="http://schemas.openxmlformats.org/officeDocument/2006/relationships/hyperlink" Target="http://www.nevo.co.il/case/17925687" TargetMode="External"/><Relationship Id="rId66" Type="http://schemas.openxmlformats.org/officeDocument/2006/relationships/hyperlink" Target="http://www.nevo.co.il/case/5594119" TargetMode="External"/><Relationship Id="rId67" Type="http://schemas.openxmlformats.org/officeDocument/2006/relationships/hyperlink" Target="http://www.nevo.co.il/case/6154475" TargetMode="External"/><Relationship Id="rId68" Type="http://schemas.openxmlformats.org/officeDocument/2006/relationships/hyperlink" Target="http://www.nevo.co.il/law/70301/144.b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safrut/book/5167" TargetMode="External"/><Relationship Id="rId71" Type="http://schemas.openxmlformats.org/officeDocument/2006/relationships/hyperlink" Target="http://www.nevo.co.il/case/5726838" TargetMode="External"/><Relationship Id="rId72" Type="http://schemas.openxmlformats.org/officeDocument/2006/relationships/hyperlink" Target="http://www.nevo.co.il/safrut/bookgroup/412" TargetMode="External"/><Relationship Id="rId73" Type="http://schemas.openxmlformats.org/officeDocument/2006/relationships/hyperlink" Target="http://www.nevo.co.il/case/5997299" TargetMode="External"/><Relationship Id="rId74" Type="http://schemas.openxmlformats.org/officeDocument/2006/relationships/hyperlink" Target="http://www.nevo.co.il/case/17911102" TargetMode="External"/><Relationship Id="rId75" Type="http://schemas.openxmlformats.org/officeDocument/2006/relationships/hyperlink" Target="http://www.nevo.co.il/case/17920381" TargetMode="External"/><Relationship Id="rId76" Type="http://schemas.openxmlformats.org/officeDocument/2006/relationships/hyperlink" Target="http://www.nevo.co.il/case/5897031" TargetMode="External"/><Relationship Id="rId77" Type="http://schemas.openxmlformats.org/officeDocument/2006/relationships/hyperlink" Target="http://www.nevo.co.il/case/6110428" TargetMode="External"/><Relationship Id="rId78" Type="http://schemas.openxmlformats.org/officeDocument/2006/relationships/hyperlink" Target="http://www.nevo.co.il/law/70301/40jc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0jc.a" TargetMode="External"/><Relationship Id="rId81" Type="http://schemas.openxmlformats.org/officeDocument/2006/relationships/hyperlink" Target="http://www.nevo.co.il/law/70301/40jc.b" TargetMode="External"/><Relationship Id="rId82" Type="http://schemas.openxmlformats.org/officeDocument/2006/relationships/hyperlink" Target="http://www.nevo.co.il/case/13093721" TargetMode="External"/><Relationship Id="rId83" Type="http://schemas.openxmlformats.org/officeDocument/2006/relationships/hyperlink" Target="http://www.nevo.co.il/case/20033641" TargetMode="External"/><Relationship Id="rId84" Type="http://schemas.openxmlformats.org/officeDocument/2006/relationships/hyperlink" Target="http://www.nevo.co.il/case/20832658" TargetMode="External"/><Relationship Id="rId85" Type="http://schemas.openxmlformats.org/officeDocument/2006/relationships/hyperlink" Target="http://www.nevo.co.il/case/20683368" TargetMode="External"/><Relationship Id="rId86" Type="http://schemas.openxmlformats.org/officeDocument/2006/relationships/hyperlink" Target="http://www.nevo.co.il/case/20687787" TargetMode="External"/><Relationship Id="rId87" Type="http://schemas.openxmlformats.org/officeDocument/2006/relationships/hyperlink" Target="http://www.nevo.co.il/case/11303307" TargetMode="External"/><Relationship Id="rId88" Type="http://schemas.openxmlformats.org/officeDocument/2006/relationships/hyperlink" Target="http://www.nevo.co.il/case/21478686" TargetMode="External"/><Relationship Id="rId89" Type="http://schemas.openxmlformats.org/officeDocument/2006/relationships/hyperlink" Target="http://www.nevo.co.il/case/21474168" TargetMode="External"/><Relationship Id="rId90" Type="http://schemas.openxmlformats.org/officeDocument/2006/relationships/hyperlink" Target="http://www.nevo.co.il/case/22303172" TargetMode="External"/><Relationship Id="rId91" Type="http://schemas.openxmlformats.org/officeDocument/2006/relationships/hyperlink" Target="http://www.nevo.co.il/case/5568911" TargetMode="External"/><Relationship Id="rId92" Type="http://schemas.openxmlformats.org/officeDocument/2006/relationships/hyperlink" Target="http://www.nevo.co.il/case/5765615" TargetMode="External"/><Relationship Id="rId93" Type="http://schemas.openxmlformats.org/officeDocument/2006/relationships/hyperlink" Target="http://www.nevo.co.il/case/23507758" TargetMode="External"/><Relationship Id="rId94" Type="http://schemas.openxmlformats.org/officeDocument/2006/relationships/hyperlink" Target="http://www.nevo.co.il/case/21475354" TargetMode="External"/><Relationship Id="rId95" Type="http://schemas.openxmlformats.org/officeDocument/2006/relationships/hyperlink" Target="http://www.nevo.co.il/case/20157961" TargetMode="External"/><Relationship Id="rId96" Type="http://schemas.openxmlformats.org/officeDocument/2006/relationships/hyperlink" Target="http://www.nevo.co.il/case/5601540" TargetMode="External"/><Relationship Id="rId97" Type="http://schemas.openxmlformats.org/officeDocument/2006/relationships/hyperlink" Target="https://supreme.court.gov.il/" TargetMode="External"/><Relationship Id="rId98" Type="http://schemas.openxmlformats.org/officeDocument/2006/relationships/hyperlink" Target="http://www.nevo.co.il/advertisements/nevo-100.doc" TargetMode="External"/><Relationship Id="rId99" Type="http://schemas.openxmlformats.org/officeDocument/2006/relationships/header" Target="header1.xml"/><Relationship Id="rId100" Type="http://schemas.openxmlformats.org/officeDocument/2006/relationships/footer" Target="footer1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2018-08-02T08:36:00Z</dcterms:created>
  <dc:creator> </dc:creator>
  <dc:description/>
  <cp:keywords/>
  <dc:language>en-IL</dc:language>
  <cp:lastModifiedBy>orly</cp:lastModifiedBy>
  <cp:lastPrinted>2018-07-26T18:06:00Z</cp:lastPrinted>
  <dcterms:modified xsi:type="dcterms:W3CDTF">2018-08-02T08:36:00Z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איידר קסימובה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BOOKLISTTMP1">
    <vt:lpwstr>5718;5167</vt:lpwstr>
  </property>
  <property fmtid="{D5CDD505-2E9C-101B-9397-08002B2CF9AE}" pid="10" name="CASESLISTTMP1">
    <vt:lpwstr>17906249:2;5883040;5804761;5777967;17920174;17913388;20036713;6140432;6102864;17925687;5594119;6154475;5726838;5997299;17911102;17920381;5897031;6110428;13093721;20033641;20832658;20683368;20687787;11303307;21478686;21474168;22303172;5568911;5765615</vt:lpwstr>
  </property>
  <property fmtid="{D5CDD505-2E9C-101B-9397-08002B2CF9AE}" pid="11" name="CASESLISTTMP2">
    <vt:lpwstr>23507758;21475354;20157961;5601540</vt:lpwstr>
  </property>
  <property fmtid="{D5CDD505-2E9C-101B-9397-08002B2CF9AE}" pid="12" name="CITY">
    <vt:lpwstr/>
  </property>
  <property fmtid="{D5CDD505-2E9C-101B-9397-08002B2CF9AE}" pid="13" name="DATE">
    <vt:lpwstr>20180731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מ' מזוז;ד' מינץ;י' אלרון</vt:lpwstr>
  </property>
  <property fmtid="{D5CDD505-2E9C-101B-9397-08002B2CF9AE}" pid="17" name="LAWLISTTMP1">
    <vt:lpwstr>70301/406.b:3;384:3;144.b:4;406;402.b:2;274.1;335.a.1:2;333;334;144.b2;025:2;186.a;40jc;40jc.a;40jc.b</vt:lpwstr>
  </property>
  <property fmtid="{D5CDD505-2E9C-101B-9397-08002B2CF9AE}" pid="18" name="LAWLISTTMP2">
    <vt:lpwstr>98569/012</vt:lpwstr>
  </property>
  <property fmtid="{D5CDD505-2E9C-101B-9397-08002B2CF9AE}" pid="19" name="LAWYER">
    <vt:lpwstr>אפרת גולדשטיין;שרון נהרי;ניסים לביא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>עונשין</vt:lpwstr>
  </property>
  <property fmtid="{D5CDD505-2E9C-101B-9397-08002B2CF9AE}" pid="37" name="NOSE17">
    <vt:lpwstr>עונשין</vt:lpwstr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77;77;77;77;77;77;77</vt:lpwstr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עבירות</vt:lpwstr>
  </property>
  <property fmtid="{D5CDD505-2E9C-101B-9397-08002B2CF9AE}" pid="44" name="NOSE23">
    <vt:lpwstr>עבירות</vt:lpwstr>
  </property>
  <property fmtid="{D5CDD505-2E9C-101B-9397-08002B2CF9AE}" pid="45" name="NOSE24">
    <vt:lpwstr>אחריות פלילית</vt:lpwstr>
  </property>
  <property fmtid="{D5CDD505-2E9C-101B-9397-08002B2CF9AE}" pid="46" name="NOSE25">
    <vt:lpwstr>ענישה</vt:lpwstr>
  </property>
  <property fmtid="{D5CDD505-2E9C-101B-9397-08002B2CF9AE}" pid="47" name="NOSE26">
    <vt:lpwstr>ענישה</vt:lpwstr>
  </property>
  <property fmtid="{D5CDD505-2E9C-101B-9397-08002B2CF9AE}" pid="48" name="NOSE27">
    <vt:lpwstr>ענישה</vt:lpwstr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1443;1443;1443;1428;1446;1446;1446</vt:lpwstr>
  </property>
  <property fmtid="{D5CDD505-2E9C-101B-9397-08002B2CF9AE}" pid="52" name="NOSE31">
    <vt:lpwstr>ניסיון</vt:lpwstr>
  </property>
  <property fmtid="{D5CDD505-2E9C-101B-9397-08002B2CF9AE}" pid="53" name="NOSE310">
    <vt:lpwstr/>
  </property>
  <property fmtid="{D5CDD505-2E9C-101B-9397-08002B2CF9AE}" pid="54" name="NOSE32">
    <vt:lpwstr>נשק</vt:lpwstr>
  </property>
  <property fmtid="{D5CDD505-2E9C-101B-9397-08002B2CF9AE}" pid="55" name="NOSE33">
    <vt:lpwstr>עבירות נמשכות</vt:lpwstr>
  </property>
  <property fmtid="{D5CDD505-2E9C-101B-9397-08002B2CF9AE}" pid="56" name="NOSE34">
    <vt:lpwstr>ריבוי עבירות</vt:lpwstr>
  </property>
  <property fmtid="{D5CDD505-2E9C-101B-9397-08002B2CF9AE}" pid="57" name="NOSE35">
    <vt:lpwstr>מתחם הענישה</vt:lpwstr>
  </property>
  <property fmtid="{D5CDD505-2E9C-101B-9397-08002B2CF9AE}" pid="58" name="NOSE36">
    <vt:lpwstr>מדיניות ענישה: שיקולים לקולה</vt:lpwstr>
  </property>
  <property fmtid="{D5CDD505-2E9C-101B-9397-08002B2CF9AE}" pid="59" name="NOSE37">
    <vt:lpwstr>התערבות ערכאת הערעור</vt:lpwstr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8866;8868;8886;8655;14985;8996;8978</vt:lpwstr>
  </property>
  <property fmtid="{D5CDD505-2E9C-101B-9397-08002B2CF9AE}" pid="63" name="PADIDATE">
    <vt:lpwstr>20180802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2012</vt:lpwstr>
  </property>
  <property fmtid="{D5CDD505-2E9C-101B-9397-08002B2CF9AE}" pid="69" name="PROCYEAR">
    <vt:lpwstr>17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410120180731</vt:lpwstr>
  </property>
  <property fmtid="{D5CDD505-2E9C-101B-9397-08002B2CF9AE}" pid="73" name="TYPE_N_DATE">
    <vt:lpwstr>41020180731</vt:lpwstr>
  </property>
  <property fmtid="{D5CDD505-2E9C-101B-9397-08002B2CF9AE}" pid="74" name="VOLUME">
    <vt:lpwstr/>
  </property>
  <property fmtid="{D5CDD505-2E9C-101B-9397-08002B2CF9AE}" pid="75" name="WORDNUMPAGES">
    <vt:lpwstr>20</vt:lpwstr>
  </property>
</Properties>
</file>