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2031/23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טארק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בסטי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8.1.2023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8.2.2023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י</w:t>
            </w:r>
            <w:r>
              <w:rPr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56371-03-22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4"/>
                <w:szCs w:val="32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32"/>
              </w:rPr>
              <w:t>19.02.2024</w:t>
            </w:r>
            <w:r>
              <w:rPr>
                <w:rFonts w:cs="David" w:ascii="David" w:hAnsi="David"/>
                <w:sz w:val="24"/>
                <w:szCs w:val="32"/>
                <w:rtl w:val="true"/>
              </w:rPr>
              <w:t xml:space="preserve">)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highlight w:val="yellow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קצב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FrankRuehl"/>
          <w:sz w:val="24"/>
          <w:szCs w:val="26"/>
          <w:rtl w:val="true"/>
        </w:rPr>
        <w:t>. 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>*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 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ברחוב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נמלטו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וכשהמתלונן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רדף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באגודל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בשפתיו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ש״ח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באגודל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 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באגודל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מכשירי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במכשירים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האוצרים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וסנטימנטלי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FrankRuehl"/>
          <w:sz w:val="24"/>
          <w:szCs w:val="26"/>
          <w:rtl w:val="true"/>
        </w:rPr>
        <w:t>. 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בעידוד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8.1.2023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8.2.2023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56371-03-22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 xml:space="preserve">חבלה חמורה בנסיבות מחמירות </w:t>
      </w:r>
      <w:r>
        <w:rPr>
          <w:rFonts w:ascii="David" w:hAnsi="David" w:eastAsia="Calibri" w:cs="David"/>
          <w:rtl w:val="true"/>
        </w:rPr>
        <w:t>ו</w:t>
      </w:r>
      <w:r>
        <w:rPr>
          <w:rFonts w:ascii="David" w:hAnsi="David" w:eastAsia="Calibri" w:cs="David"/>
          <w:rtl w:val="true"/>
        </w:rPr>
        <w:t>החזקת סכין שלא למטרה כשרה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 xml:space="preserve">ונגזרו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</w:t>
      </w:r>
      <w:r>
        <w:rPr>
          <w:rFonts w:ascii="David" w:hAnsi="David" w:cs="David"/>
          <w:rtl w:val="true"/>
        </w:rPr>
        <w:t>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הפעלת מאסר על תנאי של חצי שנה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שנה אחת מאסר על תנאי וחיוב לפצות את קורבן העבירה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</w:t>
      </w:r>
      <w:r>
        <w:rPr>
          <w:rFonts w:cs="David" w:ascii="David" w:hAnsi="David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both"/>
        <w:rPr/>
      </w:pPr>
      <w:r>
        <w:rPr>
          <w:rFonts w:eastAsia="Calibri" w:cs="FrankRuehl" w:ascii="David" w:hAnsi="David"/>
          <w:spacing w:val="10"/>
          <w:sz w:val="22"/>
          <w:szCs w:val="28"/>
        </w:rPr>
        <w:t>1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.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מסופר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David" w:hAnsi="David"/>
          <w:spacing w:val="10"/>
          <w:sz w:val="22"/>
          <w:szCs w:val="28"/>
        </w:rPr>
        <w:t>15.3.2022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David" w:hAnsi="David"/>
          <w:spacing w:val="10"/>
          <w:sz w:val="22"/>
          <w:szCs w:val="28"/>
        </w:rPr>
        <w:t>02:20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בעיר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נאשמת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(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: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הנאשמת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ושניהם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: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),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.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,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David" w:hAnsi="David"/>
          <w:spacing w:val="10"/>
          <w:sz w:val="22"/>
          <w:szCs w:val="28"/>
        </w:rPr>
        <w:t>1982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רחוב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ובידו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נייד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,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לשדוד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.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ניגשו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באגרופים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למשוך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שה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.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התנגד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ואחז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ובאותה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הנאשמת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עודדה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"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תיקח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".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עיקם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והמתלונן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.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שרוע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קרקע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בעט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שנשא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ודרש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שילך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.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נמלטו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לרחוב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כשהטלפון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בידם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רדף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יהם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שיחזירו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.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שרצה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מלהמשיך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בעקבותיהם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,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הסתובב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והשליך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אבנים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.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ממעשי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שבר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באגודל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שמאל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וחבלה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eastAsia="Calibri" w:cs="FrankRuehl"/>
          <w:spacing w:val="10"/>
          <w:sz w:val="22"/>
          <w:sz w:val="22"/>
          <w:szCs w:val="28"/>
          <w:rtl w:val="true"/>
        </w:rPr>
        <w:t>בשפתיים</w:t>
      </w:r>
      <w:r>
        <w:rPr>
          <w:rFonts w:eastAsia="Calibri" w:cs="FrankRuehl" w:ascii="David" w:hAnsi="David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eastAsia="Calibri" w:cs="David"/>
          <w:spacing w:val="10"/>
          <w:sz w:val="22"/>
          <w:szCs w:val="28"/>
        </w:rPr>
      </w:pPr>
      <w:r>
        <w:rPr>
          <w:rFonts w:eastAsia="Calibri" w:cs="David" w:ascii="David" w:hAnsi="David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 w:cs="David"/>
          <w:rtl w:val="true"/>
        </w:rPr>
        <w:t xml:space="preserve">העבירות שיוחסו למערער היו </w:t>
      </w:r>
      <w:r>
        <w:rPr>
          <w:rFonts w:ascii="David" w:hAnsi="David" w:eastAsia="Calibri" w:cs="David"/>
          <w:rtl w:val="true"/>
        </w:rPr>
        <w:t>שוד בנסיבות מחמירות לפי</w:t>
      </w:r>
      <w:r>
        <w:rPr>
          <w:rFonts w:ascii="David" w:hAnsi="David" w:eastAsia="Calibri" w:cs="David"/>
          <w:rtl w:val="true"/>
        </w:rPr>
        <w:t xml:space="preserve"> </w:t>
      </w:r>
      <w:hyperlink r:id="rId11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402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 w:cs="David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</w:t>
      </w:r>
      <w:hyperlink r:id="rId12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 w:cs="David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 w:cs="David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החוק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 w:cs="David"/>
          <w:rtl w:val="true"/>
        </w:rPr>
        <w:t>חבלה חמורה בנסיבות מחמירות לפי</w:t>
      </w:r>
      <w:r>
        <w:rPr>
          <w:rFonts w:ascii="David" w:hAnsi="David" w:eastAsia="Calibri" w:cs="David"/>
          <w:rtl w:val="true"/>
        </w:rPr>
        <w:t xml:space="preserve"> </w:t>
      </w:r>
      <w:hyperlink r:id="rId13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333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בצירוף</w:t>
      </w:r>
      <w:r>
        <w:rPr>
          <w:rFonts w:ascii="David" w:hAnsi="David" w:eastAsia="Calibri" w:cs="David"/>
          <w:rtl w:val="true"/>
        </w:rPr>
        <w:t xml:space="preserve"> </w:t>
      </w:r>
      <w:hyperlink r:id="rId14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335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 w:cs="David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 w:cs="David"/>
          <w:rtl w:val="true"/>
        </w:rPr>
        <w:t>ו</w:t>
      </w:r>
      <w:r>
        <w:rPr>
          <w:rFonts w:ascii="David" w:hAnsi="David" w:eastAsia="Calibri" w:cs="David"/>
          <w:rtl w:val="true"/>
        </w:rPr>
        <w:t>החזקת סכין שלא למטרה כשרה לפי</w:t>
      </w:r>
      <w:r>
        <w:rPr>
          <w:rFonts w:ascii="David" w:hAnsi="David" w:eastAsia="Calibri" w:cs="David"/>
          <w:rtl w:val="true"/>
        </w:rPr>
        <w:t xml:space="preserve"> </w:t>
      </w:r>
      <w:hyperlink r:id="rId15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186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 w:cs="David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 w:cs="David"/>
          <w:rtl w:val="true"/>
        </w:rPr>
        <w:t xml:space="preserve">העבירות שיוחסו לנאשמת היו </w:t>
      </w:r>
      <w:r>
        <w:rPr>
          <w:rFonts w:ascii="David" w:hAnsi="David" w:eastAsia="Calibri" w:cs="David"/>
          <w:rtl w:val="true"/>
        </w:rPr>
        <w:t>סיוע לשוד בנסיבות מחמירות לפי</w:t>
      </w:r>
      <w:r>
        <w:rPr>
          <w:rFonts w:ascii="David" w:hAnsi="David" w:eastAsia="Calibri" w:cs="David"/>
          <w:rtl w:val="true"/>
        </w:rPr>
        <w:t xml:space="preserve"> </w:t>
      </w:r>
      <w:hyperlink r:id="rId16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402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 w:cs="David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בצירוף</w:t>
      </w:r>
      <w:r>
        <w:rPr>
          <w:rFonts w:ascii="David" w:hAnsi="David" w:eastAsia="Calibri" w:cs="David"/>
          <w:rtl w:val="true"/>
        </w:rPr>
        <w:t xml:space="preserve"> </w:t>
      </w:r>
      <w:hyperlink r:id="rId17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 w:cs="David"/>
          <w:rtl w:val="true"/>
        </w:rPr>
        <w:t>ו</w:t>
      </w:r>
      <w:r>
        <w:rPr>
          <w:rFonts w:ascii="David" w:hAnsi="David" w:eastAsia="Calibri" w:cs="David"/>
          <w:rtl w:val="true"/>
        </w:rPr>
        <w:t>סיוע לחבלה חמורה בנסיבות מחמירות לפי</w:t>
      </w:r>
      <w:r>
        <w:rPr>
          <w:rFonts w:ascii="David" w:hAnsi="David" w:eastAsia="Calibri" w:cs="David"/>
          <w:rtl w:val="true"/>
        </w:rPr>
        <w:t xml:space="preserve"> </w:t>
      </w:r>
      <w:hyperlink r:id="rId18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333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 xml:space="preserve">בצירוף </w:t>
      </w:r>
      <w:hyperlink r:id="rId19">
        <w:r>
          <w:rPr>
            <w:rStyle w:val="Hyperlink"/>
            <w:rFonts w:ascii="David" w:hAnsi="David" w:eastAsia="Calibri" w:cs="David"/>
            <w:rtl w:val="true"/>
          </w:rPr>
          <w:t>סעיף</w:t>
        </w:r>
        <w:r>
          <w:rPr>
            <w:rStyle w:val="Hyperlink"/>
            <w:rFonts w:ascii="David" w:hAnsi="David" w:eastAsia="Calibri" w:cs="David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335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 w:cs="David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הנאשמים כפרו במיוחס להם בכתב האישום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ומסרו תיאורים סותרים באשר למעשיהם באותו לילה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לאחר שמיעת ראיות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בית המשפט הרשיע את שניהם בכל העבירות שיוחסו להם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 המערער הושתו העונשים שפורטו לעיל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ועל הנאשמת </w:t>
      </w:r>
      <w:r>
        <w:rPr>
          <w:rFonts w:ascii="David" w:hAnsi="David" w:cs="David"/>
          <w:rtl w:val="true"/>
        </w:rPr>
        <w:t xml:space="preserve">הושת עונש מאסר בפועל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מאסר על תנאי</w:t>
      </w:r>
      <w:r>
        <w:rPr>
          <w:rFonts w:cs="David" w:ascii="David" w:hAnsi="David"/>
          <w:rtl w:val="true"/>
        </w:rPr>
        <w:t>.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ערעורו של המערער על הכרעת הדין הופנה רק כלפי הרשעתו בעבירת גרימת חבלה חמורה בנסיבות מחמירות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שכן לטענתו קיים ספק סביר בשאלה אם הוא מי שהסב למתלונן את הנזקים באגודל ידו השמאלית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כפועל יוצא מכך נטען כי יש להקל באופן משמעותי בעונשו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בנוסף נטען כי גם אם הכרעת הדין תיוותר על כנה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יש להקל בעונשו בהיותו מופלג בחומרתו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נתמקד אפוא להלן בהכרעת הדין רק לגבי שבירת אגודלו של המתלונן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ascii="Century" w:hAnsi="Century" w:eastAsia="Calibri" w:cs="Miriam"/>
          <w:b/>
          <w:spacing w:val="0"/>
          <w:szCs w:val="24"/>
        </w:rPr>
      </w:pP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 xml:space="preserve">בית המשפט קבע כי שבירת האגודל של המתלונן מהווה גרימת חבלה חמורה בהתאם </w:t>
      </w:r>
      <w:hyperlink r:id="rId20">
        <w:r>
          <w:rPr>
            <w:rStyle w:val="Hyperlink"/>
            <w:rFonts w:eastAsia="Calibri"/>
            <w:rtl w:val="true"/>
          </w:rPr>
          <w:t>לסעיף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eastAsia="Calibri"/>
          </w:rPr>
          <w:t>333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לחוק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והעובדה שהמערער נשא עימו סכין ממלאת את יסודותיה של הנסיבה המחמירה </w:t>
      </w:r>
      <w:hyperlink r:id="rId21">
        <w:r>
          <w:rPr>
            <w:rStyle w:val="Hyperlink"/>
            <w:rFonts w:eastAsia="Calibri"/>
            <w:rtl w:val="true"/>
          </w:rPr>
          <w:t>בסעיף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eastAsia="Calibri"/>
          </w:rPr>
          <w:t>335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1</w:t>
        </w:r>
        <w:r>
          <w:rPr>
            <w:rStyle w:val="Hyperlink"/>
            <w:rFonts w:eastAsia="Calibri"/>
            <w:rtl w:val="true"/>
          </w:rPr>
          <w:t>).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המערער לא חולק על כך ששבירת האגודל בנסיבות שפורטו באישום נכנסת לגדרה של 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 טענתו היא שלא הוכח שהוא זה ששבר את האגודל של המתלונן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המתלונן מסר בעדותו כי הוא סבל מחבלה קודמת באגודל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ומשכך היה על המשיבה להגיש חוות דעת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מדעית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בכדי לשלול את האפשרות שהחבלה הקודמת גרמה לשבר באגודל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ולבסס את הקשר בין החבלה לבין מעשה העבירה המיוחס למערער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אך היא לא עשתה כן</w:t>
      </w:r>
      <w:r>
        <w:rPr>
          <w:rFonts w:eastAsia="Calibri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המשיבה תומכת בממצאי בית המשפט ובמסקנותיו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 xml:space="preserve">טענתו של המערער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לא מיניה ולא מקצתיה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בית המשפט נתן אמון מלא בגרסת המתלונן על פיה המערער הוציא מידו את מכשיר הטלפון שלו ואיים עליו בסכין ותוך כדי כך גרם לו שבר באגודל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להכרעת הדין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עדות המתלונן אף נתמכה בחיזוקים ממקורות שונים</w:t>
      </w:r>
      <w:r>
        <w:rPr>
          <w:rFonts w:eastAsia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הינה כי 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בחקירתו הראשית של המתלונן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שהוקלטה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 xml:space="preserve">הוא סיפר כך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 xml:space="preserve">פרוטוקול הדיון מיום </w:t>
      </w:r>
      <w:r>
        <w:rPr>
          <w:rFonts w:eastAsia="Calibri"/>
        </w:rPr>
        <w:t>14.7.2022</w:t>
      </w:r>
      <w:r>
        <w:rPr>
          <w:rFonts w:eastAsia="Calibri"/>
          <w:rtl w:val="true"/>
        </w:rPr>
        <w:t xml:space="preserve">):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Garamond"/>
          <w:rtl w:val="true"/>
        </w:rPr>
        <w:t xml:space="preserve"> </w:t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אחר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והבחורה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עוקבים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מסתכלים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בטלפון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לרחוב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חוזר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לשוק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תלפיות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: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איפה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באיזה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רחוב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שפירא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..]. </w:t>
      </w:r>
      <w:r>
        <w:rPr>
          <w:rtl w:val="true"/>
          <w:lang w:eastAsia="he-IL"/>
        </w:rPr>
        <w:t>אחר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הרביץ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האצבע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עמ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26</w:t>
      </w:r>
      <w:r>
        <w:rPr>
          <w:rtl w:val="true"/>
          <w:lang w:eastAsia="he-IL"/>
        </w:rPr>
        <w:t>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lang w:eastAsia="he-IL"/>
        </w:rPr>
      </w:pPr>
      <w:r>
        <w:rPr>
          <w:rFonts w:eastAsia="Garamond"/>
          <w:rtl w:val="true"/>
          <w:lang w:eastAsia="he-IL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ובהמשך</w:t>
      </w:r>
      <w:r>
        <w:rPr>
          <w:rFonts w:eastAsia="Calibri"/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אתה צעקת הצילו</w:t>
      </w:r>
      <w:r>
        <w:rPr>
          <w:rFonts w:cs="Century" w:ascii="Century" w:hAnsi="Century"/>
          <w:rtl w:val="true"/>
        </w:rPr>
        <w:t>?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הוא הרביץ לי גם בוקס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זה טלפון לקח לי ביד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תפסתי אותו ככה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תיקח תיקח תיקח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שבר לי ככה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טלפון של מגן נשאר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מגן לקח 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[...].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קיי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קרה לך כתוצאה מהאירוע הזה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קרה לך משהו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  <w:lang w:eastAsia="he-IL"/>
        </w:rPr>
        <w:t>ת</w:t>
      </w:r>
      <w:r>
        <w:rPr>
          <w:rFonts w:cs="Century" w:ascii="Century" w:hAnsi="Century"/>
          <w:rtl w:val="true"/>
          <w:lang w:eastAsia="he-IL"/>
        </w:rPr>
        <w:t xml:space="preserve">: </w:t>
      </w:r>
      <w:r>
        <w:rPr>
          <w:rFonts w:ascii="Century" w:hAnsi="Century" w:cs="Century"/>
          <w:rtl w:val="true"/>
          <w:lang w:eastAsia="he-IL"/>
        </w:rPr>
        <w:t>כן</w:t>
      </w:r>
      <w:r>
        <w:rPr>
          <w:rFonts w:cs="Century" w:ascii="Century" w:hAnsi="Century"/>
          <w:rtl w:val="true"/>
          <w:lang w:eastAsia="he-IL"/>
        </w:rPr>
        <w:t>,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שבר לי יד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שהלכתי קופת חולים כללית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אחר כך לקופת חולים בכרמל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28-27</w:t>
      </w:r>
      <w:r>
        <w:rPr>
          <w:rFonts w:cs="Century" w:ascii="Century" w:hAnsi="Century"/>
          <w:rtl w:val="true"/>
          <w:lang w:eastAsia="he-IL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alibri" w:cs="Century"/>
          <w:lang w:eastAsia="he-IL"/>
        </w:rPr>
      </w:pPr>
      <w:r>
        <w:rPr>
          <w:rFonts w:eastAsia="Calibri"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התיאוריה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האגודל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אירעה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ענייננו</w:t>
      </w:r>
      <w:r>
        <w:rPr>
          <w:rFonts w:eastAsia="Calibri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לפני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באצבע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באצבע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נפגעתי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נפגעת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באצבע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: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נפגעת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נפגעתי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נראה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נפלתי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נפלת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נפלת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נפלת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הבנתי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האצבע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הבנתי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מגובס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גבס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האצבע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גבס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אבל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הרגשת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כאבים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הבנתי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קיי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כאבים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וטיפלת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טיפלת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טיפלת</w:t>
      </w:r>
      <w:r>
        <w:rPr>
          <w:rtl w:val="true"/>
          <w:lang w:eastAsia="he-IL"/>
        </w:rPr>
        <w:t>?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טיפלתי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עמ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32-31</w:t>
      </w:r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המתלונן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שהשבר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באגודל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לאחרונה</w:t>
      </w:r>
      <w:r>
        <w:rPr>
          <w:rFonts w:eastAsia="Calibri"/>
          <w:rtl w:val="true"/>
        </w:rPr>
        <w:t xml:space="preserve">: </w:t>
      </w:r>
      <w:hyperlink r:id="rId22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6637/22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בגיו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</w:rPr>
        <w:t>43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8.1.2024</w:t>
      </w:r>
      <w:r>
        <w:rPr>
          <w:rFonts w:eastAsia="Calibri"/>
          <w:rtl w:val="true"/>
        </w:rPr>
        <w:t xml:space="preserve">); </w:t>
      </w:r>
      <w:hyperlink r:id="rId23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6038/21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</w:rPr>
        <w:t>48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5.1.2023</w:t>
      </w:r>
      <w:r>
        <w:rPr>
          <w:rFonts w:eastAsia="Calibri"/>
          <w:rtl w:val="true"/>
        </w:rPr>
        <w:t xml:space="preserve">); </w:t>
      </w:r>
      <w:hyperlink r:id="rId24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2211/21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בדארנה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</w:rPr>
        <w:t>14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14.7.2022</w:t>
      </w:r>
      <w:r>
        <w:rPr>
          <w:rFonts w:eastAsia="Calibri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מדעיים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התומכים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שהשבר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בשבר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לכן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לבית המשפט המחוזי הוגשו שתי תעודות רפואיות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הראשונה מקופת חולים כללית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מרפאת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מרכז רפואי לין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 xml:space="preserve">מיום </w:t>
      </w:r>
      <w:r>
        <w:rPr>
          <w:rFonts w:eastAsia="Calibri"/>
        </w:rPr>
        <w:t>15.3.2022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שעה </w:t>
      </w:r>
      <w:r>
        <w:rPr>
          <w:rFonts w:eastAsia="Calibri"/>
        </w:rPr>
        <w:t>12:39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מוצג ת</w:t>
      </w:r>
      <w:r>
        <w:rPr>
          <w:rFonts w:eastAsia="Calibri"/>
          <w:rtl w:val="true"/>
        </w:rPr>
        <w:t>/</w:t>
      </w:r>
      <w:r>
        <w:rPr>
          <w:rFonts w:eastAsia="Calibri"/>
        </w:rPr>
        <w:t>79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בה נכתב מפי המתלונן שהותקף ביום האתמול וידו כואבת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הוא אובחן עם שבר באגודל </w:t>
      </w:r>
      <w:r>
        <w:rPr>
          <w:rFonts w:eastAsia="Calibri"/>
          <w:rtl w:val="true"/>
        </w:rPr>
        <w:t>(</w:t>
      </w:r>
      <w:r>
        <w:rPr>
          <w:rFonts w:eastAsia="Calibri"/>
        </w:rPr>
        <w:t>fracture thumb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והופנה להמשך בירור וטיפול במיון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השנייה מהמחלקה לרפואה דחופה במרכז רפואי כרמל מיום </w:t>
      </w:r>
      <w:r>
        <w:rPr>
          <w:rFonts w:eastAsia="Calibri"/>
        </w:rPr>
        <w:t>15.3.2022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שעה </w:t>
      </w:r>
      <w:r>
        <w:rPr>
          <w:rFonts w:eastAsia="Calibri"/>
        </w:rPr>
        <w:t>14:18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מוצג ת</w:t>
      </w:r>
      <w:r>
        <w:rPr>
          <w:rFonts w:eastAsia="Calibri"/>
          <w:rtl w:val="true"/>
        </w:rPr>
        <w:t>/</w:t>
      </w:r>
      <w:r>
        <w:rPr>
          <w:rFonts w:eastAsia="Calibri"/>
        </w:rPr>
        <w:t>80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בה נכתב כי המתלונן הלין על כך שנחבל באגודל שמאל לאחר שהותקף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בצילום שנעשה במקום נכתב מפורשות כי אובחן בידו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שבר גליל מקורב אגודל משמאל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>הטיפול שקיבל כלל קיבוע של היד בגבס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 פניו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די בתיעוד רפואי זה כדי להיווכח באופן שאינו משתמע לשני פנים כי ביום האירוע המתלונן אובחן עם שבר באגודל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הטענה כי היה על המשיבה להצטייד בחוות דעת רפואית על מנת להוכיח שהשבר נגרם על ידי המערער אינה במקומה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 xml:space="preserve">הלכה היא לפנינו מקדמת דנא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כי אף שחוות דעת רפואית עשויה לסייע במלאכת סיווגה של חבלה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בסופו של יום ההכרעה בשאלה זו מסורה לבית המשפט</w:t>
      </w:r>
      <w:r>
        <w:rPr>
          <w:rFonts w:eastAsia="Calibri"/>
          <w:rtl w:val="true"/>
        </w:rPr>
        <w:t>" (</w:t>
      </w:r>
      <w:hyperlink r:id="rId25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4267/09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עזאזמי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11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9.11.2009</w:t>
      </w:r>
      <w:r>
        <w:rPr>
          <w:rFonts w:eastAsia="Calibri"/>
          <w:rtl w:val="true"/>
        </w:rPr>
        <w:t xml:space="preserve">); </w:t>
      </w:r>
      <w:r>
        <w:rPr>
          <w:rFonts w:eastAsia="Calibri"/>
          <w:rtl w:val="true"/>
        </w:rPr>
        <w:t>וראו גם</w:t>
      </w:r>
      <w:r>
        <w:rPr>
          <w:rFonts w:eastAsia="Calibri"/>
          <w:rtl w:val="true"/>
        </w:rPr>
        <w:t xml:space="preserve">: </w:t>
      </w:r>
      <w:hyperlink r:id="rId26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10357/06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דיב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31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6.8.2007</w:t>
      </w:r>
      <w:r>
        <w:rPr>
          <w:rFonts w:eastAsia="Calibri"/>
          <w:rtl w:val="true"/>
        </w:rPr>
        <w:t xml:space="preserve">); </w:t>
      </w:r>
      <w:r>
        <w:rPr>
          <w:rFonts w:eastAsia="Calibri"/>
          <w:rtl w:val="true"/>
        </w:rPr>
        <w:t xml:space="preserve">וכן </w:t>
      </w:r>
      <w:hyperlink r:id="rId27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8870/12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סנד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48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15.1.2014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בעניין יישום ההלכה בפועל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במקרה 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 פניו די בתיעוד הרפואי האותנטי שהוצג ושהוגש כראיה לבית המשפט המחוזי בצירוף עדותו המהימנה של המתלונן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כדי להשתכנע כי המערער גרם לו חבלה חמורה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שבירת אצבע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אף אם הייתה חבולה לפני האירוע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דינה באופן חד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משמעי כחבלה חמורה</w:t>
      </w:r>
      <w:r>
        <w:rPr>
          <w:rFonts w:eastAsia="Calibri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מכל האמור מתבקשת המסקנה כי דין הערעור על הכרעת הדין להידחות</w:t>
      </w:r>
      <w:r>
        <w:rPr>
          <w:rFonts w:eastAsia="Calibri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ascii="Century" w:hAnsi="Century" w:eastAsia="Calibri" w:cs="Miriam"/>
          <w:b/>
          <w:spacing w:val="0"/>
          <w:szCs w:val="24"/>
        </w:rPr>
      </w:pP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כאמור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טענתו העיקרית של המערער הייתה כי יש להקל בעונשו נוכח זאת שעליו להיות מזוכה מהעבירה של גרימת חבלה חמורה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ברם כאמור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 נמצא ממש בטענת זיכויו</w:t>
      </w:r>
      <w:r>
        <w:rPr>
          <w:rFonts w:eastAsia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 xml:space="preserve">מכאן לטענותיו הנוספות של המערער שהן בעיקרו של דבר טענות הנוגעות לאחידות הענישה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היינו השוואת העונש שהושת עליו לעומת זה שנגזר על הנאשמת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שבית המשפט החמיר עימו בהשוואה לנאשמים אחרים בעבירות דומות שהושתו עליהם עונשים קלים בהרבה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התעלמות בית המשפט מנסיבותיו האישיות הקשות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וסירוב בית המשפט להזמין תסקיר שירות מבחן בעניינו עובר למתן גזר הדין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המשיבה מנגד טוענת כי בית המשפט המחוזי השית על המערער עונש ראוי בשים לב לחומרת מעשיו ולנסיבות ביצוע העבירות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עברו הפלילי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והעובדה שהנאשמת הורשעה אך בסיוע למערער בצירוף נסיבותיה האישיות והמשפחתיות הקשות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שוד אזרחים תמימים ההולכים לפי תומם במרחב הציבורי בשל חפצם של עבריינים ליטול מהם את הטלפונים שברשותם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הפך למכת מדינה של ממש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וראו בעניין זה לדוגמה בלבד</w:t>
      </w:r>
      <w:r>
        <w:rPr>
          <w:rFonts w:eastAsia="Calibri"/>
          <w:rtl w:val="true"/>
        </w:rPr>
        <w:t xml:space="preserve">: </w:t>
      </w:r>
      <w:hyperlink r:id="rId28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6766/16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חודיפא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8.3.2017</w:t>
      </w:r>
      <w:r>
        <w:rPr>
          <w:rFonts w:eastAsia="Calibri"/>
          <w:rtl w:val="true"/>
        </w:rPr>
        <w:t xml:space="preserve">); </w:t>
      </w:r>
      <w:hyperlink r:id="rId29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280/23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eastAsia="Calibri" w:cs="Miriam" w:ascii="Century" w:hAnsi="Century"/>
          <w:bCs/>
          <w:spacing w:val="0"/>
          <w:sz w:val="22"/>
          <w:szCs w:val="24"/>
        </w:rPr>
        <w:t>Abker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18.5.2023</w:t>
      </w:r>
      <w:r>
        <w:rPr>
          <w:rFonts w:eastAsia="Calibri"/>
          <w:rtl w:val="true"/>
        </w:rPr>
        <w:t xml:space="preserve">)). </w:t>
      </w:r>
      <w:r>
        <w:rPr>
          <w:rFonts w:eastAsia="Calibri"/>
          <w:rtl w:val="true"/>
        </w:rPr>
        <w:t xml:space="preserve">וכפי שאמר בית המשפט בעניין </w:t>
      </w:r>
      <w:hyperlink r:id="rId30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6086/15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רשיד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17.7.2016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בו ניתן הדגש גם על הנזק הרב שמעשה כזה גורם לקרבן העבירה</w:t>
      </w:r>
      <w:r>
        <w:rPr>
          <w:rFonts w:eastAsia="Calibri"/>
          <w:rtl w:val="true"/>
        </w:rPr>
        <w:t>: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5"/>
        <w:ind w:end="1282"/>
        <w:jc w:val="both"/>
        <w:rPr>
          <w:rFonts w:eastAsia="Calibri"/>
        </w:rPr>
      </w:pPr>
      <w:r>
        <w:rPr>
          <w:rtl w:val="true"/>
        </w:rPr>
        <w:t>"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start="2160" w:end="1843"/>
        <w:jc w:val="both"/>
        <w:rPr/>
      </w:pPr>
      <w:r>
        <w:rPr>
          <w:rtl w:val="true"/>
        </w:rPr>
        <w:t>'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סלולאריים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לתופעה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מכת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מדינה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 xml:space="preserve">,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המשנָה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6378/11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בסול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31.7.2012</w:t>
      </w:r>
      <w:r>
        <w:rPr>
          <w:rtl w:val="true"/>
        </w:rPr>
        <w:t xml:space="preserve">)).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>' (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588/13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27.8.2013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לתומם</w:t>
      </w:r>
      <w:r>
        <w:rPr>
          <w:rtl w:val="true"/>
        </w:rPr>
        <w:t xml:space="preserve">. </w:t>
      </w:r>
      <w:r>
        <w:rPr>
          <w:rtl w:val="true"/>
        </w:rPr>
        <w:t>תקיפתם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פיזיים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ולענין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הטראומה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27.5.2014</w:t>
      </w:r>
      <w:r>
        <w:rPr>
          <w:rtl w:val="true"/>
        </w:rPr>
        <w:t xml:space="preserve">)).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ומדידה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החכמים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ותופסים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ארליכמן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18.6.2023</w:t>
      </w:r>
      <w:r>
        <w:rPr>
          <w:rtl w:val="true"/>
        </w:rPr>
        <w:t xml:space="preserve">)). </w:t>
      </w:r>
      <w:r>
        <w:rPr>
          <w:rtl w:val="true"/>
        </w:rPr>
        <w:t>מכשירים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לצילום</w:t>
      </w:r>
      <w:r>
        <w:rPr>
          <w:rtl w:val="true"/>
        </w:rPr>
        <w:t xml:space="preserve">, </w:t>
      </w:r>
      <w:r>
        <w:rPr>
          <w:rtl w:val="true"/>
        </w:rPr>
        <w:t>לניווט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ולשימושים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ואוצרים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וסנטימנטלי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מעבר לאמור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במעשיו של המערער דבקה חומרה מיוחדת בשים לב לעברו הפלילי העשיר והמכביד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הוא הורשע בעברו במסגרת </w:t>
      </w:r>
      <w:r>
        <w:rPr>
          <w:rFonts w:eastAsia="Calibri"/>
        </w:rPr>
        <w:t>13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תיקים פליליים שונים בלא פחות מ</w:t>
      </w:r>
      <w:r>
        <w:rPr>
          <w:rFonts w:eastAsia="Calibri"/>
          <w:rtl w:val="true"/>
        </w:rPr>
        <w:t>-</w:t>
      </w:r>
      <w:r>
        <w:rPr>
          <w:rFonts w:eastAsia="Calibri"/>
        </w:rPr>
        <w:t>20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הרשעות הכוללות גניבות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התפרצויות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הפרעה לשוטר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תקיפת שוטר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תקיפה כדי לגנוב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סמים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שוד ועוד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 המשפט המחוזי הביא אך מקצת עלילותיו של המערער וציין רק שלוש מהן כדי להדגיש את הישנות המעשים המבוצעים על ידי המערער במשך השנים ו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שרשרת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הפעלת תקופות המאסר על תנאי שהושתו עליו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מבלי שהפיק מכך כל מסקנה שמא ראוי הוא לו שיתקן את אורחותיו</w:t>
      </w:r>
      <w:r>
        <w:rPr>
          <w:rFonts w:eastAsia="Calibri"/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5.4.2020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       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47158-10-19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למגורים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פריצה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וחודשיים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hanging="567" w:start="1134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510/00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3.5.2000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hanging="567" w:start="1134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hyperlink r:id="rId35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40069/02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510/00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בית המשפט המחוזי גם נתן משקל ראוי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והביא בחשבון את אי נטילת האחריות על ידי המערער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חוסר רצונו האמיתי להשתקם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 xml:space="preserve">נסיבות ביצוע העבירות ואת מתחם עונש הראוי במקרה זה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בין </w:t>
      </w:r>
      <w:r>
        <w:rPr>
          <w:rFonts w:eastAsia="Calibri"/>
        </w:rPr>
        <w:t>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 מאסר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מנגד לא נעלמו מעיני בית המשפט הנסיבות לקולא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כגון נסיבותיו האישיות והמשפחתיות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ניסיונות השיקום בעברו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לזכותו הובאה בחשבון אף התנהלותו העניינית של בא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כוחו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נסיבה שאיננה מובאת בחשבון על דרך הכלל</w:t>
      </w:r>
      <w:r>
        <w:rPr>
          <w:rFonts w:eastAsia="Calibri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Calibri"/>
          <w:rtl w:val="true"/>
        </w:rPr>
        <w:t>ובאשר לטענת המערער בעניין חריגת בית המשפט מעיקרון אחידות הענישה בשל פער בלתי מוצדק בין העונש שהושת על הנאשמת לבין העונש שהושת עליו</w:t>
      </w:r>
      <w:r>
        <w:rPr>
          <w:rFonts w:eastAsia="Calibri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אכן כפי שנקבע זה מכבר</w:t>
      </w:r>
      <w:r>
        <w:rPr>
          <w:rFonts w:eastAsia="Calibri"/>
          <w:rtl w:val="true"/>
        </w:rPr>
        <w:t xml:space="preserve">, </w:t>
      </w:r>
      <w:r>
        <w:rPr>
          <w:rtl w:val="true"/>
        </w:rPr>
        <w:t xml:space="preserve">עיקרון אחידות הענישה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נועד להבטיח שוויון בפני החוק ומניעת שרירותיות בענישה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1222/22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מדינת ישראל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4423/22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30.10.2022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tl w:val="true"/>
        </w:rPr>
        <w:t xml:space="preserve">). </w:t>
      </w:r>
      <w:r>
        <w:rPr>
          <w:rtl w:val="true"/>
        </w:rPr>
        <w:t xml:space="preserve">העיקרון מקבל משנה תוקף שעה שמדובר בנאשמים המורשעים באותו אישום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4074/18</w:t>
        </w:r>
      </w:hyperlink>
      <w:r>
        <w:rPr>
          <w:rtl w:val="true"/>
        </w:rPr>
        <w:t xml:space="preserve"> </w:t>
      </w:r>
      <w:r>
        <w:rPr>
          <w:rStyle w:val="Style14"/>
          <w:rtl w:val="true"/>
        </w:rPr>
        <w:t>פלוני נ</w:t>
      </w:r>
      <w:r>
        <w:rPr>
          <w:rStyle w:val="Style14"/>
          <w:rtl w:val="true"/>
        </w:rPr>
        <w:t xml:space="preserve">' </w:t>
      </w:r>
      <w:r>
        <w:rPr>
          <w:rStyle w:val="Style14"/>
          <w:rtl w:val="true"/>
        </w:rPr>
        <w:t>מדינת 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16</w:t>
      </w:r>
      <w:r>
        <w:rPr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22.7.2019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אלא ש</w:t>
      </w:r>
      <w:r>
        <w:rPr>
          <w:rtl w:val="true"/>
        </w:rPr>
        <w:t xml:space="preserve">עיקרון אחידות הענישה </w:t>
      </w:r>
      <w:r>
        <w:rPr>
          <w:rtl w:val="true"/>
        </w:rPr>
        <w:t xml:space="preserve">מחייב לא פעם הבחנה בין נאשמים שונים באותה פרשה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בהתאם לחלקו של כל אחד מהם בביצוע העבירות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עמרה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בענייננו בית המשפט המחוזי נימק כדבעי את ההבחנה הרלוונטית הקיימת בין המערער לבין הנאשמת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ראשית היא רק סייעה לביצוע 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וחלקה היה מצומצם לעידוד המערער ללא השתתפות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פיסית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בנעשה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שנית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ניתן משקל לנסיבותיה האישיות הקשות ולכך שהתרשמות בית המשפט ממנה הייתה כי היא רק נגררה אחר המערער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שלישית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הנאשמת נעדרת עבר פלילי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אין להשוות אפוא בין השניים</w:t>
      </w:r>
      <w:r>
        <w:rPr>
          <w:rFonts w:eastAsia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Calibri"/>
          <w:rtl w:val="true"/>
        </w:rPr>
        <w:t>ולבסוף לטענת המערער כי בית המשפט היה צריך להיעתר לבקשתו להזמין תסקיר שירות מבחן</w:t>
      </w:r>
      <w:r>
        <w:rPr>
          <w:rFonts w:eastAsia="Calibri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בית המשפט לא ראה כל תוחלת בהזמנת תסקיר שכן התרשם כי לא קיימת תשתית לטענת המערער שיש סיכוי לשיקומו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 התרשם שהמערער עדיין לא למד את הלקח מהתנהגותו בעבר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זאת בין היתר בשים לב לכך שבעת ביצוע העבירות היה תלוי ועומד נגדו מאסר על תנאי בר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הפעלה</w:t>
      </w:r>
      <w:r>
        <w:rPr>
          <w:rFonts w:eastAsia="Calibri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ההחלטה על הזמנת תסקיר היא עניין המצוי בגרעין שיקול דעתה של הערכאה הדיונית ולא ראיתי שנפל פגם בהפעלת שיקול הדעת במקרה זה</w:t>
      </w:r>
      <w:r>
        <w:rPr>
          <w:rFonts w:eastAsia="Calibri"/>
          <w:rtl w:val="true"/>
        </w:rPr>
        <w:t xml:space="preserve">. </w:t>
      </w:r>
      <w:r>
        <w:rPr>
          <w:rtl w:val="true"/>
        </w:rPr>
        <w:t xml:space="preserve">וכפי שאמרתי בעבר בעניין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17.3.2020</w:t>
      </w:r>
      <w:r>
        <w:rPr>
          <w:rtl w:val="true"/>
        </w:rPr>
        <w:t xml:space="preserve">):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eastAsia="Calibri"/>
        </w:rPr>
      </w:pPr>
      <w:r>
        <w:rPr>
          <w:rtl w:val="true"/>
        </w:rPr>
        <w:t>"</w:t>
      </w:r>
      <w:r>
        <w:rPr>
          <w:rtl w:val="true"/>
        </w:rPr>
        <w:t>כידוע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אכרזת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תסקיר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קצין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מבחן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1964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28.11.2016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6.7.2015</w:t>
      </w:r>
      <w:r>
        <w:rPr>
          <w:rtl w:val="true"/>
        </w:rPr>
        <w:t xml:space="preserve">);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4512/09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סבטלנה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רוסו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31.8.2010</w:t>
      </w:r>
      <w:r>
        <w:rPr>
          <w:rtl w:val="true"/>
        </w:rPr>
        <w:t xml:space="preserve">)). </w:t>
      </w:r>
      <w:r>
        <w:rPr>
          <w:rtl w:val="true"/>
        </w:rPr>
        <w:t>והלכה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5626/14</w:t>
        </w:r>
      </w:hyperlink>
      <w:r>
        <w:rPr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2.8.2015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8884/13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11.6.2014</w:t>
      </w:r>
      <w:r>
        <w:rPr>
          <w:rtl w:val="true"/>
        </w:rPr>
        <w:t>))"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הגיעה העת למצות את הדין עם המערער</w:t>
      </w:r>
      <w:r>
        <w:rPr>
          <w:rFonts w:eastAsia="Calibri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אציע אפוא לחבריי לדחות את הערעור על שני חלקיו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ממלא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מקום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הנשיא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u w:val="single"/>
          <w:rtl w:val="true"/>
        </w:rPr>
        <w:t>:</w:t>
      </w:r>
      <w:r>
        <w:rPr>
          <w:rFonts w:cs="Miriam"/>
          <w:sz w:val="24"/>
          <w:szCs w:val="24"/>
          <w:rtl w:val="true"/>
        </w:rPr>
        <w:t xml:space="preserve">         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28.2.2024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  <w:gridCol w:w="2784"/>
        <w:gridCol w:w="2784"/>
      </w:tblGrid>
      <w:tr>
        <w:trPr/>
        <w:tc>
          <w:tcPr>
            <w:tcW w:w="2795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</w:p>
        </w:tc>
        <w:tc>
          <w:tcPr>
            <w:tcW w:w="2784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4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23020310</w:t>
      </w:r>
      <w:r>
        <w:rPr>
          <w:sz w:val="16"/>
          <w:rtl w:val="true"/>
        </w:rPr>
        <w:t>_</w:t>
      </w:r>
      <w:r>
        <w:rPr>
          <w:sz w:val="16"/>
        </w:rPr>
        <w:t>N04.docx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מל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54678313-2031/23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2031/23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טארק בסטי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Style14">
    <w:name w:val="דגש_מרים"/>
    <w:qFormat/>
    <w:rPr>
      <w:rFonts w:cs="Miriam"/>
      <w:spacing w:val="0"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4308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1557" TargetMode="External"/><Relationship Id="rId10" Type="http://schemas.openxmlformats.org/officeDocument/2006/relationships/hyperlink" Target="http://www.nevo.co.il/case/28430821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186.a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case/29037374" TargetMode="External"/><Relationship Id="rId23" Type="http://schemas.openxmlformats.org/officeDocument/2006/relationships/hyperlink" Target="http://www.nevo.co.il/case/27915723" TargetMode="External"/><Relationship Id="rId24" Type="http://schemas.openxmlformats.org/officeDocument/2006/relationships/hyperlink" Target="http://www.nevo.co.il/case/27508058" TargetMode="External"/><Relationship Id="rId25" Type="http://schemas.openxmlformats.org/officeDocument/2006/relationships/hyperlink" Target="http://www.nevo.co.il/case/5947340" TargetMode="External"/><Relationship Id="rId26" Type="http://schemas.openxmlformats.org/officeDocument/2006/relationships/hyperlink" Target="http://www.nevo.co.il/case/6169008" TargetMode="External"/><Relationship Id="rId27" Type="http://schemas.openxmlformats.org/officeDocument/2006/relationships/hyperlink" Target="http://www.nevo.co.il/case/5599049" TargetMode="External"/><Relationship Id="rId28" Type="http://schemas.openxmlformats.org/officeDocument/2006/relationships/hyperlink" Target="http://www.nevo.co.il/case/21478799" TargetMode="External"/><Relationship Id="rId29" Type="http://schemas.openxmlformats.org/officeDocument/2006/relationships/hyperlink" Target="http://www.nevo.co.il/case/29290757" TargetMode="External"/><Relationship Id="rId30" Type="http://schemas.openxmlformats.org/officeDocument/2006/relationships/hyperlink" Target="http://www.nevo.co.il/case/20580510" TargetMode="External"/><Relationship Id="rId31" Type="http://schemas.openxmlformats.org/officeDocument/2006/relationships/hyperlink" Target="http://www.nevo.co.il/case/5594406" TargetMode="External"/><Relationship Id="rId32" Type="http://schemas.openxmlformats.org/officeDocument/2006/relationships/hyperlink" Target="http://www.nevo.co.il/case/5569378" TargetMode="External"/><Relationship Id="rId33" Type="http://schemas.openxmlformats.org/officeDocument/2006/relationships/hyperlink" Target="http://www.nevo.co.il/case/7948442" TargetMode="External"/><Relationship Id="rId34" Type="http://schemas.openxmlformats.org/officeDocument/2006/relationships/hyperlink" Target="http://www.nevo.co.il/case/26322531" TargetMode="External"/><Relationship Id="rId35" Type="http://schemas.openxmlformats.org/officeDocument/2006/relationships/hyperlink" Target="http://www.nevo.co.il/case/6116088" TargetMode="External"/><Relationship Id="rId36" Type="http://schemas.openxmlformats.org/officeDocument/2006/relationships/hyperlink" Target="http://www.nevo.co.il/case/28326750" TargetMode="External"/><Relationship Id="rId37" Type="http://schemas.openxmlformats.org/officeDocument/2006/relationships/hyperlink" Target="http://www.nevo.co.il/case/28735014" TargetMode="External"/><Relationship Id="rId38" Type="http://schemas.openxmlformats.org/officeDocument/2006/relationships/hyperlink" Target="http://www.nevo.co.il/case/24263410" TargetMode="External"/><Relationship Id="rId39" Type="http://schemas.openxmlformats.org/officeDocument/2006/relationships/hyperlink" Target="http://www.nevo.co.il/case/25912919" TargetMode="External"/><Relationship Id="rId40" Type="http://schemas.openxmlformats.org/officeDocument/2006/relationships/hyperlink" Target="http://www.nevo.co.il/law/71557" TargetMode="External"/><Relationship Id="rId41" Type="http://schemas.openxmlformats.org/officeDocument/2006/relationships/hyperlink" Target="http://www.nevo.co.il/case/20135914" TargetMode="External"/><Relationship Id="rId42" Type="http://schemas.openxmlformats.org/officeDocument/2006/relationships/hyperlink" Target="http://www.nevo.co.il/case/5841752" TargetMode="External"/><Relationship Id="rId43" Type="http://schemas.openxmlformats.org/officeDocument/2006/relationships/hyperlink" Target="http://www.nevo.co.il/case/5961859" TargetMode="External"/><Relationship Id="rId44" Type="http://schemas.openxmlformats.org/officeDocument/2006/relationships/hyperlink" Target="http://www.nevo.co.il/case/17954253" TargetMode="External"/><Relationship Id="rId45" Type="http://schemas.openxmlformats.org/officeDocument/2006/relationships/hyperlink" Target="http://www.nevo.co.il/case/11269856" TargetMode="External"/><Relationship Id="rId46" Type="http://schemas.openxmlformats.org/officeDocument/2006/relationships/hyperlink" Target="https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2024-02-29T09:21:00Z</dcterms:created>
  <dc:creator>h4</dc:creator>
  <dc:description/>
  <cp:keywords/>
  <dc:language>en-IL</dc:language>
  <cp:lastModifiedBy>orly</cp:lastModifiedBy>
  <cp:lastPrinted>2024-02-28T18:32:00Z</cp:lastPrinted>
  <dcterms:modified xsi:type="dcterms:W3CDTF">2024-02-29T09:21:00Z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טארק בסטי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28430821:2;29037374;27915723;27508058;5947340;6169008;5599049;21478799;29290757;20580510;5594406;5569378;7948442;26322531;6116088;28326750;28735014;24263410;25912919;20135914;5841752;5961859;17954253;11269856</vt:lpwstr>
  </property>
  <property fmtid="{D5CDD505-2E9C-101B-9397-08002B2CF9AE}" pid="9" name="CITY">
    <vt:lpwstr/>
  </property>
  <property fmtid="{D5CDD505-2E9C-101B-9397-08002B2CF9AE}" pid="10" name="DATE">
    <vt:lpwstr>20240228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מינץ;ח' כבוב;ע' פוגלמן</vt:lpwstr>
  </property>
  <property fmtid="{D5CDD505-2E9C-101B-9397-08002B2CF9AE}" pid="14" name="LAWLISTTMP1">
    <vt:lpwstr>70301/402.b:2;333:3;335.a.1:3;186.a;031</vt:lpwstr>
  </property>
  <property fmtid="{D5CDD505-2E9C-101B-9397-08002B2CF9AE}" pid="15" name="LAWLISTTMP2">
    <vt:lpwstr>71557</vt:lpwstr>
  </property>
  <property fmtid="{D5CDD505-2E9C-101B-9397-08002B2CF9AE}" pid="16" name="LAWYER">
    <vt:lpwstr>טליה קצב;נאג'י עאמר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הרץ 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</vt:lpwstr>
  </property>
  <property fmtid="{D5CDD505-2E9C-101B-9397-08002B2CF9AE}" pid="49" name="NOSE31">
    <vt:lpwstr>חבלה חמורה</vt:lpwstr>
  </property>
  <property fmtid="{D5CDD505-2E9C-101B-9397-08002B2CF9AE}" pid="50" name="NOSE310">
    <vt:lpwstr/>
  </property>
  <property fmtid="{D5CDD505-2E9C-101B-9397-08002B2CF9AE}" pid="51" name="NOSE32">
    <vt:lpwstr>מדיניות ענישה: שוד בנסיבות מחמירות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8833;</vt:lpwstr>
  </property>
  <property fmtid="{D5CDD505-2E9C-101B-9397-08002B2CF9AE}" pid="60" name="PADIDATE">
    <vt:lpwstr>20240229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2031</vt:lpwstr>
  </property>
  <property fmtid="{D5CDD505-2E9C-101B-9397-08002B2CF9AE}" pid="66" name="PROCYEAR">
    <vt:lpwstr>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410120240228</vt:lpwstr>
  </property>
  <property fmtid="{D5CDD505-2E9C-101B-9397-08002B2CF9AE}" pid="70" name="TYPE_N_DATE">
    <vt:lpwstr>41020240228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