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205/19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ולדיסלב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לברוב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פסק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ירושלים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Century" w:hAnsi="Century" w:cs="Miriam"/>
                  <w:b/>
                  <w:b/>
                  <w:color w:val="0000FF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ascii="Century" w:hAnsi="Century" w:eastAsia="Century" w:cs="Century"/>
                  <w:b/>
                  <w:b/>
                  <w:color w:val="0000FF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 w:ascii="Century" w:hAnsi="Century"/>
                  <w:b/>
                  <w:color w:val="0000FF"/>
                  <w:szCs w:val="24"/>
                  <w:u w:val="single"/>
                </w:rPr>
                <w:t>52015-12-15</w:t>
              </w:r>
            </w:hyperlink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26.11.2018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כב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רבקה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פרידמן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פלדמן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בסיון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27.05.2020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קריטי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נורית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הרצמן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29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242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</w:rPr>
          <w:t>244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sz w:val="24"/>
          </w:rPr>
          <w:t>329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דחה ערעור על גזר הדין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שהושת על המערער בגין הרשעתו בביצוע עבירה של חבלה בכוונה מחמירה – מאסר בפועל למשך </w:t>
      </w:r>
      <w:r>
        <w:rPr>
          <w:rFonts w:cs="Times New Roman" w:ascii="Times New Roman" w:hAnsi="Times New Roman"/>
          <w:spacing w:val="0"/>
          <w:szCs w:val="26"/>
        </w:rPr>
        <w:t>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חודשים ופיצוי למתלונן בסך של </w:t>
      </w:r>
      <w:r>
        <w:rPr>
          <w:rFonts w:cs="Times New Roman" w:ascii="Times New Roman" w:hAnsi="Times New Roman"/>
          <w:spacing w:val="0"/>
          <w:szCs w:val="26"/>
        </w:rPr>
        <w:t>100,000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 כי אין זה מקרה חריג המצדיק התערבות 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בפיצוי שנפסק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וכי לא נמצא כי נפל בו פגם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תוך עמידה על הצורך להיאבק בתופעת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שכירי החרב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התוקפים אזרחים תמימים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ולהענישם ענישה מרתיעה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אלימות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פיצויים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אחדות הענישה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הורשע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בעבירה של חבלה בכוונה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ונגזר עליו עונש כולל של מאסר בפועל למשך </w:t>
      </w:r>
      <w:r>
        <w:rPr>
          <w:rFonts w:cs="Times New Roman" w:ascii="Times New Roman" w:hAnsi="Times New Roman"/>
          <w:spacing w:val="0"/>
          <w:szCs w:val="26"/>
        </w:rPr>
        <w:t>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 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 לריצוי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עונש מאסר על תנאי ותשלום פיצוי למתלונן בסך של </w:t>
      </w:r>
      <w:r>
        <w:rPr>
          <w:rFonts w:cs="Times New Roman" w:ascii="Times New Roman" w:hAnsi="Times New Roman"/>
          <w:spacing w:val="0"/>
          <w:szCs w:val="26"/>
        </w:rPr>
        <w:t>100,000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נסב על גזר הדין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overflowPunct w:val="true"/>
        <w:autoSpaceDE w:val="true"/>
        <w:spacing w:lineRule="exact" w:line="320" w:before="0" w:after="120"/>
        <w:ind w:end="0"/>
        <w:jc w:val="both"/>
        <w:textAlignment w:val="auto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אלרון ובהסכמת השופטים סולברג 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וילנר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ופסק כי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כלל הוא כי ערכאת הערעור לא תתערב 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אלא במקרים 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דומה כי כלל זה אינו נדרש במקרה דנן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לא נפל כל פגם בעונש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חומרתה הרבה של עבירת החבלה בכוונה מחמירה בה הורשע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ופגיעתה הקשה בערכים המוגנים של הגנה על שלום הציבור וביטחונו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הביאו את המחוקק לקבוע בגינה עונש מאסר ממושך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שני בחומרתו רק לעבירת הרצח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נוכח המנעד הרחב של הנסיבות האפשריות לביצוע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ונסיבותיו האישיות של הנאשם במקרים השונים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קיימת קשת רחבה של מתחמי ענישה שנקבעו בגין עבירה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אולם במקרים מתאימים נקבעו אף עונשים חמורים מאלו שהוטלו על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המקרה הן שיקולי ההלימה והן שיקולי ההרתעה מחייבים ענישה מוחשית ומרתיעה שתשדר מסר ברור לפיו שלמות גופו של אדם וביטחונו אינם הפקר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ושותפיו תקפו את המתלונן על מנת למנוע ממנו התנהלות עסקית לגיטימית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ניצלו את טוּב לבו ומסירותו הרבה של המתלונן לעבודתו כווטרינר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ובעורמה תכננו את הגעתו לאזור שומם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שם ארבו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היכו אותו באכזריות רבה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ושברו את ידו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מטה לחמו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ושותפיו אף חיבלו ברכבו של המתלונן ובמכשיר הטלפון הנייד שלו על מנת שיקשה עליו להזעיק עזרה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ושותפיו פעלו כ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שכירי חרב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בתקיפתם את המתלונן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עשו זאת אלא מתוך תאוות בצע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בפסיקה ניתן לא אחת ביטוי לחומרה היתירה שבה יש להתייחס לתופעת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שכירי החרב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התוקפים אזרחים תמימים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ולצורך בענישה מרתיעה שתצטרף למאבק בתופעה זו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טענת המערער לפיה חלקו בהכאת המתלונן לא היה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דומיננטי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", </w:t>
      </w:r>
      <w:r>
        <w:rPr>
          <w:rFonts w:ascii="Times New Roman" w:hAnsi="Times New Roman" w:cs="Times New Roman"/>
          <w:spacing w:val="0"/>
          <w:szCs w:val="26"/>
          <w:rtl w:val="true"/>
        </w:rPr>
        <w:t>נדחתה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משעה שנקבע כי המערער נטל חלק ממשי בהכאתו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חשיבות לשאלה מי גרם למתלונן לאיזו מחבלותיו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ועל ידי מי בוצעה הסדרת התשלום בגין התקיפה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נמצא טעם בהשוואה בין העונשים שהוטלו על המערער ואלו שנגזרו על מעורב אחר בפרשה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ובדין נקבעו בעניינם מתחמי ענישה שונים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בחירת המערער לנהל את משפטו היא זכות העומדת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ומימושה לא נזקף לחובתו באופן שהביא להחמרה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ממילא אין בטענה לפיה ניהל המערער משפט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מצומצם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כדי להצדיק הקלה בעונשו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הלכה היא כי ערכאת הערעור לא תיטה להתערב בשיקול דעתה של הערכאה הדיונית בקביעת הפיצוי לנפגע העבירה אלא במקרים חריגים שבהם נקבעו פיצויים בסטייה קיצונית משיעור הפיצוי הראוי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הפיצוי שהוטל על המערער אינו מצדיק התערבות כזו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 בשים לב לנזקים הפיסיים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הכלכליים והנפשיים שנגרמו למתלונן וההליך הארוך הצפוי לשיקומו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אין להיעתר לבקשת המערער לעכב את תשלום הפיצוי עד לשחרורו ממאסרו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יכולתו הכלכלית של מבצע העבירה אינה שיקול רלוונטי בקביעת הפיצויים לנפגע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End w:id="10"/>
            <w:bookmarkEnd w:id="11"/>
            <w:bookmarkEnd w:id="12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לפנינו ערעור על גזר דינו של בית המשפט המחוזי בירושלים </w:t>
      </w:r>
      <w:r>
        <w:rPr>
          <w:rtl w:val="true"/>
        </w:rPr>
        <w:t>(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פרידמן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פלדמן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8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52015-12-15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26.11.2018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בגדרו נגזר על המערער עונש מאסר בפועל למשך </w:t>
      </w:r>
      <w:r>
        <w:rPr>
          <w:sz w:val="28"/>
        </w:rPr>
        <w:t>8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 ומחצה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ו</w:t>
      </w:r>
      <w:r>
        <w:rPr>
          <w:sz w:val="28"/>
          <w:sz w:val="28"/>
          <w:rtl w:val="true"/>
        </w:rPr>
        <w:t>ה</w:t>
      </w:r>
      <w:r>
        <w:rPr>
          <w:sz w:val="28"/>
          <w:sz w:val="28"/>
          <w:rtl w:val="true"/>
        </w:rPr>
        <w:t>ו</w:t>
      </w:r>
      <w:r>
        <w:rPr>
          <w:sz w:val="28"/>
          <w:sz w:val="28"/>
          <w:rtl w:val="true"/>
        </w:rPr>
        <w:t>פעל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מותנה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של </w:t>
      </w:r>
      <w:r>
        <w:rPr>
          <w:sz w:val="28"/>
        </w:rPr>
        <w:t>7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חודשים </w:t>
      </w:r>
      <w:r>
        <w:rPr>
          <w:sz w:val="28"/>
          <w:sz w:val="28"/>
          <w:rtl w:val="true"/>
        </w:rPr>
        <w:t>שהיה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תלוי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ועומד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נגדו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חלקו בחופף וחלקו </w:t>
      </w:r>
      <w:r>
        <w:rPr>
          <w:sz w:val="28"/>
          <w:sz w:val="28"/>
          <w:rtl w:val="true"/>
        </w:rPr>
        <w:t>במצטבר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כך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שהוטל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עליו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עונש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מאסר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כולל </w:t>
      </w:r>
      <w:r>
        <w:rPr>
          <w:sz w:val="28"/>
          <w:sz w:val="28"/>
          <w:rtl w:val="true"/>
        </w:rPr>
        <w:t>של</w:t>
      </w:r>
      <w:r>
        <w:rPr>
          <w:sz w:val="28"/>
          <w:sz w:val="28"/>
          <w:rtl w:val="true"/>
        </w:rPr>
        <w:t xml:space="preserve"> </w:t>
      </w:r>
      <w:r>
        <w:rPr>
          <w:sz w:val="28"/>
        </w:rPr>
        <w:t>8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שנים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r>
        <w:rPr>
          <w:sz w:val="28"/>
        </w:rPr>
        <w:t>10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חודשים לריצוי בפועל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החל מיום מעצרו</w:t>
      </w:r>
      <w:r>
        <w:rPr>
          <w:sz w:val="28"/>
          <w:rtl w:val="true"/>
        </w:rPr>
        <w:t xml:space="preserve">. </w:t>
      </w:r>
      <w:r>
        <w:rPr>
          <w:sz w:val="28"/>
          <w:sz w:val="28"/>
          <w:rtl w:val="true"/>
        </w:rPr>
        <w:t xml:space="preserve">כמו כן הושת על המערער עונש של </w:t>
      </w:r>
      <w:r>
        <w:rPr>
          <w:sz w:val="28"/>
        </w:rPr>
        <w:t>8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חודשי מאסר על תנאי למשך שלוש שנים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לבל יעבור עבירת אלימות מסוג פשע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 xml:space="preserve">ותשלום פיצוי למתלונן בסך של </w:t>
      </w:r>
      <w:r>
        <w:rPr>
          <w:sz w:val="28"/>
        </w:rPr>
        <w:t>100,000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ש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ח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1"/>
        <w:ind w:end="0"/>
        <w:jc w:val="both"/>
        <w:rPr/>
      </w:pPr>
      <w:r>
        <w:rPr>
          <w:rtl w:val="true"/>
        </w:rPr>
        <w:tab/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מלכתחילה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הוגש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הערעור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גם על הכרעת הדין</w:t>
      </w:r>
      <w:r>
        <w:rPr>
          <w:rFonts w:cs="FrankRuehl" w:ascii="FrankRuehl" w:hAnsi="FrankRuehl"/>
          <w:sz w:val="28"/>
          <w:szCs w:val="28"/>
          <w:rtl w:val="true"/>
        </w:rPr>
        <w:t>,</w:t>
      </w:r>
      <w:r>
        <w:rPr>
          <w:rFonts w:cs="FrankRuehl" w:ascii="FrankRuehl" w:hAnsi="FrankRuehl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אולם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לאחר ששמענו את טיעוני הצדדים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במלואם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בדיון שנערך לפנינו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הודיע המערער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על חזרתו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מ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ערעור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ו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על הכרעת הדין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ולפיכך הוא נדחה בפסק דיננו החלקי מיום </w:t>
      </w:r>
      <w:r>
        <w:rPr>
          <w:rFonts w:cs="FrankRuehl" w:ascii="FrankRuehl" w:hAnsi="FrankRuehl"/>
          <w:sz w:val="28"/>
          <w:szCs w:val="28"/>
        </w:rPr>
        <w:t>27</w:t>
      </w:r>
      <w:r>
        <w:rPr>
          <w:rFonts w:cs="FrankRuehl" w:ascii="FrankRuehl" w:hAnsi="FrankRuehl"/>
          <w:sz w:val="28"/>
          <w:szCs w:val="28"/>
        </w:rPr>
        <w:t>.5.2020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ruller41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11"/>
        <w:ind w:firstLine="720" w:end="0"/>
        <w:jc w:val="both"/>
        <w:rPr/>
      </w:pP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נותר אפוא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להכריע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 בערעור על גזר הדין</w:t>
      </w:r>
      <w:r>
        <w:rPr>
          <w:rFonts w:cs="FrankRuehl" w:ascii="FrankRuehl" w:hAnsi="FrankRuehl"/>
          <w:sz w:val="28"/>
          <w:szCs w:val="28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נגד המערער הוגש כתב אישום המייחס לו </w:t>
      </w:r>
      <w:r>
        <w:rPr>
          <w:sz w:val="28"/>
          <w:sz w:val="28"/>
          <w:rtl w:val="true"/>
        </w:rPr>
        <w:t>עבירות</w:t>
      </w:r>
      <w:r>
        <w:rPr>
          <w:rtl w:val="true"/>
        </w:rPr>
        <w:t xml:space="preserve"> של חבלה בכוונה מחמירה</w:t>
      </w:r>
      <w:r>
        <w:rPr>
          <w:rtl w:val="true"/>
        </w:rPr>
        <w:t xml:space="preserve">, </w:t>
      </w:r>
      <w:r>
        <w:rPr>
          <w:sz w:val="28"/>
          <w:sz w:val="28"/>
          <w:rtl w:val="true"/>
        </w:rPr>
        <w:t xml:space="preserve">לפי </w:t>
      </w:r>
      <w:hyperlink r:id="rId9">
        <w:r>
          <w:rPr>
            <w:rStyle w:val="Hyperlink"/>
            <w:sz w:val="28"/>
            <w:sz w:val="28"/>
            <w:rtl w:val="true"/>
          </w:rPr>
          <w:t>סעיפים</w:t>
        </w:r>
        <w:r>
          <w:rPr>
            <w:rStyle w:val="Hyperlink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329</w:t>
        </w:r>
        <w:r>
          <w:rPr>
            <w:rStyle w:val="Hyperlink"/>
            <w:sz w:val="28"/>
            <w:rtl w:val="true"/>
          </w:rPr>
          <w:t>(</w:t>
        </w:r>
        <w:r>
          <w:rPr>
            <w:rStyle w:val="Hyperlink"/>
            <w:sz w:val="28"/>
            <w:sz w:val="28"/>
            <w:rtl w:val="true"/>
          </w:rPr>
          <w:t>א</w:t>
        </w:r>
        <w:r>
          <w:rPr>
            <w:rStyle w:val="Hyperlink"/>
            <w:sz w:val="28"/>
            <w:rtl w:val="true"/>
          </w:rPr>
          <w:t>)(</w:t>
        </w:r>
        <w:r>
          <w:rPr>
            <w:rStyle w:val="Hyperlink"/>
            <w:sz w:val="28"/>
          </w:rPr>
          <w:t>1</w:t>
        </w:r>
        <w:r>
          <w:rPr>
            <w:rStyle w:val="Hyperlink"/>
            <w:sz w:val="28"/>
            <w:rtl w:val="true"/>
          </w:rPr>
          <w:t>)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ו</w:t>
      </w:r>
      <w:r>
        <w:rPr>
          <w:sz w:val="28"/>
          <w:rtl w:val="true"/>
        </w:rPr>
        <w:t>-</w:t>
      </w:r>
      <w:hyperlink r:id="rId10">
        <w:r>
          <w:rPr>
            <w:rStyle w:val="Hyperlink"/>
            <w:sz w:val="28"/>
          </w:rPr>
          <w:t>29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</w:t>
      </w:r>
      <w:hyperlink r:id="rId11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חוק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העונשין</w:t>
        </w:r>
      </w:hyperlink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>התשל</w:t>
      </w:r>
      <w:r>
        <w:rPr>
          <w:sz w:val="28"/>
          <w:rtl w:val="true"/>
        </w:rPr>
        <w:t>"</w:t>
      </w:r>
      <w:r>
        <w:rPr>
          <w:sz w:val="28"/>
          <w:sz w:val="28"/>
          <w:rtl w:val="true"/>
        </w:rPr>
        <w:t>ז</w:t>
      </w:r>
      <w:r>
        <w:rPr>
          <w:sz w:val="28"/>
          <w:rtl w:val="true"/>
        </w:rPr>
        <w:t>-</w:t>
      </w:r>
      <w:r>
        <w:rPr>
          <w:sz w:val="28"/>
        </w:rPr>
        <w:t>1977</w:t>
      </w:r>
      <w:r>
        <w:rPr>
          <w:sz w:val="28"/>
          <w:rtl w:val="true"/>
        </w:rPr>
        <w:t xml:space="preserve"> (</w:t>
      </w:r>
      <w:r>
        <w:rPr>
          <w:sz w:val="28"/>
          <w:sz w:val="28"/>
          <w:rtl w:val="true"/>
        </w:rPr>
        <w:t>להלן</w:t>
      </w:r>
      <w:r>
        <w:rPr>
          <w:sz w:val="28"/>
          <w:rtl w:val="true"/>
        </w:rPr>
        <w:t>: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sz w:val="28"/>
          <w:rtl w:val="true"/>
        </w:rPr>
        <w:t xml:space="preserve">); </w:t>
      </w:r>
      <w:r>
        <w:rPr>
          <w:sz w:val="28"/>
          <w:sz w:val="28"/>
          <w:rtl w:val="true"/>
        </w:rPr>
        <w:t>שיבוש מהלכי משפט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לפי </w:t>
      </w:r>
      <w:hyperlink r:id="rId12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244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 xml:space="preserve">; </w:t>
      </w:r>
      <w:r>
        <w:rPr>
          <w:sz w:val="28"/>
          <w:sz w:val="28"/>
          <w:rtl w:val="true"/>
        </w:rPr>
        <w:t>והשמדת ראיה</w:t>
      </w:r>
      <w:r>
        <w:rPr>
          <w:sz w:val="28"/>
          <w:rtl w:val="true"/>
        </w:rPr>
        <w:t xml:space="preserve">, </w:t>
      </w:r>
      <w:r>
        <w:rPr>
          <w:sz w:val="28"/>
          <w:sz w:val="28"/>
          <w:rtl w:val="true"/>
        </w:rPr>
        <w:t xml:space="preserve">לפי </w:t>
      </w:r>
      <w:hyperlink r:id="rId13">
        <w:r>
          <w:rPr>
            <w:rStyle w:val="Hyperlink"/>
            <w:sz w:val="28"/>
            <w:sz w:val="28"/>
            <w:rtl w:val="true"/>
          </w:rPr>
          <w:t>סעיף</w:t>
        </w:r>
        <w:r>
          <w:rPr>
            <w:rStyle w:val="Hyperlink"/>
            <w:sz w:val="28"/>
            <w:sz w:val="28"/>
            <w:rtl w:val="true"/>
          </w:rPr>
          <w:t xml:space="preserve"> </w:t>
        </w:r>
        <w:r>
          <w:rPr>
            <w:rStyle w:val="Hyperlink"/>
            <w:sz w:val="28"/>
          </w:rPr>
          <w:t>242</w:t>
        </w:r>
      </w:hyperlink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>לחוק</w:t>
      </w:r>
      <w:r>
        <w:rPr>
          <w:sz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ליטווין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ליטווין</w:t>
      </w:r>
      <w:r>
        <w:rPr>
          <w:rtl w:val="true"/>
        </w:rPr>
        <w:t xml:space="preserve">) </w:t>
      </w:r>
      <w:r>
        <w:rPr>
          <w:rtl w:val="true"/>
        </w:rPr>
        <w:t>עבדו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כווטרינרים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</w:t>
      </w:r>
      <w:r>
        <w:rPr>
          <w:rtl w:val="true"/>
        </w:rPr>
        <w:t xml:space="preserve">, </w:t>
      </w:r>
      <w:r>
        <w:rPr>
          <w:rtl w:val="true"/>
        </w:rPr>
        <w:t>והיתה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עסקית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ליטווין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ינקו</w:t>
      </w:r>
      <w:r>
        <w:rPr>
          <w:rtl w:val="true"/>
        </w:rPr>
        <w:t xml:space="preserve">)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חלפון</w:t>
      </w:r>
      <w:r>
        <w:rPr>
          <w:rtl w:val="true"/>
        </w:rPr>
        <w:t xml:space="preserve">)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. </w:t>
      </w:r>
      <w:r>
        <w:rPr>
          <w:rtl w:val="true"/>
        </w:rPr>
        <w:t>חלפון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מישייב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ניסימוב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מישייב</w:t>
      </w:r>
      <w:r>
        <w:rPr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ניסימוב</w:t>
      </w:r>
      <w:r>
        <w:rPr>
          <w:rtl w:val="true"/>
        </w:rPr>
        <w:t xml:space="preserve">, </w:t>
      </w:r>
      <w:r>
        <w:rPr>
          <w:rtl w:val="true"/>
        </w:rPr>
        <w:t>ושלושתם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התוקפים</w:t>
      </w:r>
      <w:r>
        <w:rPr>
          <w:rtl w:val="true"/>
        </w:rPr>
        <w:t xml:space="preserve">)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יסייעו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לתשלום</w:t>
      </w:r>
      <w:r>
        <w:rPr>
          <w:rtl w:val="true"/>
        </w:rPr>
        <w:t xml:space="preserve">, </w:t>
      </w:r>
      <w:r>
        <w:rPr>
          <w:rtl w:val="true"/>
        </w:rPr>
        <w:t>ואלו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נעתרו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לתכניתם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24.11.2015</w:t>
      </w:r>
      <w:r>
        <w:rPr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ובכפפות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שרכשו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צעצועים</w:t>
      </w:r>
      <w:r>
        <w:rPr>
          <w:rtl w:val="true"/>
        </w:rPr>
        <w:t xml:space="preserve">, </w:t>
      </w:r>
      <w:r>
        <w:rPr>
          <w:rtl w:val="true"/>
        </w:rPr>
        <w:t>בפתקים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המזוהים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אנונימוס</w:t>
      </w:r>
      <w:r>
        <w:rPr>
          <w:rtl w:val="true"/>
        </w:rPr>
        <w:t xml:space="preserve">" </w:t>
      </w:r>
      <w:r>
        <w:rPr>
          <w:rtl w:val="true"/>
        </w:rPr>
        <w:t>ובפתקים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הכיתוב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רוצח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לניסויים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בקופים</w:t>
      </w:r>
      <w:r>
        <w:rPr>
          <w:rtl w:val="true"/>
        </w:rPr>
        <w:t xml:space="preserve">"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המתוכננת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העסקית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ליטווין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הצטיידו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שבאמצעותו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הלילה</w:t>
      </w:r>
      <w:r>
        <w:rPr>
          <w:rtl w:val="true"/>
        </w:rPr>
        <w:t xml:space="preserve">,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לשעה</w:t>
      </w:r>
      <w:r>
        <w:rPr>
          <w:rFonts w:eastAsia="Arial TUR;Arial" w:cs="Arial TUR;Arial"/>
          <w:rtl w:val="true"/>
        </w:rPr>
        <w:t xml:space="preserve"> </w:t>
      </w:r>
      <w:r>
        <w:rPr/>
        <w:t>01:00</w:t>
      </w:r>
      <w:r>
        <w:rPr>
          <w:rtl w:val="true"/>
        </w:rPr>
        <w:t xml:space="preserve"> </w:t>
      </w:r>
      <w:r>
        <w:rPr>
          <w:rtl w:val="true"/>
        </w:rPr>
        <w:t>לפנות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בוקר</w:t>
      </w:r>
      <w:r>
        <w:rPr>
          <w:rtl w:val="true"/>
        </w:rPr>
        <w:t xml:space="preserve">, </w:t>
      </w:r>
      <w:r>
        <w:rPr>
          <w:rtl w:val="true"/>
        </w:rPr>
        <w:t>התקשרו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שרכשו</w:t>
      </w:r>
      <w:r>
        <w:rPr>
          <w:rtl w:val="true"/>
        </w:rPr>
        <w:t xml:space="preserve">, </w:t>
      </w:r>
      <w:r>
        <w:rPr>
          <w:rtl w:val="true"/>
        </w:rPr>
        <w:t>ומסרו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באצטדיון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ברזל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וזקוק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וטרינרי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בדחיפות</w:t>
      </w:r>
      <w:r>
        <w:rPr>
          <w:rtl w:val="true"/>
        </w:rPr>
        <w:t xml:space="preserve">, </w:t>
      </w:r>
      <w:r>
        <w:rPr>
          <w:rtl w:val="true"/>
        </w:rPr>
        <w:t>ביודעם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שביכולתו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פצועה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לאצטדיון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וחבריו</w:t>
      </w:r>
      <w:r>
        <w:rPr>
          <w:rtl w:val="true"/>
        </w:rPr>
        <w:t xml:space="preserve">, </w:t>
      </w:r>
      <w:r>
        <w:rPr>
          <w:rtl w:val="true"/>
        </w:rPr>
        <w:t>תקפו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והפילוהו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השליכו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בעטו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ובפניו</w:t>
      </w:r>
      <w:r>
        <w:rPr>
          <w:rtl w:val="true"/>
        </w:rPr>
        <w:t xml:space="preserve">, </w:t>
      </w:r>
      <w:r>
        <w:rPr>
          <w:rtl w:val="true"/>
        </w:rPr>
        <w:t>והיכוהו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ובזרועו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גדולה</w:t>
      </w:r>
      <w:r>
        <w:rPr>
          <w:rtl w:val="true"/>
        </w:rPr>
        <w:t xml:space="preserve">, </w:t>
      </w:r>
      <w:r>
        <w:rPr>
          <w:rtl w:val="true"/>
        </w:rPr>
        <w:t>שהיקפה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>: "</w:t>
      </w:r>
      <w:r>
        <w:rPr>
          <w:rtl w:val="true"/>
        </w:rPr>
        <w:t>רוצח</w:t>
      </w:r>
      <w:r>
        <w:rPr>
          <w:rtl w:val="true"/>
        </w:rPr>
        <w:t xml:space="preserve">, </w:t>
      </w:r>
      <w:r>
        <w:rPr>
          <w:rtl w:val="true"/>
        </w:rPr>
        <w:t>רוצח</w:t>
      </w:r>
      <w:r>
        <w:rPr>
          <w:rtl w:val="true"/>
        </w:rPr>
        <w:t xml:space="preserve">". </w:t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ניפצו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tl w:val="true"/>
        </w:rPr>
        <w:t xml:space="preserve">, </w:t>
      </w:r>
      <w:r>
        <w:rPr>
          <w:rtl w:val="true"/>
        </w:rPr>
        <w:t>חיבלו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השליכו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הפתקים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ונמלטו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והכפפות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ששימשו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ויצרו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שהשלימו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בעסקה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הכספית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שהובטחה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ובזרועו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הצריכו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אשפוזו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שבוע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זרועו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להשלמת התמונה יצוין כי כתב האישום המתואר הוגש תחילה נגד המערער</w:t>
      </w:r>
      <w:r>
        <w:rPr>
          <w:rtl w:val="true"/>
        </w:rPr>
        <w:t xml:space="preserve">, </w:t>
      </w:r>
      <w:r>
        <w:rPr>
          <w:rtl w:val="true"/>
        </w:rPr>
        <w:t>ינקו</w:t>
      </w:r>
      <w:r>
        <w:rPr>
          <w:rtl w:val="true"/>
        </w:rPr>
        <w:t xml:space="preserve">, </w:t>
      </w:r>
      <w:r>
        <w:rPr>
          <w:rtl w:val="true"/>
        </w:rPr>
        <w:t>חלפון ומישייב</w:t>
      </w:r>
      <w:r>
        <w:rPr>
          <w:rtl w:val="true"/>
        </w:rPr>
        <w:t xml:space="preserve">. </w:t>
      </w:r>
      <w:r>
        <w:rPr>
          <w:rtl w:val="true"/>
        </w:rPr>
        <w:t>כתבי אישום נפרדים הוגשו נגד ליטווין שהזמין את התקיפה</w:t>
      </w:r>
      <w:r>
        <w:rPr>
          <w:rtl w:val="true"/>
        </w:rPr>
        <w:t xml:space="preserve">, </w:t>
      </w:r>
      <w:r>
        <w:rPr>
          <w:rtl w:val="true"/>
        </w:rPr>
        <w:t>ונגד ניסימוב</w:t>
      </w:r>
      <w:r>
        <w:rPr>
          <w:rtl w:val="true"/>
        </w:rPr>
        <w:t xml:space="preserve">, </w:t>
      </w:r>
      <w:r>
        <w:rPr>
          <w:rtl w:val="true"/>
        </w:rPr>
        <w:t>שהשתתף בהכנות לקראת התקיפה וכן הסיע את התוקפים למקום ביצוע העבירה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בהתאם להסכם </w:t>
      </w:r>
      <w:r>
        <w:rPr>
          <w:rtl w:val="true"/>
        </w:rPr>
        <w:t>"</w:t>
      </w:r>
      <w:r>
        <w:rPr>
          <w:rtl w:val="true"/>
        </w:rPr>
        <w:t>עד מדינה</w:t>
      </w:r>
      <w:r>
        <w:rPr>
          <w:rtl w:val="true"/>
        </w:rPr>
        <w:t xml:space="preserve">" </w:t>
      </w:r>
      <w:r>
        <w:rPr>
          <w:rtl w:val="true"/>
        </w:rPr>
        <w:t>שנחתם עמו</w:t>
      </w:r>
      <w:r>
        <w:rPr>
          <w:rtl w:val="true"/>
        </w:rPr>
        <w:t xml:space="preserve">, </w:t>
      </w:r>
      <w:r>
        <w:rPr>
          <w:rtl w:val="true"/>
        </w:rPr>
        <w:t>ולאחר שהעיד במשפטו של ליטווין</w:t>
      </w:r>
      <w:r>
        <w:rPr>
          <w:rtl w:val="true"/>
        </w:rPr>
        <w:t xml:space="preserve">, </w:t>
      </w:r>
      <w:r>
        <w:rPr>
          <w:rtl w:val="true"/>
        </w:rPr>
        <w:t>בוטל כתב האישום בעניינו של ינקו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ניסימוב</w:t>
      </w:r>
      <w:r>
        <w:rPr>
          <w:rtl w:val="true"/>
        </w:rPr>
        <w:t xml:space="preserve"> הודה והורשע במסגרת הסדר טיעון</w:t>
      </w:r>
      <w:r>
        <w:rPr>
          <w:rtl w:val="true"/>
        </w:rPr>
        <w:t xml:space="preserve">, </w:t>
      </w:r>
      <w:r>
        <w:rPr>
          <w:rtl w:val="true"/>
        </w:rPr>
        <w:t>ונגזר עליו עונש של חמש שנות מאסר בפועל</w:t>
      </w:r>
      <w:r>
        <w:rPr>
          <w:rtl w:val="true"/>
        </w:rPr>
        <w:t xml:space="preserve">, </w:t>
      </w:r>
      <w:r>
        <w:rPr>
          <w:rtl w:val="true"/>
        </w:rPr>
        <w:t>עונש מאסר על תנאי ופיצוי למתלונן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ליטווין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תלויים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3037/19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2947/19</w:t>
        </w:r>
      </w:hyperlink>
      <w:r>
        <w:rPr>
          <w:rtl w:val="true"/>
        </w:rPr>
        <w:t xml:space="preserve"> </w:t>
      </w:r>
      <w:r>
        <w:rPr>
          <w:rtl w:val="true"/>
        </w:rPr>
        <w:t>בהתאמה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חלפון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ומישייב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שותפיו של המערער לכתב האישום </w:t>
      </w:r>
      <w:r>
        <w:rPr>
          <w:rtl w:val="true"/>
        </w:rPr>
        <w:t>–</w:t>
      </w:r>
      <w:r>
        <w:rPr>
          <w:rtl w:val="true"/>
        </w:rPr>
        <w:t xml:space="preserve"> הודו והורשעו אף הם במסגרת הסדר טיעון</w:t>
      </w:r>
      <w:r>
        <w:rPr>
          <w:rtl w:val="true"/>
        </w:rPr>
        <w:t xml:space="preserve">, </w:t>
      </w:r>
      <w:r>
        <w:rPr>
          <w:rtl w:val="true"/>
        </w:rPr>
        <w:t>והושת על כל אחד מהם עונש של שבע שנות מאסר</w:t>
      </w:r>
      <w:r>
        <w:rPr>
          <w:rtl w:val="true"/>
        </w:rPr>
        <w:t xml:space="preserve">, </w:t>
      </w:r>
      <w:r>
        <w:rPr>
          <w:rtl w:val="true"/>
        </w:rPr>
        <w:t>וכן עונשי מאסר על תנאי ופיצוי למתלונן</w:t>
      </w:r>
      <w:r>
        <w:rPr>
          <w:rtl w:val="true"/>
        </w:rPr>
        <w:t xml:space="preserve">. </w:t>
      </w:r>
      <w:r>
        <w:rPr>
          <w:rtl w:val="true"/>
        </w:rPr>
        <w:t xml:space="preserve">ערעורו של חלפון נמחק בהסכמתו </w:t>
      </w:r>
      <w:r>
        <w:rPr>
          <w:rtl w:val="true"/>
        </w:rPr>
        <w:t>(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6355/17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חלפון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28.9.2017</w:t>
      </w:r>
      <w:r>
        <w:rPr>
          <w:rtl w:val="true"/>
        </w:rPr>
        <w:t xml:space="preserve">)) </w:t>
      </w:r>
      <w:r>
        <w:rPr>
          <w:rtl w:val="true"/>
        </w:rPr>
        <w:t>ואילו ערעורו של מישייב התקבל</w:t>
      </w:r>
      <w:r>
        <w:rPr>
          <w:rtl w:val="true"/>
        </w:rPr>
        <w:t xml:space="preserve">, </w:t>
      </w:r>
      <w:r>
        <w:rPr>
          <w:rtl w:val="true"/>
        </w:rPr>
        <w:t>בהסכמת המשיבה</w:t>
      </w:r>
      <w:r>
        <w:rPr>
          <w:rtl w:val="true"/>
        </w:rPr>
        <w:t xml:space="preserve">, </w:t>
      </w:r>
      <w:r>
        <w:rPr>
          <w:rtl w:val="true"/>
        </w:rPr>
        <w:t>כך שעונש המאסר בפועל שהוטל עליו הופחת לשש שנים</w:t>
      </w:r>
      <w:r>
        <w:rPr>
          <w:rtl w:val="true"/>
        </w:rPr>
        <w:t xml:space="preserve">, </w:t>
      </w:r>
      <w:r>
        <w:rPr>
          <w:rtl w:val="true"/>
        </w:rPr>
        <w:t xml:space="preserve">וזאת בשל </w:t>
      </w:r>
      <w:r>
        <w:rPr>
          <w:rtl w:val="true"/>
        </w:rPr>
        <w:t>"</w:t>
      </w:r>
      <w:r>
        <w:rPr>
          <w:rtl w:val="true"/>
        </w:rPr>
        <w:t>הליך שיקומי מרשים וארוך</w:t>
      </w:r>
      <w:r>
        <w:rPr>
          <w:rtl w:val="true"/>
        </w:rPr>
        <w:t xml:space="preserve">" </w:t>
      </w:r>
      <w:r>
        <w:rPr>
          <w:rtl w:val="true"/>
        </w:rPr>
        <w:t xml:space="preserve">שעבר </w:t>
      </w:r>
      <w:r>
        <w:rPr>
          <w:rtl w:val="true"/>
        </w:rPr>
        <w:t>(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5478/17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מישייב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28.9.2017</w:t>
      </w:r>
      <w:r>
        <w:rPr>
          <w:rtl w:val="true"/>
        </w:rPr>
        <w:t>)).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שמיעת ראיות</w:t>
      </w:r>
      <w:r>
        <w:rPr>
          <w:rtl w:val="true"/>
        </w:rPr>
        <w:t xml:space="preserve">, </w:t>
      </w:r>
      <w:r>
        <w:rPr>
          <w:rtl w:val="true"/>
        </w:rPr>
        <w:t>הרשיע בית המשפט המחוזי את המערער בעבירה של חבלה בכוונה מחמירה</w:t>
      </w:r>
      <w:r>
        <w:rPr>
          <w:rtl w:val="true"/>
        </w:rPr>
        <w:t xml:space="preserve">, </w:t>
      </w:r>
      <w:r>
        <w:rPr>
          <w:rtl w:val="true"/>
        </w:rPr>
        <w:t>וזיכהו מעבירות של שיבוש מהלכי משפט והשמדת ראיה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להכירו</w:t>
      </w:r>
      <w:r>
        <w:rPr>
          <w:rtl w:val="true"/>
        </w:rPr>
        <w:t xml:space="preserve">, </w:t>
      </w:r>
      <w:r>
        <w:rPr>
          <w:rtl w:val="true"/>
        </w:rPr>
        <w:t>תמורת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ניצל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טוּב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פצועה</w:t>
      </w:r>
      <w:r>
        <w:rPr>
          <w:rtl w:val="true"/>
        </w:rPr>
        <w:t xml:space="preserve">, </w:t>
      </w:r>
      <w:r>
        <w:rPr>
          <w:rtl w:val="true"/>
        </w:rPr>
        <w:t>והותיר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באצטדיון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; </w:t>
      </w:r>
      <w:r>
        <w:rPr>
          <w:rtl w:val="true"/>
        </w:rPr>
        <w:t>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בסובבים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; </w:t>
      </w:r>
      <w:r>
        <w:rPr>
          <w:rtl w:val="true"/>
        </w:rPr>
        <w:t>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פיסיים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מורכבים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המחייבים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; </w:t>
      </w:r>
      <w:r>
        <w:rPr>
          <w:rtl w:val="true"/>
        </w:rPr>
        <w:t>ופגע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בתפקודו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התעסוקתי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בדומה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ומישייב</w:t>
      </w:r>
      <w:r>
        <w:rPr>
          <w:rtl w:val="true"/>
        </w:rPr>
        <w:t xml:space="preserve">, </w:t>
      </w:r>
      <w:r>
        <w:rPr>
          <w:rtl w:val="true"/>
        </w:rPr>
        <w:t>שותפיו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[</w:t>
      </w:r>
      <w:r>
        <w:rPr>
          <w:rtl w:val="true"/>
        </w:rPr>
        <w:t>מישייב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], </w:t>
      </w:r>
      <w:r>
        <w:rPr>
          <w:rtl w:val="true"/>
        </w:rPr>
        <w:t>וההבדל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[</w:t>
      </w:r>
      <w:r>
        <w:rPr>
          <w:rtl w:val="true"/>
        </w:rPr>
        <w:t>חלפון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שולי</w:t>
      </w:r>
      <w:r>
        <w:rPr>
          <w:rtl w:val="true"/>
        </w:rPr>
        <w:t xml:space="preserve">, </w:t>
      </w:r>
      <w:r>
        <w:rPr>
          <w:rtl w:val="true"/>
        </w:rPr>
        <w:t>מאחר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לגזירת העונש בתוך המתחם</w:t>
      </w:r>
      <w:r>
        <w:rPr>
          <w:rtl w:val="true"/>
        </w:rPr>
        <w:t xml:space="preserve">, </w:t>
      </w:r>
      <w:r>
        <w:rPr>
          <w:rtl w:val="true"/>
        </w:rPr>
        <w:t>התחשב בית המשפט המחוזי לקולא בתקופה הממושכת בה היה המערער נתון במעצר</w:t>
      </w:r>
      <w:r>
        <w:rPr>
          <w:rtl w:val="true"/>
        </w:rPr>
        <w:t xml:space="preserve">, </w:t>
      </w:r>
      <w:r>
        <w:rPr>
          <w:rtl w:val="true"/>
        </w:rPr>
        <w:t>וכן במידת מה גם בגילו הצעיר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כשיקולים לחומרא צוינו עברו הפלילי של המערער הכולל הרשעות בעבירות רכוש</w:t>
      </w:r>
      <w:r>
        <w:rPr>
          <w:rtl w:val="true"/>
        </w:rPr>
        <w:t xml:space="preserve">, </w:t>
      </w:r>
      <w:r>
        <w:rPr>
          <w:rtl w:val="true"/>
        </w:rPr>
        <w:t>אלימות וסמים</w:t>
      </w:r>
      <w:r>
        <w:rPr>
          <w:rtl w:val="true"/>
        </w:rPr>
        <w:t xml:space="preserve">, </w:t>
      </w:r>
      <w:r>
        <w:rPr>
          <w:rtl w:val="true"/>
        </w:rPr>
        <w:t>והעובדה כי העבירה דנן בוצעה על ידו בשעה שהיה תלוי ועומד נגדו עונש מאסר מותנה בר הפעלה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לשותפיו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שותפיו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ניסימוב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".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66349-11-15</w:t>
      </w:r>
      <w:r>
        <w:rPr>
          <w:rtl w:val="true"/>
        </w:rPr>
        <w:t xml:space="preserve">).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תלוי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וגניבה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14665-09-13</w:t>
        </w:r>
      </w:hyperlink>
      <w:r>
        <w:rPr>
          <w:rtl w:val="true"/>
        </w:rPr>
        <w:t xml:space="preserve">),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וארבעה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1"/>
        <w:keepNext w:val="true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לטענת המערער</w:t>
      </w:r>
      <w:r>
        <w:rPr>
          <w:rtl w:val="true"/>
        </w:rPr>
        <w:t xml:space="preserve">, </w:t>
      </w:r>
      <w:r>
        <w:rPr>
          <w:rtl w:val="true"/>
        </w:rPr>
        <w:t>חלקו בתקיפה היה מצומצם מזה של שותפיו לכתב האישום</w:t>
      </w:r>
      <w:r>
        <w:rPr>
          <w:rtl w:val="true"/>
        </w:rPr>
        <w:t xml:space="preserve">. </w:t>
      </w:r>
      <w:r>
        <w:rPr>
          <w:rtl w:val="true"/>
        </w:rPr>
        <w:t>בהקשר זה נטען כי המערער פותה על ידי חלפון להשתתף בתקיפה</w:t>
      </w:r>
      <w:r>
        <w:rPr>
          <w:rtl w:val="true"/>
        </w:rPr>
        <w:t xml:space="preserve">; </w:t>
      </w:r>
      <w:r>
        <w:rPr>
          <w:rtl w:val="true"/>
        </w:rPr>
        <w:t xml:space="preserve">כי לא היה </w:t>
      </w:r>
      <w:r>
        <w:rPr>
          <w:rtl w:val="true"/>
        </w:rPr>
        <w:t>"</w:t>
      </w:r>
      <w:r>
        <w:rPr>
          <w:rtl w:val="true"/>
        </w:rPr>
        <w:t>דומיננטי</w:t>
      </w:r>
      <w:r>
        <w:rPr>
          <w:rtl w:val="true"/>
        </w:rPr>
        <w:t xml:space="preserve">" </w:t>
      </w:r>
      <w:r>
        <w:rPr>
          <w:rtl w:val="true"/>
        </w:rPr>
        <w:t>בהכאת המתלונן</w:t>
      </w:r>
      <w:r>
        <w:rPr>
          <w:rtl w:val="true"/>
        </w:rPr>
        <w:t xml:space="preserve">; </w:t>
      </w:r>
      <w:r>
        <w:rPr>
          <w:rtl w:val="true"/>
        </w:rPr>
        <w:t xml:space="preserve">כי הוא לא היה הגורם שאליו פנה ליטווין כדי </w:t>
      </w:r>
      <w:r>
        <w:rPr>
          <w:rtl w:val="true"/>
        </w:rPr>
        <w:t>"</w:t>
      </w:r>
      <w:r>
        <w:rPr>
          <w:rtl w:val="true"/>
        </w:rPr>
        <w:t>להזמין</w:t>
      </w:r>
      <w:r>
        <w:rPr>
          <w:rtl w:val="true"/>
        </w:rPr>
        <w:t xml:space="preserve">" </w:t>
      </w:r>
      <w:r>
        <w:rPr>
          <w:rtl w:val="true"/>
        </w:rPr>
        <w:t>את התקיפה</w:t>
      </w:r>
      <w:r>
        <w:rPr>
          <w:rtl w:val="true"/>
        </w:rPr>
        <w:t xml:space="preserve">; </w:t>
      </w:r>
      <w:r>
        <w:rPr>
          <w:rtl w:val="true"/>
        </w:rPr>
        <w:t>וכי הוא לא טיפל בהסדרת התשלום בגינה</w:t>
      </w:r>
      <w:r>
        <w:rPr>
          <w:rtl w:val="true"/>
        </w:rPr>
        <w:t xml:space="preserve">. </w:t>
      </w:r>
      <w:r>
        <w:rPr>
          <w:rtl w:val="true"/>
        </w:rPr>
        <w:t>עוד נטען כי בניגוד לשותפיו</w:t>
      </w:r>
      <w:r>
        <w:rPr>
          <w:rtl w:val="true"/>
        </w:rPr>
        <w:t xml:space="preserve">, </w:t>
      </w:r>
      <w:r>
        <w:rPr>
          <w:rtl w:val="true"/>
        </w:rPr>
        <w:t>לא הוכחה מודעותו לתחרות העסקית שעמדה בבסיס התקיפה וכן מודעותו לתמורה הכספית עובר לתקיפה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לטענת המערער לא ניתן לראותו כ</w:t>
      </w:r>
      <w:r>
        <w:rPr>
          <w:rtl w:val="true"/>
        </w:rPr>
        <w:t>"</w:t>
      </w:r>
      <w:r>
        <w:rPr>
          <w:rtl w:val="true"/>
        </w:rPr>
        <w:t>שכיר חרב</w:t>
      </w:r>
      <w:r>
        <w:rPr>
          <w:rtl w:val="true"/>
        </w:rPr>
        <w:t xml:space="preserve">", </w:t>
      </w:r>
      <w:r>
        <w:rPr>
          <w:rtl w:val="true"/>
        </w:rPr>
        <w:t>או כמי שבא לפגוע במתלונן על רקע תחרות עסקית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שותפיו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ניסימוב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>–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עשיר</w:t>
      </w:r>
      <w:r>
        <w:rPr>
          <w:rtl w:val="true"/>
        </w:rPr>
        <w:t xml:space="preserve">"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לשיבוש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 הוסיף וטען</w:t>
      </w:r>
      <w:r>
        <w:rPr>
          <w:rtl w:val="true"/>
        </w:rPr>
        <w:t xml:space="preserve">, </w:t>
      </w:r>
      <w:r>
        <w:rPr>
          <w:rtl w:val="true"/>
        </w:rPr>
        <w:t>כי בית המשפט החמיר עמו יתר על המידה בגזירת עונשו בתוך המתחם</w:t>
      </w:r>
      <w:r>
        <w:rPr>
          <w:rtl w:val="true"/>
        </w:rPr>
        <w:t xml:space="preserve">. </w:t>
      </w:r>
      <w:r>
        <w:rPr>
          <w:rtl w:val="true"/>
        </w:rPr>
        <w:t>בהקשר זה נטען כי בית המשפט לא התחשב כראוי בנסיבותיו המקלות של המערער</w:t>
      </w:r>
      <w:r>
        <w:rPr>
          <w:rtl w:val="true"/>
        </w:rPr>
        <w:t xml:space="preserve">, </w:t>
      </w:r>
      <w:r>
        <w:rPr>
          <w:rtl w:val="true"/>
        </w:rPr>
        <w:t>ובהן כי היה נתון במעצר עד לתום ההליכים</w:t>
      </w:r>
      <w:r>
        <w:rPr>
          <w:rtl w:val="true"/>
        </w:rPr>
        <w:t xml:space="preserve">, </w:t>
      </w:r>
      <w:r>
        <w:rPr>
          <w:rtl w:val="true"/>
        </w:rPr>
        <w:t>כאשר משפטו נמשך כשלוש שנים</w:t>
      </w:r>
      <w:r>
        <w:rPr>
          <w:rtl w:val="true"/>
        </w:rPr>
        <w:t xml:space="preserve">; </w:t>
      </w:r>
      <w:r>
        <w:rPr>
          <w:rtl w:val="true"/>
        </w:rPr>
        <w:t xml:space="preserve">וכי היה ראוי לזקוף לזכותו גם את העובדה שניהל </w:t>
      </w:r>
      <w:r>
        <w:rPr>
          <w:rtl w:val="true"/>
        </w:rPr>
        <w:t>"</w:t>
      </w:r>
      <w:r>
        <w:rPr>
          <w:rtl w:val="true"/>
        </w:rPr>
        <w:t>משפט מצומצם</w:t>
      </w:r>
      <w:r>
        <w:rPr>
          <w:rtl w:val="true"/>
        </w:rPr>
        <w:t xml:space="preserve">" </w:t>
      </w:r>
      <w:r>
        <w:rPr>
          <w:rtl w:val="true"/>
        </w:rPr>
        <w:t xml:space="preserve">בכך שביקש לחקור רק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עדים מתוך </w:t>
      </w:r>
      <w:r>
        <w:rPr/>
        <w:t>56</w:t>
      </w:r>
      <w:r>
        <w:rPr>
          <w:rtl w:val="true"/>
        </w:rPr>
        <w:t xml:space="preserve"> </w:t>
      </w:r>
      <w:r>
        <w:rPr>
          <w:rtl w:val="true"/>
        </w:rPr>
        <w:t>עדי תביעה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ניסימוב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).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tl w:val="true"/>
        </w:rPr>
        <w:t xml:space="preserve">, </w:t>
      </w:r>
      <w:r>
        <w:rPr>
          <w:rtl w:val="true"/>
        </w:rPr>
        <w:t>נתבקש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לשחרורו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ממאסר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לטענת המשיבה</w:t>
      </w:r>
      <w:r>
        <w:rPr>
          <w:rtl w:val="true"/>
        </w:rPr>
        <w:t xml:space="preserve">, </w:t>
      </w:r>
      <w:r>
        <w:rPr>
          <w:rtl w:val="true"/>
        </w:rPr>
        <w:t>יש לדחות את הערעור על חומרת העונש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בניגוד לטענת המערער</w:t>
      </w:r>
      <w:r>
        <w:rPr>
          <w:rtl w:val="true"/>
        </w:rPr>
        <w:t xml:space="preserve">, </w:t>
      </w:r>
      <w:r>
        <w:rPr>
          <w:rtl w:val="true"/>
        </w:rPr>
        <w:t>נטען כי הוכח שהלה השתתף באירוע התקיפה מתוך בצע כסף ונטל חלק פעיל ודומיננטי בהכאת המתלונן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אשר להחמרת עונשו של המערער על פני עונשם של שותפיו לכתב האישום</w:t>
      </w:r>
      <w:r>
        <w:rPr>
          <w:rtl w:val="true"/>
        </w:rPr>
        <w:t xml:space="preserve">, </w:t>
      </w:r>
      <w:r>
        <w:rPr>
          <w:rtl w:val="true"/>
        </w:rPr>
        <w:t>נטען כי חרף גילו הצעיר</w:t>
      </w:r>
      <w:r>
        <w:rPr>
          <w:rtl w:val="true"/>
        </w:rPr>
        <w:t xml:space="preserve">, </w:t>
      </w:r>
      <w:r>
        <w:rPr>
          <w:rtl w:val="true"/>
        </w:rPr>
        <w:t>המערער בעל עבר פלילי ממשי</w:t>
      </w:r>
      <w:r>
        <w:rPr>
          <w:rtl w:val="true"/>
        </w:rPr>
        <w:t xml:space="preserve">, </w:t>
      </w:r>
      <w:r>
        <w:rPr>
          <w:rtl w:val="true"/>
        </w:rPr>
        <w:t>והעבירה מושא כתב אישום זה נעברה בשעה שתלוי ועומד נגדו עונש מאסר מותנה בגין הרשעתו בעבירות אלימות נגד קטינים</w:t>
      </w:r>
      <w:r>
        <w:rPr>
          <w:rtl w:val="true"/>
        </w:rPr>
        <w:t xml:space="preserve">, </w:t>
      </w:r>
      <w:r>
        <w:rPr>
          <w:rtl w:val="true"/>
        </w:rPr>
        <w:t>מבלי שיהיה בכך כדי להרתיעו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הודגש כי המערער בחר לנהל את משפטו</w:t>
      </w:r>
      <w:r>
        <w:rPr>
          <w:rtl w:val="true"/>
        </w:rPr>
        <w:t xml:space="preserve">, </w:t>
      </w:r>
      <w:r>
        <w:rPr>
          <w:rtl w:val="true"/>
        </w:rPr>
        <w:t>לא הודה במיוחס לו</w:t>
      </w:r>
      <w:r>
        <w:rPr>
          <w:rtl w:val="true"/>
        </w:rPr>
        <w:t xml:space="preserve">, </w:t>
      </w:r>
      <w:r>
        <w:rPr>
          <w:rtl w:val="true"/>
        </w:rPr>
        <w:t>לא עבר הליך שיקום ממשי</w:t>
      </w:r>
      <w:r>
        <w:rPr>
          <w:rtl w:val="true"/>
        </w:rPr>
        <w:t xml:space="preserve">, </w:t>
      </w:r>
      <w:r>
        <w:rPr>
          <w:rtl w:val="true"/>
        </w:rPr>
        <w:t>ולא הביע חרטה על מעשיו</w:t>
      </w:r>
      <w:r>
        <w:rPr>
          <w:rtl w:val="true"/>
        </w:rPr>
        <w:t xml:space="preserve">. </w:t>
      </w:r>
      <w:r>
        <w:rPr>
          <w:rtl w:val="true"/>
        </w:rPr>
        <w:t>בנסיבות אלו נטען כי ההחמרה בעונשו לעומת עונשם של שותפיו לכתב האישום מבטאת את חומרת נסיבותיו האישיות של המערער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ניסימוב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במלואה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בחופף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חסד</w:t>
      </w:r>
      <w:r>
        <w:rPr>
          <w:rtl w:val="true"/>
        </w:rPr>
        <w:t xml:space="preserve">" </w:t>
      </w:r>
      <w:r>
        <w:rPr>
          <w:rtl w:val="true"/>
        </w:rPr>
        <w:t>בקביעת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סטייה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overflowPunct w:val="true"/>
        <w:autoSpaceDE w:val="true"/>
        <w:bidi w:val="0"/>
        <w:jc w:val="start"/>
        <w:textAlignment w:val="auto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שעיינ</w:t>
      </w:r>
      <w:r>
        <w:rPr>
          <w:rtl w:val="true"/>
        </w:rPr>
        <w:t>תי</w:t>
      </w:r>
      <w:r>
        <w:rPr>
          <w:rtl w:val="true"/>
        </w:rPr>
        <w:t xml:space="preserve"> </w:t>
      </w:r>
      <w:r>
        <w:rPr>
          <w:rtl w:val="true"/>
        </w:rPr>
        <w:t>בנימוקי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ושמע</w:t>
      </w:r>
      <w:r>
        <w:rPr>
          <w:rtl w:val="true"/>
        </w:rPr>
        <w:t>תי</w:t>
      </w:r>
      <w:r>
        <w:rPr>
          <w:rtl w:val="true"/>
        </w:rPr>
        <w:t xml:space="preserve"> </w:t>
      </w:r>
      <w:r>
        <w:rPr>
          <w:rtl w:val="true"/>
        </w:rPr>
        <w:t>טענות</w:t>
      </w:r>
      <w:r>
        <w:rPr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 xml:space="preserve">כוח </w:t>
      </w:r>
      <w:r>
        <w:rPr>
          <w:rtl w:val="true"/>
        </w:rPr>
        <w:t>הצדדים</w:t>
      </w:r>
      <w:r>
        <w:rPr>
          <w:rtl w:val="true"/>
        </w:rPr>
        <w:t xml:space="preserve"> </w:t>
      </w:r>
      <w:r>
        <w:rPr>
          <w:rtl w:val="true"/>
        </w:rPr>
        <w:t>בדיון</w:t>
      </w:r>
      <w:r>
        <w:rPr>
          <w:rtl w:val="true"/>
        </w:rPr>
        <w:t xml:space="preserve"> </w:t>
      </w:r>
      <w:r>
        <w:rPr>
          <w:rtl w:val="true"/>
        </w:rPr>
        <w:t>שנערך</w:t>
      </w:r>
      <w:r>
        <w:rPr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tl w:val="true"/>
        </w:rPr>
        <w:t>תי</w:t>
      </w:r>
      <w:r>
        <w:rPr>
          <w:rtl w:val="true"/>
        </w:rPr>
        <w:t xml:space="preserve"> </w:t>
      </w:r>
      <w:r>
        <w:rPr>
          <w:rtl w:val="true"/>
        </w:rPr>
        <w:t>לכלל</w:t>
      </w:r>
      <w:r>
        <w:rPr>
          <w:rtl w:val="true"/>
        </w:rPr>
        <w:t xml:space="preserve"> </w:t>
      </w:r>
      <w:r>
        <w:rPr>
          <w:rtl w:val="true"/>
        </w:rPr>
        <w:t>מסקנה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בטרם אדון בטענות לגופן</w:t>
      </w:r>
      <w:r>
        <w:rPr>
          <w:rtl w:val="true"/>
        </w:rPr>
        <w:t xml:space="preserve">, </w:t>
      </w:r>
      <w:r>
        <w:rPr>
          <w:rtl w:val="true"/>
        </w:rPr>
        <w:t>אזכיר את הכלל לפיו ערכאת הערעור לא ת</w:t>
      </w:r>
      <w:r>
        <w:rPr>
          <w:rtl w:val="true"/>
        </w:rPr>
        <w:t>תערב בעונש</w:t>
      </w:r>
      <w:r>
        <w:rPr>
          <w:rtl w:val="true"/>
        </w:rPr>
        <w:t xml:space="preserve">, </w:t>
      </w:r>
      <w:r>
        <w:rPr>
          <w:rtl w:val="true"/>
        </w:rPr>
        <w:t xml:space="preserve">אלא במקרים חריגים בהם נפל פגם מהותי בגזר </w:t>
      </w:r>
      <w:r>
        <w:rPr>
          <w:rtl w:val="true"/>
        </w:rPr>
        <w:t>דינה של הערכאה הדיונית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או שהעונש שנקבע </w:t>
      </w:r>
      <w:r>
        <w:rPr>
          <w:rtl w:val="true"/>
        </w:rPr>
        <w:t>סוטה</w:t>
      </w:r>
      <w:r>
        <w:rPr>
          <w:rtl w:val="true"/>
        </w:rPr>
        <w:t xml:space="preserve"> באופן </w:t>
      </w:r>
      <w:r>
        <w:rPr>
          <w:rtl w:val="true"/>
        </w:rPr>
        <w:t>קיצוני</w:t>
      </w:r>
      <w:r>
        <w:rPr>
          <w:rtl w:val="true"/>
        </w:rPr>
        <w:t xml:space="preserve"> ממדיניות הענישה </w:t>
      </w:r>
      <w:r>
        <w:rPr>
          <w:rtl w:val="true"/>
        </w:rPr>
        <w:t>הנהוגה</w:t>
      </w:r>
      <w:r>
        <w:rPr>
          <w:rtl w:val="true"/>
        </w:rPr>
        <w:t xml:space="preserve"> במקרים דומים </w:t>
      </w:r>
      <w:r>
        <w:rPr>
          <w:rtl w:val="true"/>
        </w:rPr>
        <w:t>(</w:t>
      </w:r>
      <w:hyperlink r:id="rId19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8146/16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אנטילי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(</w:t>
      </w:r>
      <w:r>
        <w:rPr/>
        <w:t>6.2.2018</w:t>
      </w:r>
      <w:r>
        <w:rPr>
          <w:rtl w:val="true"/>
        </w:rPr>
        <w:t xml:space="preserve">)).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מכל מקום</w:t>
      </w:r>
      <w:r>
        <w:rPr>
          <w:rtl w:val="true"/>
        </w:rPr>
        <w:t xml:space="preserve">, </w:t>
      </w:r>
      <w:r>
        <w:rPr>
          <w:rtl w:val="true"/>
        </w:rPr>
        <w:t>דומה כי כלל זה אינו נדרש במקרה דנן</w:t>
      </w:r>
      <w:r>
        <w:rPr>
          <w:rtl w:val="true"/>
        </w:rPr>
        <w:t xml:space="preserve">, </w:t>
      </w:r>
      <w:r>
        <w:rPr>
          <w:rtl w:val="true"/>
        </w:rPr>
        <w:t>שכן לא נפל כל פגם בעונש שנגזר על 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חומרתה הרבה של עבירת החבלה בכוונה מחמירה בה הורשע המערער</w:t>
      </w:r>
      <w:r>
        <w:rPr>
          <w:rtl w:val="true"/>
        </w:rPr>
        <w:t xml:space="preserve">, </w:t>
      </w:r>
      <w:r>
        <w:rPr>
          <w:rtl w:val="true"/>
        </w:rPr>
        <w:t>ופגיעתה הקשה בערכים המוגנים של הגנה על שלום הציבור וביטחונו</w:t>
      </w:r>
      <w:r>
        <w:rPr>
          <w:rtl w:val="true"/>
        </w:rPr>
        <w:t xml:space="preserve">, </w:t>
      </w:r>
      <w:r>
        <w:rPr>
          <w:rtl w:val="true"/>
        </w:rPr>
        <w:t>הביאו את המחוקק לקבוע בגינה עונש מאסר</w:t>
      </w:r>
      <w:r>
        <w:rPr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שני בחומרתו רק לעבירת הרצח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מובן כי נוכח המנעד הרחב של הנסיבות האפשריות לביצוע העבירה</w:t>
      </w:r>
      <w:r>
        <w:rPr>
          <w:rtl w:val="true"/>
        </w:rPr>
        <w:t xml:space="preserve">, </w:t>
      </w:r>
      <w:r>
        <w:rPr>
          <w:rtl w:val="true"/>
        </w:rPr>
        <w:t>ונסיבותיו האישיות של הנאשם במקרים השונים</w:t>
      </w:r>
      <w:r>
        <w:rPr>
          <w:rtl w:val="true"/>
        </w:rPr>
        <w:t xml:space="preserve">, </w:t>
      </w:r>
      <w:r>
        <w:rPr>
          <w:rtl w:val="true"/>
        </w:rPr>
        <w:t xml:space="preserve">קיימת </w:t>
      </w:r>
      <w:r>
        <w:rPr>
          <w:rtl w:val="true"/>
        </w:rPr>
        <w:t>קשת</w:t>
      </w:r>
      <w:r>
        <w:rPr>
          <w:rtl w:val="true"/>
        </w:rPr>
        <w:t xml:space="preserve"> </w:t>
      </w:r>
      <w:r>
        <w:rPr>
          <w:rtl w:val="true"/>
        </w:rPr>
        <w:t>רחבה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מתחמי</w:t>
      </w:r>
      <w:r>
        <w:rPr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 </w:t>
      </w:r>
      <w:r>
        <w:rPr>
          <w:rtl w:val="true"/>
        </w:rPr>
        <w:t>שנקבעו</w:t>
      </w:r>
      <w:r>
        <w:rPr>
          <w:rtl w:val="true"/>
        </w:rPr>
        <w:t xml:space="preserve"> </w:t>
      </w:r>
      <w:r>
        <w:rPr>
          <w:rtl w:val="true"/>
        </w:rPr>
        <w:t>בגין עבירה זו</w:t>
      </w:r>
      <w:r>
        <w:rPr>
          <w:rtl w:val="true"/>
        </w:rPr>
        <w:t xml:space="preserve">, </w:t>
      </w:r>
      <w:r>
        <w:rPr>
          <w:rtl w:val="true"/>
        </w:rPr>
        <w:t>אולם במקרים המתאימים נקבעו אף עונשים חמורים מאלו שהוטלו על המערער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למתחמי ענישה גבוהים שנקבעו בגין עבירה זו</w:t>
      </w:r>
      <w:r>
        <w:rPr>
          <w:rtl w:val="true"/>
        </w:rPr>
        <w:t xml:space="preserve">, </w:t>
      </w:r>
      <w:r>
        <w:rPr>
          <w:rtl w:val="true"/>
        </w:rPr>
        <w:t xml:space="preserve">ראו לדוגמה </w:t>
      </w:r>
      <w:hyperlink r:id="rId20"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8"/>
            <w:sz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z w:val="28"/>
            <w:u w:val="single"/>
          </w:rPr>
          <w:t>6931/16</w:t>
        </w:r>
      </w:hyperlink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ברגיתי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25</w:t>
      </w:r>
      <w:r>
        <w:rPr>
          <w:rtl w:val="true"/>
        </w:rPr>
        <w:t xml:space="preserve"> (</w:t>
      </w:r>
      <w:r>
        <w:rPr/>
        <w:t>5.6.2018</w:t>
      </w:r>
      <w:r>
        <w:rPr>
          <w:rtl w:val="true"/>
        </w:rPr>
        <w:t xml:space="preserve">) </w:t>
      </w:r>
      <w:r>
        <w:rPr>
          <w:rtl w:val="true"/>
        </w:rPr>
        <w:t>וההפניות המובאות שם</w:t>
      </w:r>
      <w:r>
        <w:rPr>
          <w:rtl w:val="true"/>
        </w:rPr>
        <w:t>)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בנסיבות המקרה דנן</w:t>
      </w:r>
      <w:r>
        <w:rPr>
          <w:rtl w:val="true"/>
        </w:rPr>
        <w:t xml:space="preserve">, </w:t>
      </w:r>
      <w:r>
        <w:rPr>
          <w:rtl w:val="true"/>
        </w:rPr>
        <w:t>הן שיקולי ההלימה והן שיקולי ההרתעה מחייבים ענישה מוחשית ומרתיעה אשר תשדר מסר חד וברור לפיו שלמות גופו של אדם וביטחונו אינם הפקר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מסכת האירועים המתוארת בהכרעת הדין מגוללת פרשה שלא ניתן להמעיט בחומרתה</w:t>
      </w:r>
      <w:r>
        <w:rPr>
          <w:rtl w:val="true"/>
        </w:rPr>
        <w:t xml:space="preserve">. </w:t>
      </w:r>
      <w:r>
        <w:rPr>
          <w:rtl w:val="true"/>
        </w:rPr>
        <w:t>המערער ושותפיו תקפו את המתלונן על מנת למנוע ממנו התנהלות עסקית לגיטימית</w:t>
      </w:r>
      <w:r>
        <w:rPr>
          <w:rtl w:val="true"/>
        </w:rPr>
        <w:t xml:space="preserve">. </w:t>
      </w:r>
      <w:r>
        <w:rPr>
          <w:rtl w:val="true"/>
        </w:rPr>
        <w:t>במסגרת זו</w:t>
      </w:r>
      <w:r>
        <w:rPr>
          <w:rtl w:val="true"/>
        </w:rPr>
        <w:t xml:space="preserve">, </w:t>
      </w:r>
      <w:r>
        <w:rPr>
          <w:rtl w:val="true"/>
        </w:rPr>
        <w:t>ניצלו את טוּב לבו ומסירותו הרבה של המתלונן לעבודתו כווטרינר</w:t>
      </w:r>
      <w:r>
        <w:rPr>
          <w:rtl w:val="true"/>
        </w:rPr>
        <w:t xml:space="preserve">, </w:t>
      </w:r>
      <w:r>
        <w:rPr>
          <w:rtl w:val="true"/>
        </w:rPr>
        <w:t>אשר נכון היה לצאת מביתו באישון לילה על מנת לסייע לחיה פצועה במצוקתה</w:t>
      </w:r>
      <w:r>
        <w:rPr>
          <w:rtl w:val="true"/>
        </w:rPr>
        <w:t xml:space="preserve">, </w:t>
      </w:r>
      <w:r>
        <w:rPr>
          <w:rtl w:val="true"/>
        </w:rPr>
        <w:t>ובעורמה תכננו את הגעתו לאזור שומם</w:t>
      </w:r>
      <w:r>
        <w:rPr>
          <w:rtl w:val="true"/>
        </w:rPr>
        <w:t xml:space="preserve">, </w:t>
      </w:r>
      <w:r>
        <w:rPr>
          <w:rtl w:val="true"/>
        </w:rPr>
        <w:t>שם ארבו לו</w:t>
      </w:r>
      <w:r>
        <w:rPr>
          <w:rtl w:val="true"/>
        </w:rPr>
        <w:t xml:space="preserve">, </w:t>
      </w:r>
      <w:r>
        <w:rPr>
          <w:rtl w:val="true"/>
        </w:rPr>
        <w:t>היכו אותו באכזריות רבה בעודו שכוב על הארץ</w:t>
      </w:r>
      <w:r>
        <w:rPr>
          <w:rtl w:val="true"/>
        </w:rPr>
        <w:t xml:space="preserve">, </w:t>
      </w:r>
      <w:r>
        <w:rPr>
          <w:rtl w:val="true"/>
        </w:rPr>
        <w:t>ושברו את ידו</w:t>
      </w:r>
      <w:r>
        <w:rPr>
          <w:rtl w:val="true"/>
        </w:rPr>
        <w:t xml:space="preserve">, </w:t>
      </w:r>
      <w:r>
        <w:rPr>
          <w:rtl w:val="true"/>
        </w:rPr>
        <w:t>הלא היא מטה לחמו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ושותפיו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הסתפקו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ובמכשיר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להזעיק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עזרה</w:t>
      </w:r>
      <w:r>
        <w:rPr>
          <w:rtl w:val="true"/>
        </w:rPr>
        <w:t xml:space="preserve">, </w:t>
      </w:r>
      <w:r>
        <w:rPr>
          <w:rtl w:val="true"/>
        </w:rPr>
        <w:t>לחלץ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מהזירה</w:t>
      </w:r>
      <w:r>
        <w:rPr>
          <w:rtl w:val="true"/>
        </w:rPr>
        <w:t xml:space="preserve">, </w:t>
      </w:r>
      <w:r>
        <w:rPr>
          <w:rtl w:val="true"/>
        </w:rPr>
        <w:t>ולהשיג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נזקק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הזקוקה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בדחיפות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ליל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ושותפיו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קורטוב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ורגישות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שהפגין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להיפך</w:t>
      </w:r>
      <w:r>
        <w:rPr>
          <w:rtl w:val="true"/>
        </w:rPr>
        <w:t xml:space="preserve">, </w:t>
      </w:r>
      <w:r>
        <w:rPr>
          <w:rtl w:val="true"/>
        </w:rPr>
        <w:t>חבטו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רחם</w:t>
      </w:r>
      <w:r>
        <w:rPr>
          <w:rtl w:val="true"/>
        </w:rPr>
        <w:t xml:space="preserve">, </w:t>
      </w:r>
      <w:r>
        <w:rPr>
          <w:rtl w:val="true"/>
        </w:rPr>
        <w:t>היכו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עצמותיו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שרעייתו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לזהותו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לעיוננו</w:t>
      </w:r>
      <w:r>
        <w:rPr>
          <w:rtl w:val="true"/>
        </w:rPr>
        <w:t xml:space="preserve">, </w:t>
      </w:r>
      <w:r>
        <w:rPr>
          <w:rtl w:val="true"/>
        </w:rPr>
        <w:t>המתעדות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ובגפיו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חמור מכך</w:t>
      </w:r>
      <w:r>
        <w:rPr>
          <w:rtl w:val="true"/>
        </w:rPr>
        <w:t xml:space="preserve">, </w:t>
      </w:r>
      <w:r>
        <w:rPr>
          <w:rtl w:val="true"/>
        </w:rPr>
        <w:t>המערער ושותפיו פעלו כ</w:t>
      </w:r>
      <w:r>
        <w:rPr>
          <w:rtl w:val="true"/>
        </w:rPr>
        <w:t>"</w:t>
      </w:r>
      <w:r>
        <w:rPr>
          <w:rtl w:val="true"/>
        </w:rPr>
        <w:t>שכירי חרב</w:t>
      </w:r>
      <w:r>
        <w:rPr>
          <w:rtl w:val="true"/>
        </w:rPr>
        <w:t xml:space="preserve">" </w:t>
      </w:r>
      <w:r>
        <w:rPr>
          <w:rtl w:val="true"/>
        </w:rPr>
        <w:t>בתקיפתם את המתלונן</w:t>
      </w:r>
      <w:r>
        <w:rPr>
          <w:rtl w:val="true"/>
        </w:rPr>
        <w:t xml:space="preserve">, </w:t>
      </w:r>
      <w:r>
        <w:rPr>
          <w:rtl w:val="true"/>
        </w:rPr>
        <w:t>ולא עשו זאת אלא מתוך תאוות בצע</w:t>
      </w:r>
      <w:r>
        <w:rPr>
          <w:rtl w:val="true"/>
        </w:rPr>
        <w:t xml:space="preserve">. </w:t>
      </w:r>
      <w:r>
        <w:rPr>
          <w:rtl w:val="true"/>
        </w:rPr>
        <w:t xml:space="preserve">בפסיקת בית משפט זה ניתן לא אחת ביטוי </w:t>
      </w:r>
      <w:r>
        <w:rPr>
          <w:rtl w:val="true"/>
        </w:rPr>
        <w:t>לחומרה</w:t>
      </w:r>
      <w:r>
        <w:rPr>
          <w:rtl w:val="true"/>
        </w:rPr>
        <w:t xml:space="preserve"> </w:t>
      </w:r>
      <w:r>
        <w:rPr>
          <w:rtl w:val="true"/>
        </w:rPr>
        <w:t>היתירה שבה יש להתייחס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תופעת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שכירי החרב</w:t>
      </w:r>
      <w:r>
        <w:rPr>
          <w:rtl w:val="true"/>
        </w:rPr>
        <w:t xml:space="preserve">", </w:t>
      </w:r>
      <w:r>
        <w:rPr>
          <w:rtl w:val="true"/>
        </w:rPr>
        <w:t>התוקפים אזרחים תמימים וחפים מפשע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ל</w:t>
      </w:r>
      <w:r>
        <w:rPr>
          <w:rtl w:val="true"/>
        </w:rPr>
        <w:t>צורך</w:t>
      </w:r>
      <w:r>
        <w:rPr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 </w:t>
      </w:r>
      <w:r>
        <w:rPr>
          <w:rtl w:val="true"/>
        </w:rPr>
        <w:t xml:space="preserve">מרתיעה </w:t>
      </w: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תצטרף</w:t>
      </w:r>
      <w:r>
        <w:rPr>
          <w:rtl w:val="true"/>
        </w:rPr>
        <w:t xml:space="preserve"> </w:t>
      </w:r>
      <w:r>
        <w:rPr>
          <w:rtl w:val="true"/>
        </w:rPr>
        <w:t>למאבק</w:t>
      </w:r>
      <w:r>
        <w:rPr>
          <w:rtl w:val="true"/>
        </w:rPr>
        <w:t xml:space="preserve"> </w:t>
      </w:r>
      <w:r>
        <w:rPr>
          <w:rtl w:val="true"/>
        </w:rPr>
        <w:t>בתופעה</w:t>
      </w:r>
      <w:r>
        <w:rPr>
          <w:rtl w:val="true"/>
        </w:rPr>
        <w:t xml:space="preserve"> </w:t>
      </w:r>
      <w:r>
        <w:rPr>
          <w:rtl w:val="true"/>
        </w:rPr>
        <w:t xml:space="preserve">מכוערת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ראו והשוו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2142/10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עואמי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בפסקה </w:t>
      </w:r>
      <w:r>
        <w:rPr/>
        <w:t>4</w:t>
      </w:r>
      <w:r>
        <w:rPr>
          <w:rtl w:val="true"/>
        </w:rPr>
        <w:t xml:space="preserve"> (</w:t>
      </w:r>
      <w:r>
        <w:rPr/>
        <w:t>28.10.2010</w:t>
      </w:r>
      <w:r>
        <w:rPr>
          <w:rtl w:val="true"/>
        </w:rPr>
        <w:t xml:space="preserve">); </w:t>
      </w:r>
      <w:r>
        <w:rPr>
          <w:rtl w:val="true"/>
        </w:rPr>
        <w:t>בהקשר זה יוער כי בא</w:t>
      </w:r>
      <w:r>
        <w:rPr>
          <w:rtl w:val="true"/>
        </w:rPr>
        <w:t>-</w:t>
      </w:r>
      <w:r>
        <w:rPr>
          <w:rtl w:val="true"/>
        </w:rPr>
        <w:t>כוח המערער הפנה לגזר הדין המקל שהוטל על נאשם</w:t>
      </w:r>
      <w:r>
        <w:rPr>
          <w:rtl w:val="true"/>
        </w:rPr>
        <w:t xml:space="preserve">, </w:t>
      </w:r>
      <w:r>
        <w:rPr>
          <w:rtl w:val="true"/>
        </w:rPr>
        <w:t xml:space="preserve">שהיה גם הוא </w:t>
      </w:r>
      <w:r>
        <w:rPr>
          <w:rtl w:val="true"/>
        </w:rPr>
        <w:t>"</w:t>
      </w:r>
      <w:r>
        <w:rPr>
          <w:rtl w:val="true"/>
        </w:rPr>
        <w:t>שכיר חרב</w:t>
      </w:r>
      <w:r>
        <w:rPr>
          <w:rtl w:val="true"/>
        </w:rPr>
        <w:t xml:space="preserve">", </w:t>
      </w:r>
      <w:r>
        <w:rPr>
          <w:rtl w:val="true"/>
        </w:rPr>
        <w:t>ב</w:t>
      </w:r>
      <w:hyperlink r:id="rId22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 xml:space="preserve">) </w:t>
        </w:r>
        <w:r>
          <w:rPr>
            <w:rStyle w:val="Hyperlink"/>
          </w:rPr>
          <w:t>4127/09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זנקו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1.2.2010</w:t>
      </w:r>
      <w:r>
        <w:rPr>
          <w:rFonts w:cs="Century" w:ascii="Century" w:hAnsi="Century"/>
          <w:sz w:val="22"/>
          <w:rtl w:val="true"/>
        </w:rPr>
        <w:t xml:space="preserve">), </w:t>
      </w:r>
      <w:r>
        <w:rPr>
          <w:rFonts w:ascii="Century" w:hAnsi="Century" w:cs="Century"/>
          <w:sz w:val="22"/>
          <w:sz w:val="22"/>
          <w:rtl w:val="true"/>
        </w:rPr>
        <w:t xml:space="preserve">וביקש לגזור ממנו גזירה שווה לעניין עונשו של המערער דכאן </w:t>
      </w:r>
      <w:r>
        <w:rPr>
          <w:rFonts w:ascii="Century" w:hAnsi="Century" w:cs="Century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ואולם </w:t>
      </w:r>
      <w:r>
        <w:rPr>
          <w:rtl w:val="true"/>
        </w:rPr>
        <w:t>בית משפט זה החמיר באופן משמעותי בעונשו של אותו נאשם בע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/>
        <w:t>2142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ואף זאת מבלי למצות עמו את הדין</w:t>
      </w:r>
      <w:r>
        <w:rPr>
          <w:rtl w:val="true"/>
        </w:rPr>
        <w:t>).</w:t>
      </w:r>
    </w:p>
    <w:p>
      <w:pPr>
        <w:pStyle w:val="Ruller41"/>
        <w:ind w:end="0"/>
        <w:jc w:val="both"/>
        <w:rPr>
          <w:b/>
        </w:rPr>
      </w:pPr>
      <w:r>
        <w:rPr>
          <w:b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אין בידי לקבל את טענת המערער לפיה הכרעת הדין </w:t>
      </w:r>
      <w:r>
        <w:rPr>
          <w:rtl w:val="true"/>
        </w:rPr>
        <w:t>"</w:t>
      </w:r>
      <w:r>
        <w:rPr>
          <w:rtl w:val="true"/>
        </w:rPr>
        <w:t>שותקת</w:t>
      </w:r>
      <w:r>
        <w:rPr>
          <w:rtl w:val="true"/>
        </w:rPr>
        <w:t xml:space="preserve">" </w:t>
      </w:r>
      <w:r>
        <w:rPr>
          <w:rtl w:val="true"/>
        </w:rPr>
        <w:t>ביחס למודעותו לרקע לתקיפה ובאשר לתמורה שהובטחה לו בגינה עובר למעשים</w:t>
      </w:r>
      <w:r>
        <w:rPr>
          <w:rtl w:val="true"/>
        </w:rPr>
        <w:t xml:space="preserve">. </w:t>
      </w:r>
      <w:r>
        <w:rPr>
          <w:rtl w:val="true"/>
        </w:rPr>
        <w:t>עיון בקביעותיו של בית המשפט המחוזי מעלה כי מודעות לפרטים אלו יוחסה למערער באופן מפורש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>
          <w:b/>
        </w:rPr>
      </w:pPr>
      <w:r>
        <w:rPr>
          <w:rtl w:val="true"/>
        </w:rPr>
        <w:t>"</w:t>
      </w:r>
      <w:r>
        <w:rPr>
          <w:rtl w:val="true"/>
        </w:rPr>
        <w:t>השיחות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האינטנסיביות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חלפון</w:t>
      </w:r>
      <w:r>
        <w:rPr>
          <w:rtl w:val="true"/>
        </w:rPr>
        <w:t xml:space="preserve">]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ינקו</w:t>
      </w:r>
      <w:r>
        <w:rPr>
          <w:rtl w:val="true"/>
        </w:rPr>
        <w:t xml:space="preserve">, </w:t>
      </w:r>
      <w:r>
        <w:rPr>
          <w:rtl w:val="true"/>
        </w:rPr>
        <w:t>ובמקביל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חלפון</w:t>
      </w:r>
      <w:r>
        <w:rPr>
          <w:rtl w:val="true"/>
        </w:rPr>
        <w:t xml:space="preserve">] </w:t>
      </w:r>
      <w:r>
        <w:rPr>
          <w:rtl w:val="true"/>
        </w:rPr>
        <w:t>ודן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מישייב</w:t>
      </w:r>
      <w:r>
        <w:rPr>
          <w:rtl w:val="true"/>
        </w:rPr>
        <w:t xml:space="preserve">], </w:t>
      </w:r>
      <w:r>
        <w:rPr>
          <w:rtl w:val="true"/>
        </w:rPr>
        <w:t>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שתוכנן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tl w:val="true"/>
        </w:rPr>
        <w:t xml:space="preserve">, </w:t>
      </w:r>
      <w:r>
        <w:rPr>
          <w:rtl w:val="true"/>
        </w:rPr>
        <w:t>במה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התקיפה</w:t>
      </w:r>
      <w:r>
        <w:rPr>
          <w:rtl w:val="true"/>
        </w:rPr>
        <w:t>" (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איני מקבל אף את טענת </w:t>
      </w:r>
      <w:r>
        <w:rPr>
          <w:rFonts w:ascii="Century" w:hAnsi="Century" w:cs="Century"/>
          <w:rtl w:val="true"/>
        </w:rPr>
        <w:t xml:space="preserve">המערער לפיה חלקו בהכאת המתלונן לא היה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דומיננטי</w:t>
      </w:r>
      <w:r>
        <w:rPr>
          <w:rFonts w:cs="Century" w:ascii="Century" w:hAnsi="Century"/>
          <w:rtl w:val="true"/>
        </w:rPr>
        <w:t xml:space="preserve">". </w:t>
      </w:r>
      <w:r>
        <w:rPr>
          <w:rtl w:val="true"/>
        </w:rPr>
        <w:t>משעה שנקבע כי המערער נטל חלק ממשי בהכאת המתלונן</w:t>
      </w:r>
      <w:r>
        <w:rPr>
          <w:rtl w:val="true"/>
        </w:rPr>
        <w:t xml:space="preserve">, </w:t>
      </w:r>
      <w:r>
        <w:rPr>
          <w:rtl w:val="true"/>
        </w:rPr>
        <w:t>אין חשיבות לשאלה מי גרם למתלונן לאיזו מחבלותיו</w:t>
      </w:r>
      <w:r>
        <w:rPr>
          <w:rtl w:val="true"/>
        </w:rPr>
        <w:t xml:space="preserve">, </w:t>
      </w:r>
      <w:r>
        <w:rPr>
          <w:rtl w:val="true"/>
        </w:rPr>
        <w:t>ועל ידי מי בוצעה הסדרת התשלום בגין התקיפה</w:t>
      </w:r>
      <w:r>
        <w:rPr>
          <w:rtl w:val="true"/>
        </w:rPr>
        <w:t xml:space="preserve">. </w:t>
      </w:r>
      <w:r>
        <w:rPr>
          <w:rtl w:val="true"/>
        </w:rPr>
        <w:t>יתירה מכך</w:t>
      </w:r>
      <w:r>
        <w:rPr>
          <w:rtl w:val="true"/>
        </w:rPr>
        <w:t xml:space="preserve">, </w:t>
      </w:r>
      <w:r>
        <w:rPr>
          <w:rtl w:val="true"/>
        </w:rPr>
        <w:t>בעדותו של המתלונן</w:t>
      </w:r>
      <w:r>
        <w:rPr>
          <w:rtl w:val="true"/>
        </w:rPr>
        <w:t xml:space="preserve">, </w:t>
      </w:r>
      <w:r>
        <w:rPr>
          <w:rtl w:val="true"/>
        </w:rPr>
        <w:t>שנמצאה מהימנה על ידי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נאמר כי שני </w:t>
      </w:r>
      <w:r>
        <w:rPr>
          <w:rtl w:val="true"/>
        </w:rPr>
        <w:t>"</w:t>
      </w:r>
      <w:r>
        <w:rPr>
          <w:rtl w:val="true"/>
        </w:rPr>
        <w:t>תוקפים עיקריים</w:t>
      </w:r>
      <w:r>
        <w:rPr>
          <w:rtl w:val="true"/>
        </w:rPr>
        <w:t xml:space="preserve">" </w:t>
      </w:r>
      <w:r>
        <w:rPr>
          <w:rtl w:val="true"/>
        </w:rPr>
        <w:t>היכו אותו</w:t>
      </w:r>
      <w:r>
        <w:rPr>
          <w:rtl w:val="true"/>
        </w:rPr>
        <w:t xml:space="preserve">, </w:t>
      </w:r>
      <w:r>
        <w:rPr>
          <w:rtl w:val="true"/>
        </w:rPr>
        <w:t>מלבד חלפון שאותו זיהה</w:t>
      </w:r>
      <w:r>
        <w:rPr>
          <w:rtl w:val="true"/>
        </w:rPr>
        <w:t xml:space="preserve">. </w:t>
      </w:r>
      <w:r>
        <w:rPr>
          <w:rtl w:val="true"/>
        </w:rPr>
        <w:t>ממילא אין כל בסיס לטענה כי מעורבותו של המערער בתקיפה היתה פחותה מזו של שותפיו לכתב האישום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נוסף על כך</w:t>
      </w:r>
      <w:r>
        <w:rPr>
          <w:rtl w:val="true"/>
        </w:rPr>
        <w:t xml:space="preserve">, </w:t>
      </w:r>
      <w:r>
        <w:rPr>
          <w:rtl w:val="true"/>
        </w:rPr>
        <w:t>לא מצאתי טעם בהשוואה בין העונשים שהוטלו על המערער ואלו שנגזרו על ניסימוב</w:t>
      </w:r>
      <w:r>
        <w:rPr>
          <w:rtl w:val="true"/>
        </w:rPr>
        <w:t xml:space="preserve">. </w:t>
      </w:r>
      <w:r>
        <w:rPr>
          <w:rtl w:val="true"/>
        </w:rPr>
        <w:t>כפי שנאמר בפסיקה לא אחת</w:t>
      </w:r>
      <w:r>
        <w:rPr>
          <w:rtl w:val="true"/>
        </w:rPr>
        <w:t xml:space="preserve">, </w:t>
      </w:r>
      <w:r>
        <w:rPr>
          <w:rtl w:val="true"/>
        </w:rPr>
        <w:t>עקרון</w:t>
      </w:r>
      <w:r>
        <w:rPr>
          <w:rtl w:val="true"/>
        </w:rPr>
        <w:t xml:space="preserve"> </w:t>
      </w:r>
      <w:r>
        <w:rPr>
          <w:rtl w:val="true"/>
        </w:rPr>
        <w:t>אחידות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tl w:val="true"/>
        </w:rPr>
        <w:t xml:space="preserve"> </w:t>
      </w:r>
      <w:r>
        <w:rPr>
          <w:rtl w:val="true"/>
        </w:rPr>
        <w:t>שיקול</w:t>
      </w:r>
      <w:r>
        <w:rPr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 </w:t>
      </w:r>
      <w:r>
        <w:rPr>
          <w:rtl w:val="true"/>
        </w:rPr>
        <w:t xml:space="preserve">מבין </w:t>
      </w:r>
      <w:r>
        <w:rPr>
          <w:rtl w:val="true"/>
        </w:rPr>
        <w:t>מכלול</w:t>
      </w:r>
      <w:r>
        <w:rPr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 </w:t>
      </w:r>
      <w:r>
        <w:rPr>
          <w:rtl w:val="true"/>
        </w:rPr>
        <w:t xml:space="preserve">שעל בית המשפט לאזן בבואו </w:t>
      </w:r>
      <w:r>
        <w:rPr>
          <w:rtl w:val="true"/>
        </w:rPr>
        <w:t>ל</w:t>
      </w:r>
      <w:r>
        <w:rPr>
          <w:rtl w:val="true"/>
        </w:rPr>
        <w:t xml:space="preserve">ממש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תכלית</w:t>
      </w:r>
      <w:r>
        <w:rPr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 xml:space="preserve">ואינו השיקול הבלעדי או המכריע </w:t>
      </w:r>
      <w:r>
        <w:rPr>
          <w:rtl w:val="true"/>
        </w:rPr>
        <w:t>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סלאימה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14.1.2019</w:t>
      </w:r>
      <w:r>
        <w:rPr>
          <w:rtl w:val="true"/>
        </w:rPr>
        <w:t xml:space="preserve">);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5080/15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עביד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14</w:t>
      </w:r>
      <w:r>
        <w:rPr>
          <w:rtl w:val="true"/>
        </w:rPr>
        <w:t xml:space="preserve"> (</w:t>
      </w:r>
      <w:r>
        <w:rPr/>
        <w:t>10.3.2016</w:t>
      </w:r>
      <w:r>
        <w:rPr>
          <w:rtl w:val="true"/>
        </w:rPr>
        <w:t>)</w:t>
      </w:r>
      <w:r>
        <w:rPr>
          <w:rtl w:val="true"/>
        </w:rPr>
        <w:t>).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המערער השתתף בתקיפתו הפיסית של המתלונן ולא נטל אחריות על מעשיו לאורך ההליך המשפטי שהתנהל בעניינו</w:t>
      </w:r>
      <w:r>
        <w:rPr>
          <w:rtl w:val="true"/>
        </w:rPr>
        <w:t xml:space="preserve">. </w:t>
      </w:r>
      <w:r>
        <w:rPr>
          <w:rtl w:val="true"/>
        </w:rPr>
        <w:t>זאת בניגוד לניסימוב שאמנם השתתף בביצוע המעשים</w:t>
      </w:r>
      <w:r>
        <w:rPr>
          <w:rtl w:val="true"/>
        </w:rPr>
        <w:t xml:space="preserve">, </w:t>
      </w:r>
      <w:r>
        <w:rPr>
          <w:rtl w:val="true"/>
        </w:rPr>
        <w:t>אך לא נטל חלק בהכאת המתלונן</w:t>
      </w:r>
      <w:r>
        <w:rPr>
          <w:rtl w:val="true"/>
        </w:rPr>
        <w:t xml:space="preserve">, </w:t>
      </w:r>
      <w:r>
        <w:rPr>
          <w:rtl w:val="true"/>
        </w:rPr>
        <w:t>הודה במעורבותו בתקיפה עוד בחקירתו במשטרה</w:t>
      </w:r>
      <w:r>
        <w:rPr>
          <w:rtl w:val="true"/>
        </w:rPr>
        <w:t xml:space="preserve">, </w:t>
      </w:r>
      <w:r>
        <w:rPr>
          <w:rtl w:val="true"/>
        </w:rPr>
        <w:t>ואף סייע בידה בפענוח האירוע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בדין נקבעו מתחמי ענישה שונים למערער ולניסימוב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מצומצם</w:t>
      </w:r>
      <w:r>
        <w:rPr>
          <w:rtl w:val="true"/>
        </w:rPr>
        <w:t xml:space="preserve">"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גובה</w:t>
      </w:r>
      <w:r>
        <w:rPr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 שהוטל על המערער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ערכאת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לא תיטה לה</w:t>
      </w:r>
      <w:r>
        <w:rPr>
          <w:rtl w:val="true"/>
        </w:rPr>
        <w:t>תערב</w:t>
      </w:r>
      <w:r>
        <w:rPr>
          <w:rtl w:val="true"/>
        </w:rPr>
        <w:t xml:space="preserve"> </w:t>
      </w:r>
      <w:r>
        <w:rPr>
          <w:rtl w:val="true"/>
        </w:rPr>
        <w:t>בשיקול</w:t>
      </w:r>
      <w:r>
        <w:rPr>
          <w:rtl w:val="true"/>
        </w:rPr>
        <w:t xml:space="preserve"> </w:t>
      </w:r>
      <w:r>
        <w:rPr>
          <w:rtl w:val="true"/>
        </w:rPr>
        <w:t>דעתה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הערכאה</w:t>
      </w:r>
      <w:r>
        <w:rPr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 </w:t>
      </w:r>
      <w:r>
        <w:rPr>
          <w:rtl w:val="true"/>
        </w:rPr>
        <w:t>בקביעת</w:t>
      </w:r>
      <w:r>
        <w:rPr>
          <w:rtl w:val="true"/>
        </w:rPr>
        <w:t xml:space="preserve"> </w:t>
      </w:r>
      <w:r>
        <w:rPr>
          <w:rtl w:val="true"/>
        </w:rPr>
        <w:t>הפיצוי</w:t>
      </w:r>
      <w:r>
        <w:rPr>
          <w:rtl w:val="true"/>
        </w:rPr>
        <w:t xml:space="preserve"> </w:t>
      </w:r>
      <w:r>
        <w:rPr>
          <w:rtl w:val="true"/>
        </w:rPr>
        <w:t>לנפגע</w:t>
      </w:r>
      <w:r>
        <w:rPr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 </w:t>
      </w:r>
      <w:r>
        <w:rPr>
          <w:rtl w:val="true"/>
        </w:rPr>
        <w:t>אלא</w:t>
      </w:r>
      <w:r>
        <w:rPr>
          <w:rtl w:val="true"/>
        </w:rPr>
        <w:t xml:space="preserve"> </w:t>
      </w:r>
      <w:r>
        <w:rPr>
          <w:rtl w:val="true"/>
        </w:rPr>
        <w:t>במקרים</w:t>
      </w:r>
      <w:r>
        <w:rPr>
          <w:rtl w:val="true"/>
        </w:rPr>
        <w:t xml:space="preserve"> </w:t>
      </w:r>
      <w:r>
        <w:rPr>
          <w:rtl w:val="true"/>
        </w:rPr>
        <w:t xml:space="preserve">חריגים שבהם נקבעו פיצויים בסטייה קיצונית משיעור הפיצוי הראוי </w:t>
      </w:r>
      <w:r>
        <w:rPr>
          <w:rtl w:val="true"/>
        </w:rPr>
        <w:t>(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9399/16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8</w:t>
      </w:r>
      <w:r>
        <w:rPr>
          <w:rtl w:val="true"/>
        </w:rPr>
        <w:t xml:space="preserve"> (</w:t>
      </w:r>
      <w:r>
        <w:rPr/>
        <w:t>13.7.2017</w:t>
      </w:r>
      <w:r>
        <w:rPr>
          <w:rtl w:val="true"/>
        </w:rPr>
        <w:t>)</w:t>
      </w:r>
      <w:r>
        <w:rPr>
          <w:rtl w:val="true"/>
        </w:rPr>
        <w:t>).</w:t>
      </w:r>
      <w:r>
        <w:rPr>
          <w:rtl w:val="true"/>
        </w:rPr>
        <w:t xml:space="preserve">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הפיצוי</w:t>
      </w:r>
      <w:r>
        <w:rPr>
          <w:rtl w:val="true"/>
        </w:rPr>
        <w:t xml:space="preserve"> </w:t>
      </w:r>
      <w:r>
        <w:rPr>
          <w:rtl w:val="true"/>
        </w:rPr>
        <w:t>שהוטל על המערער</w:t>
      </w:r>
      <w:r>
        <w:rPr>
          <w:rtl w:val="true"/>
        </w:rPr>
        <w:t xml:space="preserve"> </w:t>
      </w:r>
      <w:r>
        <w:rPr>
          <w:rtl w:val="true"/>
        </w:rPr>
        <w:t>אינו</w:t>
      </w:r>
      <w:r>
        <w:rPr>
          <w:rtl w:val="true"/>
        </w:rPr>
        <w:t xml:space="preserve"> </w:t>
      </w:r>
      <w:r>
        <w:rPr>
          <w:rtl w:val="true"/>
        </w:rPr>
        <w:t>מצדיק</w:t>
      </w:r>
      <w:r>
        <w:rPr>
          <w:rtl w:val="true"/>
        </w:rPr>
        <w:t xml:space="preserve"> </w:t>
      </w:r>
      <w:r>
        <w:rPr>
          <w:rtl w:val="true"/>
        </w:rPr>
        <w:t>התערבות</w:t>
      </w:r>
      <w:r>
        <w:rPr>
          <w:rtl w:val="true"/>
        </w:rPr>
        <w:t xml:space="preserve"> </w:t>
      </w:r>
      <w:r>
        <w:rPr>
          <w:rtl w:val="true"/>
        </w:rPr>
        <w:t>כזו</w:t>
      </w:r>
      <w:r>
        <w:rPr>
          <w:rtl w:val="true"/>
        </w:rPr>
        <w:t xml:space="preserve">, </w:t>
      </w:r>
      <w:r>
        <w:rPr>
          <w:rtl w:val="true"/>
        </w:rPr>
        <w:t>בפרט בשים לב</w:t>
      </w:r>
      <w:r>
        <w:rPr>
          <w:rtl w:val="true"/>
        </w:rPr>
        <w:t xml:space="preserve"> </w:t>
      </w:r>
      <w:r>
        <w:rPr>
          <w:rtl w:val="true"/>
        </w:rPr>
        <w:t>לנזקים הפיסיים</w:t>
      </w:r>
      <w:r>
        <w:rPr>
          <w:rtl w:val="true"/>
        </w:rPr>
        <w:t xml:space="preserve">, </w:t>
      </w:r>
      <w:r>
        <w:rPr>
          <w:rtl w:val="true"/>
        </w:rPr>
        <w:t>הכלכליים והנפשיים שנגרמו למתלונן וההליך הארוך הצפוי לשיקומו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לא מצאתי כי יש להיעתר לבקשת המערער לעכב את תשלום הפיצוי עד לשחרורו ממאסרו</w:t>
      </w:r>
      <w:r>
        <w:rPr>
          <w:rtl w:val="true"/>
        </w:rPr>
        <w:t xml:space="preserve">. </w:t>
      </w:r>
      <w:r>
        <w:rPr>
          <w:rtl w:val="true"/>
        </w:rPr>
        <w:t>כפי שנפסק לא אחת</w:t>
      </w:r>
      <w:r>
        <w:rPr>
          <w:rtl w:val="true"/>
        </w:rPr>
        <w:t xml:space="preserve">, </w:t>
      </w:r>
      <w:r>
        <w:rPr>
          <w:rtl w:val="true"/>
        </w:rPr>
        <w:t xml:space="preserve">יכולתו הכלכלית של מבצע העבירה אינה שיקול רלוונטי בקביעת הפיצויים לנפגע העבירה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9552/16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קומבוז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19</w:t>
      </w:r>
      <w:r>
        <w:rPr>
          <w:rtl w:val="true"/>
        </w:rPr>
        <w:t xml:space="preserve"> (</w:t>
      </w:r>
      <w:r>
        <w:rPr/>
        <w:t>22.1.2018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tl w:val="true"/>
        </w:rPr>
        <w:t xml:space="preserve">, </w:t>
      </w:r>
      <w:r>
        <w:rPr>
          <w:rtl w:val="true"/>
        </w:rPr>
        <w:t>שהוגשה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נדונה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ונדחתה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בהחלטתו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שטיין</w:t>
      </w:r>
      <w:r>
        <w:rPr>
          <w:rFonts w:ascii="Century" w:hAnsi="Century" w:cs="Century"/>
          <w:rtl w:val="true"/>
        </w:rPr>
        <w:t xml:space="preserve"> מיום </w:t>
      </w:r>
      <w:r>
        <w:rPr>
          <w:rFonts w:cs="Century" w:ascii="Century" w:hAnsi="Century"/>
        </w:rPr>
        <w:t>31.1.2019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תוך שצוין כי המערער רשאי לפנות אל המרכז לגביית קנסות על מנת לבקש מהם את פריסת התשלומים או דחייתם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אולם לדברי בא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כוחו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המערער מסיבותיו שלו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נמנע מפנייה אל המרכז לגביית קנסות ולא החל לשלם את הפיצוי שהוטל עליו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בנסיבות אלו אין לנו אלא לדחות את בקשתו זו אף עתה</w:t>
      </w:r>
      <w:r>
        <w:rPr>
          <w:rFonts w:cs="Century" w:ascii="Century" w:hAnsi="Century"/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יש לקוות כי חזרתו של המערער מערעורו על הכרעת הדין מלמדת לפחות באופן חלקי על הכרה במעשיו וחרטה עליהם</w:t>
      </w:r>
      <w:r>
        <w:rPr>
          <w:rtl w:val="true"/>
        </w:rPr>
        <w:t xml:space="preserve">, </w:t>
      </w:r>
      <w:r>
        <w:rPr>
          <w:rtl w:val="true"/>
        </w:rPr>
        <w:t>וכי במהלך ריצוי מאסרו הוא ישולב בהליך טיפולי מתאים במסגרת בית הסוהר על מנת לשוב לאורח חיים נורמטיבי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הערעור נדחה אפוא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  <w:u w:val="single"/>
        </w:rPr>
      </w:pPr>
      <w:r>
        <w:rPr>
          <w:rFonts w:cs="Miriam"/>
          <w:sz w:val="24"/>
          <w:u w:val="single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נ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סולברג</w:t>
      </w:r>
      <w:r>
        <w:rPr>
          <w:rFonts w:cs="Miriam"/>
          <w:rtl w:val="true"/>
        </w:rPr>
        <w:t>:</w:t>
      </w:r>
    </w:p>
    <w:p>
      <w:pPr>
        <w:pStyle w:val="Ruller41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י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וילנר</w:t>
      </w:r>
      <w:r>
        <w:rPr>
          <w:rFonts w:cs="Miriam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eastAsia="Century" w:cs="Century"/>
        </w:rPr>
      </w:pPr>
      <w:r>
        <w:rPr>
          <w:rFonts w:eastAsia="Century" w:cs="Century" w:ascii="Century" w:hAnsi="Century"/>
          <w:rtl w:val="true"/>
        </w:rPr>
        <w:t xml:space="preserve"> 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Fonts w:ascii="Century" w:hAnsi="Century" w:cs="Century"/>
          <w:rtl w:val="true"/>
        </w:rPr>
        <w:t xml:space="preserve">לפיכך 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14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ט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בסיון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פ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7.6.2020</w:t>
      </w:r>
      <w:r>
        <w:rPr>
          <w:rFonts w:cs="Century" w:ascii="Century" w:hAnsi="Century"/>
          <w:rtl w:val="true"/>
        </w:rPr>
        <w:t xml:space="preserve">). </w:t>
      </w:r>
      <w:bookmarkEnd w:id="14"/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sz w:val="22"/>
        </w:rPr>
      </w:pPr>
      <w:r>
        <w:rPr>
          <w:rFonts w:cs="Times New Roman"/>
          <w:sz w:val="22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129371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  <w:r>
        <w:rPr>
          <w:color w:val="FFFFFF"/>
          <w:sz w:val="2"/>
          <w:szCs w:val="2"/>
          <w:rtl w:val="true"/>
        </w:rPr>
        <w:tab/>
      </w:r>
      <w:r>
        <w:rPr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19002050</w:t>
      </w:r>
      <w:r>
        <w:rPr>
          <w:sz w:val="16"/>
          <w:rtl w:val="true"/>
        </w:rPr>
        <w:t>_</w:t>
      </w:r>
      <w:r>
        <w:rPr>
          <w:sz w:val="16"/>
        </w:rPr>
        <w:t>J12.docx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  <w:r>
        <w:rPr>
          <w:rtl w:val="true"/>
        </w:rPr>
        <w:t>+</w:t>
      </w:r>
      <w:r>
        <w:rPr>
          <w:rtl w:val="true"/>
        </w:rPr>
        <w:t>סח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7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54678313-205/19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9"/>
      <w:footerReference w:type="default" r:id="rId3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205/19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ולדיסלב לברוב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lang w:bidi="he-I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lang w:bidi="he-I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11">
    <w:name w:val="ruller41"/>
    <w:basedOn w:val="Normal"/>
    <w:qFormat/>
    <w:pPr>
      <w:spacing w:lineRule="auto" w:line="360"/>
      <w:jc w:val="both"/>
      <w:textAlignment w:val="auto"/>
    </w:pPr>
    <w:rPr>
      <w:rFonts w:ascii="Arial TUR;Arial" w:hAnsi="Arial TUR;Arial" w:cs="Arial TUR;Arial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82277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242" TargetMode="External"/><Relationship Id="rId6" Type="http://schemas.openxmlformats.org/officeDocument/2006/relationships/hyperlink" Target="http://www.nevo.co.il/law/70301/244" TargetMode="External"/><Relationship Id="rId7" Type="http://schemas.openxmlformats.org/officeDocument/2006/relationships/hyperlink" Target="http://www.nevo.co.il/law/70301/329.a.1" TargetMode="External"/><Relationship Id="rId8" Type="http://schemas.openxmlformats.org/officeDocument/2006/relationships/hyperlink" Target="http://www.nevo.co.il/case/20822770" TargetMode="External"/><Relationship Id="rId9" Type="http://schemas.openxmlformats.org/officeDocument/2006/relationships/hyperlink" Target="http://www.nevo.co.il/law/70301/329.a.1" TargetMode="External"/><Relationship Id="rId10" Type="http://schemas.openxmlformats.org/officeDocument/2006/relationships/hyperlink" Target="http://www.nevo.co.il/law/70301/29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244" TargetMode="External"/><Relationship Id="rId13" Type="http://schemas.openxmlformats.org/officeDocument/2006/relationships/hyperlink" Target="http://www.nevo.co.il/law/70301/242" TargetMode="External"/><Relationship Id="rId14" Type="http://schemas.openxmlformats.org/officeDocument/2006/relationships/hyperlink" Target="http://www.nevo.co.il/case/25662762" TargetMode="External"/><Relationship Id="rId15" Type="http://schemas.openxmlformats.org/officeDocument/2006/relationships/hyperlink" Target="http://www.nevo.co.il/case/25651804" TargetMode="External"/><Relationship Id="rId16" Type="http://schemas.openxmlformats.org/officeDocument/2006/relationships/hyperlink" Target="http://www.nevo.co.il/case/22911953" TargetMode="External"/><Relationship Id="rId17" Type="http://schemas.openxmlformats.org/officeDocument/2006/relationships/hyperlink" Target="http://www.nevo.co.il/case/22814326" TargetMode="External"/><Relationship Id="rId18" Type="http://schemas.openxmlformats.org/officeDocument/2006/relationships/hyperlink" Target="http://www.nevo.co.il/case/7996373" TargetMode="External"/><Relationship Id="rId19" Type="http://schemas.openxmlformats.org/officeDocument/2006/relationships/hyperlink" Target="http://www.nevo.co.il/case/21508469" TargetMode="External"/><Relationship Id="rId20" Type="http://schemas.openxmlformats.org/officeDocument/2006/relationships/hyperlink" Target="http://www.nevo.co.il/case/21478977" TargetMode="External"/><Relationship Id="rId21" Type="http://schemas.openxmlformats.org/officeDocument/2006/relationships/hyperlink" Target="http://www.nevo.co.il/case/5813917" TargetMode="External"/><Relationship Id="rId22" Type="http://schemas.openxmlformats.org/officeDocument/2006/relationships/hyperlink" Target="http://www.nevo.co.il/case/3822138" TargetMode="External"/><Relationship Id="rId23" Type="http://schemas.openxmlformats.org/officeDocument/2006/relationships/hyperlink" Target="http://www.nevo.co.il/case/23745953" TargetMode="External"/><Relationship Id="rId24" Type="http://schemas.openxmlformats.org/officeDocument/2006/relationships/hyperlink" Target="http://www.nevo.co.il/case/20455789" TargetMode="External"/><Relationship Id="rId25" Type="http://schemas.openxmlformats.org/officeDocument/2006/relationships/hyperlink" Target="http://www.nevo.co.il/case/22303106" TargetMode="External"/><Relationship Id="rId26" Type="http://schemas.openxmlformats.org/officeDocument/2006/relationships/hyperlink" Target="http://www.nevo.co.il/case/21740522" TargetMode="External"/><Relationship Id="rId27" Type="http://schemas.openxmlformats.org/officeDocument/2006/relationships/hyperlink" Target="http://supreme.court.gov.il/" TargetMode="External"/><Relationship Id="rId28" Type="http://schemas.openxmlformats.org/officeDocument/2006/relationships/hyperlink" Target="http://www.nevo.co.il/advertisements/nevo-100.doc" TargetMode="External"/><Relationship Id="rId29" Type="http://schemas.openxmlformats.org/officeDocument/2006/relationships/header" Target="header1.xml"/><Relationship Id="rId30" Type="http://schemas.openxmlformats.org/officeDocument/2006/relationships/footer" Target="foot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2020-06-07T13:44:00Z</dcterms:created>
  <dc:creator>h4</dc:creator>
  <dc:description/>
  <cp:keywords/>
  <dc:language>en-IL</dc:language>
  <cp:lastModifiedBy>orly</cp:lastModifiedBy>
  <cp:lastPrinted>2020-06-07T08:51:00Z</cp:lastPrinted>
  <dcterms:modified xsi:type="dcterms:W3CDTF">2020-06-07T13:44:00Z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ולדיסלב לברוב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20822770:2;25662762;25651804;22911953;22814326;7996373;21508469;21478977;5813917;3822138;23745953;20455789;22303106;21740522</vt:lpwstr>
  </property>
  <property fmtid="{D5CDD505-2E9C-101B-9397-08002B2CF9AE}" pid="9" name="CITY">
    <vt:lpwstr/>
  </property>
  <property fmtid="{D5CDD505-2E9C-101B-9397-08002B2CF9AE}" pid="10" name="DATE">
    <vt:lpwstr>20200607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סולברג;י' אלרון;י' וילנר</vt:lpwstr>
  </property>
  <property fmtid="{D5CDD505-2E9C-101B-9397-08002B2CF9AE}" pid="14" name="LAWLISTTMP1">
    <vt:lpwstr>70301/329.a.1;029;244;242</vt:lpwstr>
  </property>
  <property fmtid="{D5CDD505-2E9C-101B-9397-08002B2CF9AE}" pid="15" name="LAWYER">
    <vt:lpwstr>נורית הרצמן;אלון קריטי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1446;1446;1446;1446;1446</vt:lpwstr>
  </property>
  <property fmtid="{D5CDD505-2E9C-101B-9397-08002B2CF9AE}" pid="48" name="NOSE31">
    <vt:lpwstr>מדיניות ענישה: עבירות אלימות</vt:lpwstr>
  </property>
  <property fmtid="{D5CDD505-2E9C-101B-9397-08002B2CF9AE}" pid="49" name="NOSE310">
    <vt:lpwstr/>
  </property>
  <property fmtid="{D5CDD505-2E9C-101B-9397-08002B2CF9AE}" pid="50" name="NOSE32">
    <vt:lpwstr>מדיניות ענישה: התערבות ערכאת ערעור</vt:lpwstr>
  </property>
  <property fmtid="{D5CDD505-2E9C-101B-9397-08002B2CF9AE}" pid="51" name="NOSE33">
    <vt:lpwstr>מדיניות ענישה: שיקולים לחומרה</vt:lpwstr>
  </property>
  <property fmtid="{D5CDD505-2E9C-101B-9397-08002B2CF9AE}" pid="52" name="NOSE34">
    <vt:lpwstr>דרכי ענישה: פיצויים</vt:lpwstr>
  </property>
  <property fmtid="{D5CDD505-2E9C-101B-9397-08002B2CF9AE}" pid="53" name="NOSE35">
    <vt:lpwstr>אחדות הענישה</vt:lpwstr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8984;8982;8995;8968;12547</vt:lpwstr>
  </property>
  <property fmtid="{D5CDD505-2E9C-101B-9397-08002B2CF9AE}" pid="59" name="PADIDATE">
    <vt:lpwstr>20200608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205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410120200607</vt:lpwstr>
  </property>
  <property fmtid="{D5CDD505-2E9C-101B-9397-08002B2CF9AE}" pid="69" name="TYPE_N_DATE">
    <vt:lpwstr>41020200607</vt:lpwstr>
  </property>
  <property fmtid="{D5CDD505-2E9C-101B-9397-08002B2CF9AE}" pid="70" name="VOLUME">
    <vt:lpwstr/>
  </property>
  <property fmtid="{D5CDD505-2E9C-101B-9397-08002B2CF9AE}" pid="71" name="WORDNUMPAGES">
    <vt:lpwstr>13</vt:lpwstr>
  </property>
</Properties>
</file>