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0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07"/>
      </w:tblGrid>
      <w:tr>
        <w:trPr>
          <w:trHeight w:val="360" w:hRule="exact"/>
        </w:trPr>
        <w:tc>
          <w:tcPr>
            <w:tcW w:w="8307" w:type="dxa"/>
            <w:tcBorders/>
          </w:tcPr>
          <w:p>
            <w:pPr>
              <w:pStyle w:val="Header"/>
              <w:ind w:end="0"/>
              <w:jc w:val="center"/>
              <w:rPr/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>בית המשפט העליון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firstLine="720" w:start="5040" w:end="0"/>
        <w:jc w:val="center"/>
        <w:rPr/>
      </w:pP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ע</w:t>
      </w:r>
      <w:r>
        <w:rPr>
          <w:rFonts w:cs="David" w:ascii="David" w:hAnsi="David"/>
          <w:b/>
          <w:bCs/>
          <w:sz w:val="28"/>
          <w:szCs w:val="28"/>
          <w:rtl w:val="true"/>
        </w:rPr>
        <w:t>"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 xml:space="preserve">פ </w:t>
      </w:r>
      <w:r>
        <w:rPr>
          <w:rFonts w:cs="David" w:ascii="David" w:hAnsi="David"/>
          <w:b/>
          <w:bCs/>
          <w:sz w:val="28"/>
          <w:szCs w:val="28"/>
        </w:rPr>
        <w:t>2067/23</w:t>
      </w:r>
      <w:r>
        <w:rPr>
          <w:rFonts w:cs="David" w:ascii="David" w:hAnsi="David"/>
          <w:b/>
          <w:bCs/>
          <w:sz w:val="28"/>
          <w:szCs w:val="28"/>
          <w:rtl w:val="true"/>
        </w:rPr>
        <w:t xml:space="preserve"> </w:t>
      </w:r>
    </w:p>
    <w:p>
      <w:pPr>
        <w:pStyle w:val="Normal"/>
        <w:suppressLineNumbers/>
        <w:ind w:start="6480"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ע</w:t>
      </w:r>
      <w:r>
        <w:rPr>
          <w:rFonts w:cs="David" w:ascii="David" w:hAnsi="David"/>
          <w:b/>
          <w:bCs/>
          <w:sz w:val="28"/>
          <w:szCs w:val="28"/>
          <w:rtl w:val="true"/>
        </w:rPr>
        <w:t>"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 xml:space="preserve">פ </w:t>
      </w:r>
      <w:r>
        <w:rPr>
          <w:rFonts w:cs="David" w:ascii="David" w:hAnsi="David"/>
          <w:b/>
          <w:bCs/>
          <w:sz w:val="28"/>
          <w:szCs w:val="28"/>
        </w:rPr>
        <w:t>2109/24</w:t>
      </w:r>
    </w:p>
    <w:p>
      <w:pPr>
        <w:pStyle w:val="Normal"/>
        <w:suppressLineNumbers/>
        <w:ind w:start="6480"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tbl>
      <w:tblPr>
        <w:bidiVisual w:val="true"/>
        <w:tblW w:w="848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00"/>
        <w:gridCol w:w="6"/>
        <w:gridCol w:w="5379"/>
      </w:tblGrid>
      <w:tr>
        <w:trPr>
          <w:trHeight w:val="295" w:hRule="atLeast"/>
        </w:trPr>
        <w:tc>
          <w:tcPr>
            <w:tcW w:w="8485" w:type="dxa"/>
            <w:gridSpan w:val="3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3106" w:type="dxa"/>
            <w:gridSpan w:val="2"/>
            <w:tcBorders/>
          </w:tcPr>
          <w:p>
            <w:pPr>
              <w:pStyle w:val="Normal"/>
              <w:suppressLineNumbers/>
              <w:ind w:end="-295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כבוד השופט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יוסף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אלרון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כבוד השופט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אלכס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שטיין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כבוד השופטת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 גילה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 כנפי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-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שטייניץ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3106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מערער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 בע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sz w:val="28"/>
                <w:szCs w:val="28"/>
              </w:rPr>
              <w:t>2067/23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המערער בע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sz w:val="28"/>
                <w:szCs w:val="28"/>
              </w:rPr>
              <w:t>2109/24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אור משטי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אוראל כרמלי</w:t>
            </w:r>
          </w:p>
        </w:tc>
      </w:tr>
      <w:tr>
        <w:trPr/>
        <w:tc>
          <w:tcPr>
            <w:tcW w:w="8485" w:type="dxa"/>
            <w:gridSpan w:val="3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start="2880" w:end="0"/>
              <w:jc w:val="start"/>
              <w:rPr/>
            </w:pPr>
            <w:r>
              <w:rPr>
                <w:rFonts w:eastAsia="David" w:cs="David" w:ascii="David" w:hAnsi="David"/>
                <w:spacing w:val="40"/>
                <w:sz w:val="28"/>
                <w:szCs w:val="28"/>
                <w:rtl w:val="true"/>
              </w:rPr>
              <w:t xml:space="preserve">      </w:t>
            </w:r>
            <w:r>
              <w:rPr>
                <w:rFonts w:ascii="David" w:hAnsi="David"/>
                <w:spacing w:val="40"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pacing w:val="40"/>
                <w:sz w:val="28"/>
                <w:szCs w:val="28"/>
              </w:rPr>
            </w:pPr>
            <w:r>
              <w:rPr>
                <w:rFonts w:cs="David" w:ascii="David" w:hAnsi="David"/>
                <w:spacing w:val="40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3106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משיב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מדינת ישראל</w:t>
            </w:r>
          </w:p>
        </w:tc>
      </w:tr>
      <w:tr>
        <w:trPr/>
        <w:tc>
          <w:tcPr>
            <w:tcW w:w="3106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both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cs="Miriam" w:ascii="Miriam" w:hAnsi="Miriam"/>
                <w:sz w:val="28"/>
                <w:szCs w:val="28"/>
                <w:rtl w:val="true"/>
              </w:rPr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end="0"/>
              <w:jc w:val="both"/>
              <w:rPr>
                <w:rFonts w:ascii="Century" w:hAnsi="Century" w:cs="Miriam"/>
                <w:b/>
                <w:sz w:val="22"/>
              </w:rPr>
            </w:pP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ערעורים</w:t>
            </w:r>
            <w:r>
              <w:rPr>
                <w:rFonts w:ascii="Century" w:hAnsi="Century" w:eastAsia="Century" w:cs="Century"/>
                <w:b/>
                <w:b/>
                <w:sz w:val="22"/>
                <w:sz w:val="22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 w:val="22"/>
                <w:sz w:val="22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גזרי</w:t>
            </w:r>
            <w:r>
              <w:rPr>
                <w:rFonts w:ascii="Century" w:hAnsi="Century" w:eastAsia="Century" w:cs="Century"/>
                <w:b/>
                <w:b/>
                <w:sz w:val="22"/>
                <w:sz w:val="22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דין</w:t>
            </w:r>
            <w:r>
              <w:rPr>
                <w:rFonts w:ascii="Century" w:hAnsi="Century" w:eastAsia="Century" w:cs="Century"/>
                <w:b/>
                <w:b/>
                <w:sz w:val="22"/>
                <w:sz w:val="22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של</w:t>
            </w:r>
            <w:r>
              <w:rPr>
                <w:rFonts w:ascii="Century" w:hAnsi="Century" w:eastAsia="Century" w:cs="Century"/>
                <w:b/>
                <w:b/>
                <w:sz w:val="22"/>
                <w:sz w:val="22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z w:val="22"/>
                <w:sz w:val="22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z w:val="22"/>
                <w:sz w:val="22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המחוזי</w:t>
            </w:r>
            <w:r>
              <w:rPr>
                <w:rFonts w:ascii="Century" w:hAnsi="Century" w:eastAsia="Century" w:cs="Century"/>
                <w:b/>
                <w:b/>
                <w:sz w:val="22"/>
                <w:sz w:val="22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בתל</w:t>
            </w:r>
            <w:r>
              <w:rPr>
                <w:rFonts w:ascii="Century" w:hAnsi="Century" w:eastAsia="Century" w:cs="Century"/>
                <w:b/>
                <w:b/>
                <w:sz w:val="22"/>
                <w:sz w:val="22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אביב</w:t>
            </w:r>
            <w:r>
              <w:rPr>
                <w:rFonts w:cs="Miriam" w:ascii="Century" w:hAnsi="Century"/>
                <w:b/>
                <w:sz w:val="22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יפו</w:t>
            </w:r>
            <w:r>
              <w:rPr>
                <w:rFonts w:ascii="Century" w:hAnsi="Century" w:eastAsia="Century" w:cs="Century"/>
                <w:b/>
                <w:b/>
                <w:sz w:val="22"/>
                <w:sz w:val="22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 w:val="22"/>
                <w:rtl w:val="true"/>
              </w:rPr>
              <w:t>(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השופט</w:t>
            </w:r>
            <w:r>
              <w:rPr>
                <w:rFonts w:ascii="Century" w:hAnsi="Century" w:eastAsia="Century" w:cs="Century"/>
                <w:b/>
                <w:b/>
                <w:sz w:val="22"/>
                <w:sz w:val="22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ב</w:t>
            </w:r>
            <w:r>
              <w:rPr>
                <w:rFonts w:cs="Miriam" w:ascii="Century" w:hAnsi="Century"/>
                <w:b/>
                <w:sz w:val="22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שגיא</w:t>
            </w:r>
            <w:r>
              <w:rPr>
                <w:rFonts w:cs="Miriam" w:ascii="Century" w:hAnsi="Century"/>
                <w:b/>
                <w:sz w:val="22"/>
                <w:rtl w:val="true"/>
              </w:rPr>
              <w:t xml:space="preserve">)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 w:val="22"/>
                <w:sz w:val="22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 w:val="22"/>
              </w:rPr>
              <w:t>31.1.2023</w:t>
            </w:r>
            <w:r>
              <w:rPr>
                <w:rFonts w:cs="Miriam" w:ascii="Century" w:hAnsi="Century"/>
                <w:b/>
                <w:sz w:val="22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ומיום</w:t>
            </w:r>
            <w:r>
              <w:rPr>
                <w:rFonts w:ascii="Century" w:hAnsi="Century" w:eastAsia="Century" w:cs="Century"/>
                <w:b/>
                <w:b/>
                <w:sz w:val="22"/>
                <w:sz w:val="22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 w:val="22"/>
              </w:rPr>
              <w:t>30.1.2024</w:t>
            </w:r>
            <w:r>
              <w:rPr>
                <w:rFonts w:cs="Miriam" w:ascii="Century" w:hAnsi="Century"/>
                <w:b/>
                <w:sz w:val="22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ב</w:t>
            </w:r>
            <w:hyperlink r:id="rId2"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 w:val="22"/>
                  <w:sz w:val="22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 w:val="22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 w:val="22"/>
                  <w:sz w:val="22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ascii="Century" w:hAnsi="Century" w:eastAsia="Century" w:cs="Century"/>
                  <w:b/>
                  <w:b/>
                  <w:color w:val="0000FF"/>
                  <w:sz w:val="22"/>
                  <w:sz w:val="22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 w:val="22"/>
                  <w:u w:val="single"/>
                </w:rPr>
                <w:t>24533-06-21</w:t>
              </w:r>
            </w:hyperlink>
            <w:r>
              <w:rPr>
                <w:rFonts w:cs="Miriam" w:ascii="Century" w:hAnsi="Century"/>
                <w:b/>
                <w:sz w:val="22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both"/>
              <w:rPr>
                <w:rFonts w:ascii="Miriam" w:hAnsi="Miriam" w:cs="Miriam"/>
                <w:b/>
                <w:sz w:val="22"/>
              </w:rPr>
            </w:pPr>
            <w:r>
              <w:rPr>
                <w:rFonts w:cs="Miriam" w:ascii="Miriam" w:hAnsi="Miriam"/>
                <w:b/>
                <w:sz w:val="22"/>
                <w:rtl w:val="true"/>
              </w:rPr>
            </w:r>
          </w:p>
        </w:tc>
      </w:tr>
      <w:tr>
        <w:trPr>
          <w:trHeight w:val="599" w:hRule="atLeast"/>
        </w:trPr>
        <w:tc>
          <w:tcPr>
            <w:tcW w:w="3106" w:type="dxa"/>
            <w:gridSpan w:val="2"/>
            <w:tcBorders/>
          </w:tcPr>
          <w:p>
            <w:pPr>
              <w:pStyle w:val="Normal"/>
              <w:suppressLineNumbers/>
              <w:spacing w:before="240" w:after="240"/>
              <w:ind w:end="0"/>
              <w:jc w:val="both"/>
              <w:rPr/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אריך הישיבה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spacing w:before="240" w:after="240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בתמוז התשפ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ד 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(</w:t>
            </w:r>
            <w:r>
              <w:rPr>
                <w:rFonts w:cs="David" w:ascii="David" w:hAnsi="David"/>
                <w:sz w:val="26"/>
                <w:szCs w:val="26"/>
              </w:rPr>
              <w:t>8.7.2024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)</w:t>
            </w:r>
          </w:p>
        </w:tc>
      </w:tr>
      <w:tr>
        <w:trPr/>
        <w:tc>
          <w:tcPr>
            <w:tcW w:w="3100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bookmarkStart w:id="2" w:name="FirstLawyer"/>
            <w:bookmarkEnd w:id="2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בשם 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מערער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 בע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br/>
            </w:r>
            <w:r>
              <w:rPr>
                <w:rFonts w:cs="David" w:ascii="David" w:hAnsi="David"/>
                <w:sz w:val="28"/>
                <w:szCs w:val="28"/>
              </w:rPr>
              <w:t>2067/23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בשם 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מערער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 בע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sz w:val="28"/>
                <w:szCs w:val="28"/>
              </w:rPr>
              <w:t>2109/24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בשם המשיבה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85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ד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עדי קידר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ד קארין מרידור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ד אושרה פטל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-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רוזנברג</w:t>
            </w:r>
          </w:p>
        </w:tc>
      </w:tr>
    </w:tbl>
    <w:p>
      <w:pPr>
        <w:pStyle w:val="Normal"/>
        <w:suppressLineNumbers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uppressLineNumbers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3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333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335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u w:val="none"/>
          </w:rPr>
          <w:t>413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</w:t>
        </w:r>
      </w:hyperlink>
    </w:p>
    <w:p>
      <w:pPr>
        <w:pStyle w:val="Normal"/>
        <w:suppressLineNumbers/>
        <w:ind w:end="0"/>
        <w:jc w:val="start"/>
        <w:rPr>
          <w:rFonts w:ascii="David" w:hAnsi="David" w:cs="David"/>
          <w:color w:val="0000FF"/>
        </w:rPr>
      </w:pPr>
      <w:r>
        <w:rPr>
          <w:rFonts w:cs="David" w:ascii="David" w:hAnsi="David"/>
          <w:color w:val="0000FF"/>
          <w:rtl w:val="true"/>
        </w:rPr>
      </w:r>
      <w:bookmarkStart w:id="4" w:name="LawTable_End"/>
      <w:bookmarkStart w:id="5" w:name="LawTable_End"/>
      <w:bookmarkEnd w:id="5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6" w:name="ABSTRACT_START"/>
      <w:bookmarkStart w:id="7" w:name="_Hlk174518309"/>
      <w:bookmarkEnd w:id="6"/>
      <w:bookmarkEnd w:id="7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לעבירות אלימות המבוצעות על רקע גזעני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לאומני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בפרט כאלה המבוצעות 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 המון משולהב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נודעת חומרה יתרה והן צריכות לזכות בתגובה עונשית קשה וכואבת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יהיה מוצאם של המתפרעים אשר יהיה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בענישה יש ליתן משקל גם לעיתוי ביצוע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אם הן מבוצעות בתקופה של מתיחות ביטחונית קשה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מבית ומחוץ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מקום בו בוצעה עבירה מתוך מניע גזעני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 ההגנה על שלום הציבור ושיקולי הרתעה גוברים על שיקולי ענישה 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בהם נסיבות אישיות ושיקולי שיקום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מדובר בתקיפה המבוצעת 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 המון מתפרע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אחריותו של כל משתתף אינה נקבעת רק 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 תרומתו הישירה לאירוע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אלימות על רקע גזעני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אלימות על רקע לאומני‏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המערערים הורשעו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יסוד הודאתם ובמסגרת הסדר טיעון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 חבלה בנסיבות מחמירות וחבלה במזיד ברכב ממניע גזעני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בוצעו במסגרת גל של הפרות סדר והתפרעויות אלימות ברחבי הארץ על רקע לאומני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גזעני במהלך מבצע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שומר החומות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יצוין כי בפרשה הורשעו שני נאשמים נוספים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המערער משטי נגזר עונש של </w:t>
      </w:r>
      <w:r>
        <w:rPr>
          <w:rFonts w:cs="Times New Roman" w:ascii="Times New Roman" w:hAnsi="Times New Roman"/>
          <w:spacing w:val="0"/>
          <w:szCs w:val="26"/>
        </w:rPr>
        <w:t>31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 לצד ענישה נלווית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המערער כרמלי הושת עונש של </w:t>
      </w:r>
      <w:r>
        <w:rPr>
          <w:rFonts w:cs="Times New Roman" w:ascii="Times New Roman" w:hAnsi="Times New Roman"/>
          <w:spacing w:val="0"/>
          <w:szCs w:val="26"/>
        </w:rPr>
        <w:t>25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 לצד ענישה נלווית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הערעורים נסבים על חומרת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דחה את ערעורו של משטי וקיבל את ערעורו של כרמלי באופן חלקי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 עמד לא אחת על החומרה היתירה הנודעת לעבירות אלימות המבוצעות על רקע גזעני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לאומני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בפרט כאלה המבוצעות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 המון משולהב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 הצורך למצות את הדין עם מבצעיהן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מעבר לכך שיש בעבירות אלה כדי לגרום לפגיעות גוף ורכוש ולהציב סכנה ממשית לחיי אדם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בהן כדי לערער את הסדר הציבורי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לפגום בתחושת הביטחון האישי של אזרחים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להטיל אימה ופחד ולפגוע במרקם היחסים העדין שבין מגזרים שונים בישראל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 על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פגיעה בקורבן העבירה רק בשל השתייכותו הקבוצתית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שוללת ממנו את תכונותיו האנושיות ומצמצמת את אלה לשיוכו הקבוצתי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פגיעה קשה בכבודו כאדם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העם היהודי הוא הראשון החייב להוקיע גילויי גזענות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כל שכן כאלה הכרוכים באלימות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מקום בו בוצעה עבירה מתוך מניע גזעני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נסיבה מחמירה שבכוחה להכפיל את עונשו של מבצע העבירה או להוביל למאסר של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הקל מבין השניים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 ההגנה על שלום הציבור ושיקולי הרתעת היחיד והרבים גוברים על שיקולי ענישה 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בהם נסיבות אישיות ושיקולי שיקום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שנפסק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התפרעויות של המונים בכלל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 רקע לאומני בפרט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צריכות לזכות בתגובה עונשית קשה וכואבת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יהיה מוצאם של המתפרעים אשר יהיה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 נוהגת מדינת 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 זכאים לצפות כל הבאים בשערי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בהתייחס לעבירות דומות לענייננו שבוצעו על רקע מבצע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שומר החומות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– </w:t>
      </w:r>
      <w:r>
        <w:rPr>
          <w:rFonts w:ascii="Times New Roman" w:hAnsi="Times New Roman" w:cs="Times New Roman"/>
          <w:spacing w:val="0"/>
          <w:szCs w:val="26"/>
          <w:rtl w:val="true"/>
        </w:rPr>
        <w:t>נקבע כי יש ליתן משקל בענישה גם לעיתוי ביצוע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בתקופה של מתיחות ביטחונית קשה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מבית ומחוץ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אירוע התקיפה בענייננו הוא מן החמורים והבזויים שבתקיפות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חבורה המונה </w:t>
      </w:r>
      <w:r>
        <w:rPr>
          <w:rFonts w:cs="Times New Roman" w:ascii="Times New Roman" w:hAnsi="Times New Roman"/>
          <w:spacing w:val="0"/>
          <w:szCs w:val="26"/>
        </w:rPr>
        <w:t>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משתתפים מתנפלת באישון ליל על אדם שנקרה בדרכה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מבוגר בן </w:t>
      </w:r>
      <w:r>
        <w:rPr>
          <w:rFonts w:cs="Times New Roman" w:ascii="Times New Roman" w:hAnsi="Times New Roman"/>
          <w:spacing w:val="0"/>
          <w:szCs w:val="26"/>
        </w:rPr>
        <w:t>60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היושב ברכבו לשבור את צומו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שכל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חטאו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מוצאו הערבי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בני החבורה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חלקם מצוידים מראש באמצעי תקיפה שונים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סקלו את המתלונן ורכבו באבנים גדולות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הטיחו אבן בראשו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ריססו את פניו בגז פלפל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השליכו לעברו בקבוק זכוכית ולבסוף אחד מהם אף דקרו באמצעות סכין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היה זה רק עניין של מזל שהמתלונן לא מצא את מותו בתקיפה ולא נגרמו לו חבלות קשות 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בהצהרת נפגע העבירה שהגיש תיאר המתלונן את הבהלה שאחזה 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את חוסר האונים שחש ואת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הפצע הנפשי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העמוק שנגרם לו כתוצאה מהאירוע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כל זאת עשו התוקפים בתקופה מורכבת ורוויית אתגרים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בשעה שהמדינה מותקפת מבית ומחוץ וכשידי כוחות הביטחון עמוסות עבודה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המערערים טוענים לחלקם המצומצם באירוע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אין בטענתם זו כדי לסייע להם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כבר הובהר כי כאשר מדובר בתקיפה המבוצעת 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 המון מתפרע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אחריותו של כל משתתף אינה נקבעת רק 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 תרומתו הישירה לאירוע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מדובר במי שרק נכחו במקום ולא נטלו חלק פעיל באירוע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כתב האישום המתוקן נוסח באופן שאינו שולל את מעורבותם הפעילה של מי מבני החבורה ביידוי האבנים לעבר המתלונן ורכבו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בהטחת האבן בראשו ובריסוס פניו בגז פלפל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מעבר לאמור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משטי היה זה שקרא לחבורה לנוע לאחר שניידת המשטרה עזבה – באופן שהניע את התקיפה והיווה למעשה את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יריית הפתיחה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של האירוע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לכך יש להוסיף את התנהגות המערערים עובר לאירוע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המוסיפה מימד חומרה נוסף לחלקם בתקיפה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המערערים הגיעו למסגד במטרה להתעמת עם ערבים – לאחר שנסעו מוקדם יותר באותו היום ואף ערב לפני כן לזירות התפרעות שונות – כשהם מצוידים באמצעי תקיפה שונים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רקע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ובשים לב למניע הגזעני שעמד בבסיס מעשיהם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לתכנון שקדם למעשים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לעיתוי המעשים ולאופי האירוע – לרבות ריבוי המשתתפים בתקיפה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מיהות הקורבן ועוצמת הפגיעה בו – נראה כי מתחמי הענישה שנקבעו בעניינם של המערערים הולמים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מתונים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בהתחשב בכלל נסיבות ביצוע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לטענות שמעלה משטי בערעורו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ניתן לקבל את טענתו ולפיה חלקו באירוע מינורי והסתכם רק בנוכחותו במקום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אין לקבל גם את טענתו ולפיה הקביעות שנעשו בעניין הנאשם אזולאי ביחס למתחם הענישה פגעו בו ויצרו 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מעשה עשוי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–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שעה שדרגות החומרה של המעשים נובעות מן המתואר בכתב האישום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וממילא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לגופו של 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 מקום להתערב בעונש שנקבע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אף בעובדה שהמערערים לא הואשמו בעבירה של קשירת קשר אין כדי לחתור תחת החלטת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להחמיר במעט את מתחם הענישה בעניינם של המערערים – בשל התנהגותם עובר לאירוע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לרבות הצטיידותם באמצעי תקיפה שונים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עוד אין לקבל את הטענה ולפיה המתחם שנקבע סוטה באופן קיצוני ממדיניות הענישה שננקטה במקרים קודמים – זאת גם לאור השוני בין המקרים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וגם בשל העובדה שבחלקם התערב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 והחמיר את העונש שהוטל תוך שהדגיש כי אינו ממצה את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לבסוף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נמצאה עילה להתערבות גם בקביעת עונשו של משטי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שנעשתה תוך התחשבות במכלול השיקולים הרלוונטיים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לכרמלי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בדין קבע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כי מקרה התקיפה דנן אינו מתאים להשתת עונש מאסר בדרך של עבודות שירות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לאור חומרתו הקיצונית של האירוע ולאור ההלכה לפיה במקרים של עבירות שבוצעו ממניע גזעני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 הרתעה ושמירה על שלום הציבור גוברים על שיקולי ענישה 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 </w:t>
      </w:r>
      <w:r>
        <w:rPr>
          <w:rFonts w:ascii="Times New Roman" w:hAnsi="Times New Roman" w:cs="Times New Roman"/>
          <w:spacing w:val="0"/>
          <w:szCs w:val="26"/>
          <w:rtl w:val="true"/>
        </w:rPr>
        <w:t>בהם שיקולי שיקום ונסיבותיו האישיות של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נמצא כי יש מקום להתערב במידת מה בתקופת המאסר לריצוי בפועל שהושת על כרמלי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נראה כי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החמיר עמו יתר על המידה לגבי אי התייצבותו לדיון לשימוע 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כאירוע המעיד על מידת התבססותם של הליכי השיקום ומכאן על מידת הסטייה ממתחם העונש ההולם מטעמי שיקום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נמצא להעמיד את תקופת מאסרו על 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suppressLineNumbers/>
        <w:ind w:end="0"/>
        <w:jc w:val="start"/>
        <w:rPr>
          <w:rFonts w:ascii="David" w:hAnsi="David" w:cs="David"/>
          <w:spacing w:val="0"/>
          <w:szCs w:val="26"/>
        </w:rPr>
      </w:pPr>
      <w:r>
        <w:rPr>
          <w:rFonts w:cs="David" w:ascii="David" w:hAnsi="David"/>
          <w:spacing w:val="0"/>
          <w:szCs w:val="26"/>
          <w:rtl w:val="true"/>
        </w:rPr>
      </w:r>
      <w:bookmarkStart w:id="8" w:name="_Hlk174518309"/>
      <w:bookmarkStart w:id="9" w:name="ABSTRACT_END"/>
      <w:bookmarkStart w:id="10" w:name="_Hlk174518309"/>
      <w:bookmarkStart w:id="11" w:name="ABSTRACT_END"/>
      <w:bookmarkEnd w:id="10"/>
      <w:bookmarkEnd w:id="11"/>
    </w:p>
    <w:tbl>
      <w:tblPr>
        <w:bidiVisual w:val="true"/>
        <w:tblW w:w="851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10"/>
      </w:tblGrid>
      <w:tr>
        <w:trPr/>
        <w:tc>
          <w:tcPr>
            <w:tcW w:w="8510" w:type="dxa"/>
            <w:tcBorders/>
          </w:tcPr>
          <w:p>
            <w:pPr>
              <w:pStyle w:val="Normal"/>
              <w:bidi w:val="0"/>
              <w:jc w:val="center"/>
              <w:rPr>
                <w:rFonts w:ascii="David" w:hAnsi="David" w:cs="David"/>
                <w:b/>
                <w:bCs/>
                <w:spacing w:val="40"/>
                <w:sz w:val="28"/>
                <w:szCs w:val="28"/>
                <w:u w:val="single"/>
              </w:rPr>
            </w:pPr>
            <w:bookmarkStart w:id="12" w:name="PsakDin"/>
            <w:bookmarkEnd w:id="12"/>
            <w:r>
              <w:rPr>
                <w:rFonts w:ascii="David" w:hAnsi="David"/>
                <w:b/>
                <w:b/>
                <w:bCs/>
                <w:spacing w:val="40"/>
                <w:sz w:val="28"/>
                <w:sz w:val="28"/>
                <w:szCs w:val="28"/>
                <w:u w:val="single"/>
                <w:rtl w:val="true"/>
              </w:rPr>
              <w:t>פסק</w:t>
            </w:r>
            <w:r>
              <w:rPr>
                <w:rFonts w:cs="David" w:ascii="David" w:hAnsi="David"/>
                <w:b/>
                <w:bCs/>
                <w:spacing w:val="40"/>
                <w:sz w:val="28"/>
                <w:szCs w:val="28"/>
                <w:u w:val="single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pacing w:val="40"/>
                <w:sz w:val="28"/>
                <w:sz w:val="28"/>
                <w:szCs w:val="28"/>
                <w:u w:val="single"/>
                <w:rtl w:val="true"/>
              </w:rPr>
              <w:t>דין</w:t>
            </w:r>
          </w:p>
          <w:p>
            <w:pPr>
              <w:pStyle w:val="Normal"/>
              <w:bidi w:val="0"/>
              <w:jc w:val="center"/>
              <w:rPr>
                <w:rFonts w:ascii="David" w:hAnsi="David" w:cs="David"/>
                <w:b/>
                <w:bCs/>
                <w:spacing w:val="40"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pacing w:val="40"/>
                <w:sz w:val="28"/>
                <w:szCs w:val="28"/>
                <w:u w:val="singl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  <w:bookmarkStart w:id="13" w:name="NGCSBookmark"/>
      <w:bookmarkStart w:id="14" w:name="NGCSBookmark"/>
      <w:bookmarkEnd w:id="14"/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כנפי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שטייניץ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bCs/>
          <w:spacing w:val="0"/>
          <w:szCs w:val="24"/>
          <w:u w:val="single"/>
        </w:rPr>
      </w:pPr>
      <w:r>
        <w:rPr>
          <w:rFonts w:cs="Miriam" w:ascii="Century" w:hAnsi="Century"/>
          <w:b/>
          <w:bCs/>
          <w:spacing w:val="0"/>
          <w:szCs w:val="24"/>
          <w:u w:val="single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לפנינו שני ערעורים שהדיון בהם אוחד</w:t>
      </w:r>
      <w:r>
        <w:rPr>
          <w:rtl w:val="true"/>
        </w:rPr>
        <w:t xml:space="preserve">, </w:t>
      </w:r>
      <w:r>
        <w:rPr>
          <w:rtl w:val="true"/>
        </w:rPr>
        <w:t>הנסובים על שני גזרי דין של בית המשפט המחוזי בתל אביב</w:t>
      </w:r>
      <w:r>
        <w:rPr>
          <w:rtl w:val="true"/>
        </w:rPr>
        <w:t>-</w:t>
      </w:r>
      <w:r>
        <w:rPr>
          <w:rtl w:val="true"/>
        </w:rPr>
        <w:t xml:space="preserve">יפו </w:t>
      </w:r>
      <w:r>
        <w:rPr>
          <w:rtl w:val="true"/>
        </w:rPr>
        <w:t>(</w:t>
      </w:r>
      <w:r>
        <w:rPr>
          <w:rtl w:val="true"/>
        </w:rPr>
        <w:t xml:space="preserve">סגן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שגיא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24533-06-21</w:t>
        </w:r>
      </w:hyperlink>
      <w:r>
        <w:rPr>
          <w:rtl w:val="true"/>
        </w:rPr>
        <w:t xml:space="preserve">, </w:t>
      </w:r>
      <w:r>
        <w:rPr>
          <w:rtl w:val="true"/>
        </w:rPr>
        <w:t>אשר ניתנו בעניינם של אור משטי</w:t>
      </w:r>
      <w:r>
        <w:rPr>
          <w:rtl w:val="true"/>
        </w:rPr>
        <w:t xml:space="preserve">, </w:t>
      </w:r>
      <w:r>
        <w:rPr>
          <w:rtl w:val="true"/>
        </w:rPr>
        <w:t>המערער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2067/23</w:t>
      </w:r>
      <w:r>
        <w:rPr>
          <w:rtl w:val="true"/>
        </w:rPr>
        <w:t xml:space="preserve">, </w:t>
      </w:r>
      <w:r>
        <w:rPr>
          <w:rtl w:val="true"/>
        </w:rPr>
        <w:t>ואוראל כרמלי</w:t>
      </w:r>
      <w:r>
        <w:rPr>
          <w:rtl w:val="true"/>
        </w:rPr>
        <w:t xml:space="preserve">, </w:t>
      </w:r>
      <w:r>
        <w:rPr>
          <w:rtl w:val="true"/>
        </w:rPr>
        <w:t>המערער בע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2109/24</w:t>
      </w:r>
      <w:r>
        <w:rPr>
          <w:rtl w:val="true"/>
        </w:rPr>
        <w:t xml:space="preserve"> (</w:t>
      </w:r>
      <w:r>
        <w:rPr>
          <w:rtl w:val="true"/>
        </w:rPr>
        <w:t>להלן בהתאמה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משטי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כרמלי</w:t>
      </w:r>
      <w:r>
        <w:rPr>
          <w:rtl w:val="true"/>
        </w:rPr>
        <w:t xml:space="preserve">, </w:t>
      </w:r>
      <w:r>
        <w:rPr>
          <w:rtl w:val="true"/>
        </w:rPr>
        <w:t>וביחד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tl w:val="true"/>
        </w:rPr>
        <w:t xml:space="preserve">). </w:t>
      </w:r>
      <w:r>
        <w:rPr>
          <w:rtl w:val="true"/>
        </w:rPr>
        <w:t xml:space="preserve">ערעורו של משטי מופנה כלפי גזר דין מיום </w:t>
      </w:r>
      <w:r>
        <w:rPr/>
        <w:t>31.1.2023</w:t>
      </w:r>
      <w:r>
        <w:rPr>
          <w:rtl w:val="true"/>
        </w:rPr>
        <w:t xml:space="preserve">, </w:t>
      </w:r>
      <w:r>
        <w:rPr>
          <w:rtl w:val="true"/>
        </w:rPr>
        <w:t xml:space="preserve">בגדרו הושת עליו עונש של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חודשי מאסר לריצוי בפועל</w:t>
      </w:r>
      <w:r>
        <w:rPr>
          <w:rtl w:val="true"/>
        </w:rPr>
        <w:t xml:space="preserve">, </w:t>
      </w:r>
      <w:r>
        <w:rPr>
          <w:rtl w:val="true"/>
        </w:rPr>
        <w:t>לצד ענישה נלווית</w:t>
      </w:r>
      <w:r>
        <w:rPr>
          <w:rtl w:val="true"/>
        </w:rPr>
        <w:t xml:space="preserve">; </w:t>
      </w:r>
      <w:r>
        <w:rPr>
          <w:rtl w:val="true"/>
        </w:rPr>
        <w:t xml:space="preserve">וערעורו של כרמלי מופנה כלפי גזר דין מיום </w:t>
      </w:r>
      <w:r>
        <w:rPr/>
        <w:t>30.1.2024</w:t>
      </w:r>
      <w:r>
        <w:rPr>
          <w:rtl w:val="true"/>
        </w:rPr>
        <w:t xml:space="preserve">, </w:t>
      </w:r>
      <w:r>
        <w:rPr>
          <w:rtl w:val="true"/>
        </w:rPr>
        <w:t xml:space="preserve">בגדרו הושת עליו עונש של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חודשי מאסר לריצוי בפועל</w:t>
      </w:r>
      <w:r>
        <w:rPr>
          <w:rtl w:val="true"/>
        </w:rPr>
        <w:t xml:space="preserve">, </w:t>
      </w:r>
      <w:r>
        <w:rPr>
          <w:rtl w:val="true"/>
        </w:rPr>
        <w:t>לצד ענישה נלווית</w:t>
      </w:r>
      <w:r>
        <w:rPr>
          <w:rtl w:val="true"/>
        </w:rPr>
        <w:t xml:space="preserve">.  </w:t>
        <w:br/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br/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המערערים הורשעו על יסוד הודאתם</w:t>
      </w:r>
      <w:r>
        <w:rPr>
          <w:rtl w:val="true"/>
        </w:rPr>
        <w:t xml:space="preserve">, </w:t>
      </w:r>
      <w:r>
        <w:rPr>
          <w:rtl w:val="true"/>
        </w:rPr>
        <w:t>ובמסגרת 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בחבלה בנסיבות מחמירות לפי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 </w:t>
      </w:r>
      <w:r>
        <w:rPr>
          <w:rtl w:val="true"/>
        </w:rPr>
        <w:t xml:space="preserve">בנסיבות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ביחד עם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ובחבלה במזיד ברכב ממניע גזעני לפי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>ה</w:t>
        </w:r>
      </w:hyperlink>
      <w:r>
        <w:rPr>
          <w:rtl w:val="true"/>
        </w:rPr>
        <w:t xml:space="preserve"> ביחד עם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בנסיבות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ו</w:t>
        </w:r>
      </w:hyperlink>
      <w:r>
        <w:rPr>
          <w:rtl w:val="true"/>
        </w:rPr>
        <w:t xml:space="preserve"> לחוק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יצוין כבר עתה</w:t>
      </w:r>
      <w:r>
        <w:rPr>
          <w:rtl w:val="true"/>
        </w:rPr>
        <w:t xml:space="preserve">, </w:t>
      </w:r>
      <w:r>
        <w:rPr>
          <w:rtl w:val="true"/>
        </w:rPr>
        <w:t>כי כתב האישום המתוקן</w:t>
      </w:r>
      <w:r>
        <w:rPr>
          <w:rtl w:val="true"/>
        </w:rPr>
        <w:t xml:space="preserve">, </w:t>
      </w:r>
      <w:r>
        <w:rPr>
          <w:rtl w:val="true"/>
        </w:rPr>
        <w:t>על יסודו הורשעו המערערים</w:t>
      </w:r>
      <w:r>
        <w:rPr>
          <w:rtl w:val="true"/>
        </w:rPr>
        <w:t xml:space="preserve">, </w:t>
      </w:r>
      <w:r>
        <w:rPr>
          <w:rtl w:val="true"/>
        </w:rPr>
        <w:t>הוגש גם בעניינם של שני נאשמים נוספים</w:t>
      </w:r>
      <w:r>
        <w:rPr>
          <w:rtl w:val="true"/>
        </w:rPr>
        <w:t xml:space="preserve">, </w:t>
      </w:r>
      <w:r>
        <w:rPr>
          <w:rtl w:val="true"/>
        </w:rPr>
        <w:t xml:space="preserve">הם רועי תם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) </w:t>
      </w:r>
      <w:r>
        <w:rPr>
          <w:rtl w:val="true"/>
        </w:rPr>
        <w:t xml:space="preserve">ושקד סיבוני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4</w:t>
      </w:r>
      <w:r>
        <w:rPr>
          <w:rtl w:val="true"/>
        </w:rPr>
        <w:t xml:space="preserve">), </w:t>
      </w:r>
      <w:r>
        <w:rPr>
          <w:rtl w:val="true"/>
        </w:rPr>
        <w:t>שהורשעו אף הם על פי הודאתם בעבירות האמורות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 בנוסף גם בהחזקת סכין שלא כדין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כתב האישום המתוקן מתאר אירוע שהתרחש בחודש מאי </w:t>
      </w:r>
      <w:r>
        <w:rPr/>
        <w:t>2021</w:t>
      </w:r>
      <w:r>
        <w:rPr>
          <w:rtl w:val="true"/>
        </w:rPr>
        <w:t xml:space="preserve"> </w:t>
      </w:r>
      <w:r>
        <w:rPr>
          <w:rtl w:val="true"/>
        </w:rPr>
        <w:t xml:space="preserve">במהלך מבצע </w:t>
      </w:r>
      <w:r>
        <w:rPr>
          <w:rtl w:val="true"/>
        </w:rPr>
        <w:t>"</w:t>
      </w:r>
      <w:r>
        <w:rPr>
          <w:rtl w:val="true"/>
        </w:rPr>
        <w:t>שומר החומות</w:t>
      </w:r>
      <w:r>
        <w:rPr>
          <w:rtl w:val="true"/>
        </w:rPr>
        <w:t xml:space="preserve">". </w:t>
      </w:r>
      <w:r>
        <w:rPr>
          <w:rtl w:val="true"/>
        </w:rPr>
        <w:t>באותה עת</w:t>
      </w:r>
      <w:r>
        <w:rPr>
          <w:rtl w:val="true"/>
        </w:rPr>
        <w:t xml:space="preserve">, </w:t>
      </w:r>
      <w:r>
        <w:rPr>
          <w:rtl w:val="true"/>
        </w:rPr>
        <w:t>הייתה האוכלוסייה האזרחית בישראל נתונה תחת מתקפת רקטות ששוגרו מרצועת עזה</w:t>
      </w:r>
      <w:r>
        <w:rPr>
          <w:rtl w:val="true"/>
        </w:rPr>
        <w:t xml:space="preserve">, </w:t>
      </w:r>
      <w:r>
        <w:rPr>
          <w:rtl w:val="true"/>
        </w:rPr>
        <w:t>ובמקביל</w:t>
      </w:r>
      <w:r>
        <w:rPr>
          <w:rtl w:val="true"/>
        </w:rPr>
        <w:t xml:space="preserve">, </w:t>
      </w:r>
      <w:r>
        <w:rPr>
          <w:rtl w:val="true"/>
        </w:rPr>
        <w:t>התקיים גל של הפרות סדר והתפרעויות אלימות ברחבי הארץ על רקע לאומני</w:t>
      </w:r>
      <w:r>
        <w:rPr>
          <w:rtl w:val="true"/>
        </w:rPr>
        <w:t>-</w:t>
      </w:r>
      <w:r>
        <w:rPr>
          <w:rtl w:val="true"/>
        </w:rPr>
        <w:t>גזעני</w:t>
      </w:r>
      <w:r>
        <w:rPr>
          <w:rtl w:val="true"/>
        </w:rPr>
        <w:t xml:space="preserve">. </w:t>
      </w:r>
      <w:r>
        <w:rPr>
          <w:rtl w:val="true"/>
        </w:rPr>
        <w:t>התפרעויות אלה כללו אירועי אלימות של אזרחים יהודים וערבים זה כלפי זה</w:t>
      </w:r>
      <w:r>
        <w:rPr>
          <w:rtl w:val="true"/>
        </w:rPr>
        <w:t xml:space="preserve">, </w:t>
      </w:r>
      <w:r>
        <w:rPr>
          <w:rtl w:val="true"/>
        </w:rPr>
        <w:t>תקיפה של כוחות הביטחון וכן הצתות וגרימת נזק לרכוש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רקע האמור</w:t>
      </w:r>
      <w:r>
        <w:rPr>
          <w:rtl w:val="true"/>
        </w:rPr>
        <w:t xml:space="preserve">, </w:t>
      </w:r>
      <w:r>
        <w:rPr>
          <w:rtl w:val="true"/>
        </w:rPr>
        <w:t>קשרו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11.5.2021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 xml:space="preserve">קשר עם יעקב אטנאו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יעקב</w:t>
      </w:r>
      <w:r>
        <w:rPr>
          <w:rtl w:val="true"/>
        </w:rPr>
        <w:t xml:space="preserve">) </w:t>
      </w:r>
      <w:r>
        <w:rPr>
          <w:rtl w:val="true"/>
        </w:rPr>
        <w:t>ועם אחרים</w:t>
      </w:r>
      <w:r>
        <w:rPr>
          <w:rtl w:val="true"/>
        </w:rPr>
        <w:t xml:space="preserve">, </w:t>
      </w:r>
      <w:r>
        <w:rPr>
          <w:rtl w:val="true"/>
        </w:rPr>
        <w:t>להתעמת עם ערבים על רקע לאומני</w:t>
      </w:r>
      <w:r>
        <w:rPr>
          <w:rtl w:val="true"/>
        </w:rPr>
        <w:t>-</w:t>
      </w:r>
      <w:r>
        <w:rPr>
          <w:rtl w:val="true"/>
        </w:rPr>
        <w:t>אידיאולוגי וממניע גזעני</w:t>
      </w:r>
      <w:r>
        <w:rPr>
          <w:rtl w:val="true"/>
        </w:rPr>
        <w:t xml:space="preserve">. </w:t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>נסעו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11.5.2021</w:t>
      </w:r>
      <w:r>
        <w:rPr>
          <w:rtl w:val="true"/>
        </w:rPr>
        <w:t xml:space="preserve"> </w:t>
      </w:r>
      <w:r>
        <w:rPr>
          <w:rtl w:val="true"/>
        </w:rPr>
        <w:t>בשעות הערב</w:t>
      </w:r>
      <w:r>
        <w:rPr>
          <w:rtl w:val="true"/>
        </w:rPr>
        <w:t xml:space="preserve">, </w:t>
      </w:r>
      <w:r>
        <w:rPr>
          <w:rtl w:val="true"/>
        </w:rPr>
        <w:t>יחד עם יעקב ואחרים</w:t>
      </w:r>
      <w:r>
        <w:rPr>
          <w:rtl w:val="true"/>
        </w:rPr>
        <w:t xml:space="preserve">, </w:t>
      </w:r>
      <w:r>
        <w:rPr>
          <w:rtl w:val="true"/>
        </w:rPr>
        <w:t>ברכבו של משטי לעיר לוד</w:t>
      </w:r>
      <w:r>
        <w:rPr>
          <w:rtl w:val="true"/>
        </w:rPr>
        <w:t xml:space="preserve">, </w:t>
      </w:r>
      <w:r>
        <w:rPr>
          <w:rtl w:val="true"/>
        </w:rPr>
        <w:t>כשהם מצוידים באמצעי תקיפה ובהם אבנים וגז פלפל</w:t>
      </w:r>
      <w:r>
        <w:rPr>
          <w:rtl w:val="true"/>
        </w:rPr>
        <w:t xml:space="preserve">. </w:t>
      </w:r>
      <w:r>
        <w:rPr>
          <w:rtl w:val="true"/>
        </w:rPr>
        <w:t>לאחר שנחסמו בכניסה לעיר על</w:t>
      </w:r>
      <w:r>
        <w:rPr>
          <w:rtl w:val="true"/>
        </w:rPr>
        <w:t>-</w:t>
      </w:r>
      <w:r>
        <w:rPr>
          <w:rtl w:val="true"/>
        </w:rPr>
        <w:t>ידי כוחות משטרה</w:t>
      </w:r>
      <w:r>
        <w:rPr>
          <w:rtl w:val="true"/>
        </w:rPr>
        <w:t xml:space="preserve">, </w:t>
      </w:r>
      <w:r>
        <w:rPr>
          <w:rtl w:val="true"/>
        </w:rPr>
        <w:t>ניסו להיכנס לעיר מכניסה נוספת</w:t>
      </w:r>
      <w:r>
        <w:rPr>
          <w:rtl w:val="true"/>
        </w:rPr>
        <w:t xml:space="preserve">, </w:t>
      </w:r>
      <w:r>
        <w:rPr>
          <w:rtl w:val="true"/>
        </w:rPr>
        <w:t>אך נחסמו שוב על</w:t>
      </w:r>
      <w:r>
        <w:rPr>
          <w:rtl w:val="true"/>
        </w:rPr>
        <w:t>-</w:t>
      </w:r>
      <w:r>
        <w:rPr>
          <w:rtl w:val="true"/>
        </w:rPr>
        <w:t>ידי כוחות שיטור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למחרת היום</w:t>
      </w:r>
      <w:r>
        <w:rPr>
          <w:rtl w:val="true"/>
        </w:rPr>
        <w:t xml:space="preserve">, </w:t>
      </w:r>
      <w:r>
        <w:rPr/>
        <w:t>12.5.2021</w:t>
      </w:r>
      <w:r>
        <w:rPr>
          <w:rtl w:val="true"/>
        </w:rPr>
        <w:t xml:space="preserve">, </w:t>
      </w:r>
      <w:r>
        <w:rPr>
          <w:rtl w:val="true"/>
        </w:rPr>
        <w:t>בשעת ערב</w:t>
      </w:r>
      <w:r>
        <w:rPr>
          <w:rtl w:val="true"/>
        </w:rPr>
        <w:t xml:space="preserve">, </w:t>
      </w:r>
      <w:r>
        <w:rPr>
          <w:rtl w:val="true"/>
        </w:rPr>
        <w:t>לאחר שנכחו באזור ההתפרעויות בעיר בת</w:t>
      </w:r>
      <w:r>
        <w:rPr>
          <w:rtl w:val="true"/>
        </w:rPr>
        <w:t>-</w:t>
      </w:r>
      <w:r>
        <w:rPr>
          <w:rtl w:val="true"/>
        </w:rPr>
        <w:t>ים</w:t>
      </w:r>
      <w:r>
        <w:rPr>
          <w:rtl w:val="true"/>
        </w:rPr>
        <w:t xml:space="preserve">, </w:t>
      </w:r>
      <w:r>
        <w:rPr>
          <w:rtl w:val="true"/>
        </w:rPr>
        <w:t>נסעו המערערים ויעקב למסגד סידני</w:t>
      </w:r>
      <w:r>
        <w:rPr>
          <w:rtl w:val="true"/>
        </w:rPr>
        <w:t>-</w:t>
      </w:r>
      <w:r>
        <w:rPr>
          <w:rtl w:val="true"/>
        </w:rPr>
        <w:t xml:space="preserve">עלי שבעיר הרצליה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המסגד</w:t>
      </w:r>
      <w:r>
        <w:rPr>
          <w:rtl w:val="true"/>
        </w:rPr>
        <w:t xml:space="preserve">) </w:t>
      </w:r>
      <w:r>
        <w:rPr>
          <w:rtl w:val="true"/>
        </w:rPr>
        <w:t>במטרה להתעמת עם ערבים</w:t>
      </w:r>
      <w:r>
        <w:rPr>
          <w:rtl w:val="true"/>
        </w:rPr>
        <w:t xml:space="preserve">, </w:t>
      </w:r>
      <w:r>
        <w:rPr>
          <w:rtl w:val="true"/>
        </w:rPr>
        <w:t>כשהם מצוידים באמצעי תקיפה</w:t>
      </w:r>
      <w:r>
        <w:rPr>
          <w:rtl w:val="true"/>
        </w:rPr>
        <w:t xml:space="preserve">, </w:t>
      </w:r>
      <w:r>
        <w:rPr>
          <w:rtl w:val="true"/>
        </w:rPr>
        <w:t>בהם אבנים</w:t>
      </w:r>
      <w:r>
        <w:rPr>
          <w:rtl w:val="true"/>
        </w:rPr>
        <w:t xml:space="preserve">, </w:t>
      </w:r>
      <w:r>
        <w:rPr>
          <w:rtl w:val="true"/>
        </w:rPr>
        <w:t>סכינים</w:t>
      </w:r>
      <w:r>
        <w:rPr>
          <w:rtl w:val="true"/>
        </w:rPr>
        <w:t xml:space="preserve">, </w:t>
      </w:r>
      <w:r>
        <w:rPr>
          <w:rtl w:val="true"/>
        </w:rPr>
        <w:t>אלות</w:t>
      </w:r>
      <w:r>
        <w:rPr>
          <w:rtl w:val="true"/>
        </w:rPr>
        <w:t xml:space="preserve">, </w:t>
      </w:r>
      <w:r>
        <w:rPr>
          <w:rtl w:val="true"/>
        </w:rPr>
        <w:t>מברג</w:t>
      </w:r>
      <w:r>
        <w:rPr>
          <w:rtl w:val="true"/>
        </w:rPr>
        <w:t xml:space="preserve">, </w:t>
      </w:r>
      <w:r>
        <w:rPr>
          <w:rtl w:val="true"/>
        </w:rPr>
        <w:t>פטיש</w:t>
      </w:r>
      <w:r>
        <w:rPr>
          <w:rtl w:val="true"/>
        </w:rPr>
        <w:t xml:space="preserve">, </w:t>
      </w:r>
      <w:r>
        <w:rPr>
          <w:rtl w:val="true"/>
        </w:rPr>
        <w:t>וגז פלפל</w:t>
      </w:r>
      <w:r>
        <w:rPr>
          <w:rtl w:val="true"/>
        </w:rPr>
        <w:t xml:space="preserve">. </w:t>
      </w:r>
      <w:r>
        <w:rPr>
          <w:rtl w:val="true"/>
        </w:rPr>
        <w:t>בהגיעם למקום הם פגשו ב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 xml:space="preserve">בהם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המצויד בסכין</w:t>
      </w:r>
      <w:r>
        <w:rPr>
          <w:rtl w:val="true"/>
        </w:rPr>
        <w:t xml:space="preserve">, </w:t>
      </w:r>
      <w:r>
        <w:rPr>
          <w:rtl w:val="true"/>
        </w:rPr>
        <w:t xml:space="preserve">נאשם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וניסים אזולאי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ניסים</w:t>
      </w:r>
      <w:r>
        <w:rPr>
          <w:rtl w:val="true"/>
        </w:rPr>
        <w:t xml:space="preserve">) – </w:t>
      </w:r>
      <w:r>
        <w:rPr>
          <w:rtl w:val="true"/>
        </w:rPr>
        <w:t xml:space="preserve">וחברו אליהם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החבורה</w:t>
      </w:r>
      <w:r>
        <w:rPr>
          <w:rtl w:val="true"/>
        </w:rPr>
        <w:t xml:space="preserve">). </w:t>
      </w:r>
      <w:r>
        <w:rPr>
          <w:rtl w:val="true"/>
        </w:rPr>
        <w:t>באותה עת</w:t>
      </w:r>
      <w:r>
        <w:rPr>
          <w:rtl w:val="true"/>
        </w:rPr>
        <w:t xml:space="preserve">, </w:t>
      </w:r>
      <w:r>
        <w:rPr>
          <w:rtl w:val="true"/>
        </w:rPr>
        <w:t>ישב ברכבו בחניון הסמוך למסגד</w:t>
      </w:r>
      <w:r>
        <w:rPr>
          <w:rtl w:val="true"/>
        </w:rPr>
        <w:t xml:space="preserve">, </w:t>
      </w:r>
      <w:r>
        <w:rPr>
          <w:rtl w:val="true"/>
        </w:rPr>
        <w:t>גסאן חאג</w:t>
      </w:r>
      <w:r>
        <w:rPr>
          <w:rtl w:val="true"/>
        </w:rPr>
        <w:t xml:space="preserve">' </w:t>
      </w:r>
      <w:r>
        <w:rPr>
          <w:rtl w:val="true"/>
        </w:rPr>
        <w:t xml:space="preserve">יחיא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המתלונן</w:t>
      </w:r>
      <w:r>
        <w:rPr>
          <w:rtl w:val="true"/>
        </w:rPr>
        <w:t xml:space="preserve">), </w:t>
      </w:r>
      <w:r>
        <w:rPr>
          <w:rtl w:val="true"/>
        </w:rPr>
        <w:t xml:space="preserve">יליד </w:t>
      </w:r>
      <w:r>
        <w:rPr/>
        <w:t>1961</w:t>
      </w:r>
      <w:r>
        <w:rPr>
          <w:rtl w:val="true"/>
        </w:rPr>
        <w:t xml:space="preserve">, </w:t>
      </w:r>
      <w:r>
        <w:rPr>
          <w:rtl w:val="true"/>
        </w:rPr>
        <w:t>ואכל את ארוחת סיום צום הרמדאן</w:t>
      </w:r>
      <w:r>
        <w:rPr>
          <w:rtl w:val="true"/>
        </w:rPr>
        <w:t xml:space="preserve">. </w:t>
      </w:r>
      <w:r>
        <w:rPr>
          <w:rtl w:val="true"/>
        </w:rPr>
        <w:t>עם עזיבת ניידת משטרה שסיירה במקום</w:t>
      </w:r>
      <w:r>
        <w:rPr>
          <w:rtl w:val="true"/>
        </w:rPr>
        <w:t xml:space="preserve">, </w:t>
      </w:r>
      <w:r>
        <w:rPr>
          <w:rtl w:val="true"/>
        </w:rPr>
        <w:t>קרא משטי לחבורה לנוע</w:t>
      </w:r>
      <w:r>
        <w:rPr>
          <w:rtl w:val="true"/>
        </w:rPr>
        <w:t xml:space="preserve">, </w:t>
      </w:r>
      <w:r>
        <w:rPr>
          <w:rtl w:val="true"/>
        </w:rPr>
        <w:t>ואלה רצו לעבר רכבו של המתלונן</w:t>
      </w:r>
      <w:r>
        <w:rPr>
          <w:rtl w:val="true"/>
        </w:rPr>
        <w:t xml:space="preserve">, </w:t>
      </w:r>
      <w:r>
        <w:rPr>
          <w:rtl w:val="true"/>
        </w:rPr>
        <w:t xml:space="preserve">תוך שמי מהם צועק </w:t>
      </w:r>
      <w:r>
        <w:rPr>
          <w:rtl w:val="true"/>
        </w:rPr>
        <w:t>"</w:t>
      </w:r>
      <w:r>
        <w:rPr>
          <w:rtl w:val="true"/>
        </w:rPr>
        <w:t>ערבי</w:t>
      </w:r>
      <w:r>
        <w:rPr>
          <w:rtl w:val="true"/>
        </w:rPr>
        <w:t xml:space="preserve">". </w:t>
      </w:r>
      <w:r>
        <w:rPr>
          <w:rtl w:val="true"/>
        </w:rPr>
        <w:t>אחד מן החבורה ניגש לרכב</w:t>
      </w:r>
      <w:r>
        <w:rPr>
          <w:rtl w:val="true"/>
        </w:rPr>
        <w:t xml:space="preserve">, </w:t>
      </w:r>
      <w:r>
        <w:rPr>
          <w:rtl w:val="true"/>
        </w:rPr>
        <w:t xml:space="preserve">אמר למתלונן </w:t>
      </w:r>
      <w:r>
        <w:rPr>
          <w:rtl w:val="true"/>
        </w:rPr>
        <w:t>"</w:t>
      </w:r>
      <w:r>
        <w:rPr>
          <w:rtl w:val="true"/>
        </w:rPr>
        <w:t>ערבי</w:t>
      </w:r>
      <w:r>
        <w:rPr>
          <w:rtl w:val="true"/>
        </w:rPr>
        <w:t>-</w:t>
      </w:r>
      <w:r>
        <w:rPr>
          <w:rtl w:val="true"/>
        </w:rPr>
        <w:t>ערבי</w:t>
      </w:r>
      <w:r>
        <w:rPr>
          <w:rtl w:val="true"/>
        </w:rPr>
        <w:t xml:space="preserve">" </w:t>
      </w:r>
      <w:r>
        <w:rPr>
          <w:rtl w:val="true"/>
        </w:rPr>
        <w:t>והטיח בראשו אבן</w:t>
      </w:r>
      <w:r>
        <w:rPr>
          <w:rtl w:val="true"/>
        </w:rPr>
        <w:t xml:space="preserve">. </w:t>
      </w:r>
      <w:r>
        <w:rPr>
          <w:rtl w:val="true"/>
        </w:rPr>
        <w:t>אחר ריסס את פניו בגז פלפל</w:t>
      </w:r>
      <w:r>
        <w:rPr>
          <w:rtl w:val="true"/>
        </w:rPr>
        <w:t xml:space="preserve">, </w:t>
      </w:r>
      <w:r>
        <w:rPr>
          <w:rtl w:val="true"/>
        </w:rPr>
        <w:t>ניסים השליך לעבר רכבו בקבוק זכוכית</w:t>
      </w:r>
      <w:r>
        <w:rPr>
          <w:rtl w:val="true"/>
        </w:rPr>
        <w:t xml:space="preserve">, </w:t>
      </w:r>
      <w:r>
        <w:rPr>
          <w:rtl w:val="true"/>
        </w:rPr>
        <w:t>ומי מבני החבורה</w:t>
      </w:r>
      <w:r>
        <w:rPr>
          <w:rtl w:val="true"/>
        </w:rPr>
        <w:t xml:space="preserve">, </w:t>
      </w:r>
      <w:r>
        <w:rPr>
          <w:rtl w:val="true"/>
        </w:rPr>
        <w:t xml:space="preserve">בהם הנאשמים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יידו אבנים גדולות במתלונן וברכבו – כאשר בתגובה לפגיעתן רכן המתלונן לעבר ההגה והשים עצמו כמת</w:t>
      </w:r>
      <w:r>
        <w:rPr>
          <w:rtl w:val="true"/>
        </w:rPr>
        <w:t xml:space="preserve">. </w:t>
      </w:r>
      <w:r>
        <w:rPr>
          <w:rtl w:val="true"/>
        </w:rPr>
        <w:t>בשלב זה ניגש יעקב אל המתלונן</w:t>
      </w:r>
      <w:r>
        <w:rPr>
          <w:rtl w:val="true"/>
        </w:rPr>
        <w:t xml:space="preserve">, </w:t>
      </w:r>
      <w:r>
        <w:rPr>
          <w:rtl w:val="true"/>
        </w:rPr>
        <w:t>דקר אותו בכתפו באמצעות סכין</w:t>
      </w:r>
      <w:r>
        <w:rPr>
          <w:rtl w:val="true"/>
        </w:rPr>
        <w:t xml:space="preserve">, </w:t>
      </w:r>
      <w:r>
        <w:rPr>
          <w:rtl w:val="true"/>
        </w:rPr>
        <w:t>והחבורה נמלטה מהמקום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כתוצאה ממעשים אלה</w:t>
      </w:r>
      <w:r>
        <w:rPr>
          <w:rtl w:val="true"/>
        </w:rPr>
        <w:t xml:space="preserve">, </w:t>
      </w:r>
      <w:r>
        <w:rPr>
          <w:rtl w:val="true"/>
        </w:rPr>
        <w:t>שבוצעו כולם ממניע לאומני וגזעני ואך בשל מוצאו של המתלונן</w:t>
      </w:r>
      <w:r>
        <w:rPr>
          <w:rtl w:val="true"/>
        </w:rPr>
        <w:t xml:space="preserve">, </w:t>
      </w:r>
      <w:r>
        <w:rPr>
          <w:rtl w:val="true"/>
        </w:rPr>
        <w:t>נגרמו למתלונן חבלות חמורות – פצע בחזה</w:t>
      </w:r>
      <w:r>
        <w:rPr>
          <w:rtl w:val="true"/>
        </w:rPr>
        <w:t xml:space="preserve">, </w:t>
      </w:r>
      <w:r>
        <w:rPr>
          <w:rtl w:val="true"/>
        </w:rPr>
        <w:t>שטף דם בזרועו ואדמומיות בעיניים</w:t>
      </w:r>
      <w:r>
        <w:rPr>
          <w:rtl w:val="true"/>
        </w:rPr>
        <w:t xml:space="preserve">, </w:t>
      </w:r>
      <w:r>
        <w:rPr>
          <w:rtl w:val="true"/>
        </w:rPr>
        <w:t>וכן חתך חד בכתף בשל דקירתו בסכין – בעטיין פונה לבית החולים ואושפז</w:t>
      </w:r>
      <w:r>
        <w:rPr>
          <w:rtl w:val="true"/>
        </w:rPr>
        <w:t xml:space="preserve">. </w:t>
      </w:r>
      <w:r>
        <w:rPr>
          <w:rtl w:val="true"/>
        </w:rPr>
        <w:t>בנוסף לכך</w:t>
      </w:r>
      <w:r>
        <w:rPr>
          <w:rtl w:val="true"/>
        </w:rPr>
        <w:t xml:space="preserve">, </w:t>
      </w:r>
      <w:r>
        <w:rPr>
          <w:rtl w:val="true"/>
        </w:rPr>
        <w:t>ניזוק רכבו של המתלונן ונופצו שמשותיו</w:t>
      </w:r>
      <w:r>
        <w:rPr>
          <w:rtl w:val="true"/>
        </w:rPr>
        <w:t xml:space="preserve">. </w:t>
        <w:br/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יעקב וניסים</w:t>
      </w:r>
      <w:r>
        <w:rPr>
          <w:rtl w:val="true"/>
        </w:rPr>
        <w:t xml:space="preserve">, </w:t>
      </w:r>
      <w:r>
        <w:rPr>
          <w:rtl w:val="true"/>
        </w:rPr>
        <w:t xml:space="preserve">וכן המערערים ונאשמים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– </w:t>
      </w:r>
      <w:r>
        <w:rPr>
          <w:rtl w:val="true"/>
        </w:rPr>
        <w:t xml:space="preserve">הועמדו לדין בגין חלקם באירוע במסגרת שני כתבי אישום שהוגשו לבית המשפט המחוזי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24594-06-21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24533-06-21</w:t>
        </w:r>
      </w:hyperlink>
      <w:r>
        <w:rPr>
          <w:rtl w:val="true"/>
        </w:rPr>
        <w:t xml:space="preserve">). </w:t>
      </w:r>
      <w:r>
        <w:rPr>
          <w:rtl w:val="true"/>
        </w:rPr>
        <w:t>עם גיבוש הסדרי הטיעון בעניינם של כל הנאשמים</w:t>
      </w:r>
      <w:r>
        <w:rPr>
          <w:rtl w:val="true"/>
        </w:rPr>
        <w:t xml:space="preserve">, </w:t>
      </w:r>
      <w:r>
        <w:rPr>
          <w:rtl w:val="true"/>
        </w:rPr>
        <w:t>אוחד הדיון בשני ההליכים</w:t>
      </w:r>
      <w:r>
        <w:rPr>
          <w:rtl w:val="true"/>
        </w:rPr>
        <w:t xml:space="preserve">. </w:t>
      </w:r>
      <w:r>
        <w:rPr>
          <w:rtl w:val="true"/>
        </w:rPr>
        <w:t>לנוכח טענות המערערים</w:t>
      </w:r>
      <w:r>
        <w:rPr>
          <w:rtl w:val="true"/>
        </w:rPr>
        <w:t xml:space="preserve">, </w:t>
      </w:r>
      <w:r>
        <w:rPr>
          <w:rtl w:val="true"/>
        </w:rPr>
        <w:t>הנסמכות בין היתר על גזרי הדין הנוספים שניתנו בפרשה</w:t>
      </w:r>
      <w:r>
        <w:rPr>
          <w:rtl w:val="true"/>
        </w:rPr>
        <w:t xml:space="preserve">, </w:t>
      </w:r>
      <w:r>
        <w:rPr>
          <w:rtl w:val="true"/>
        </w:rPr>
        <w:t>יפורטו להלן גזרי הדין בעניינם של כלל הנאשמים</w:t>
      </w:r>
      <w:r>
        <w:rPr>
          <w:rtl w:val="true"/>
        </w:rPr>
        <w:t xml:space="preserve">. </w:t>
        <w:br/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יעקב</w:t>
      </w:r>
      <w:r>
        <w:rPr>
          <w:rtl w:val="true"/>
        </w:rPr>
        <w:t xml:space="preserve"> הורשע על פי הודאתו</w:t>
      </w:r>
      <w:r>
        <w:rPr>
          <w:rtl w:val="true"/>
        </w:rPr>
        <w:t xml:space="preserve">, </w:t>
      </w:r>
      <w:r>
        <w:rPr>
          <w:rtl w:val="true"/>
        </w:rPr>
        <w:t>במסגרת הסדר טיעון שכלל הסכמה לעניין העונש</w:t>
      </w:r>
      <w:r>
        <w:rPr>
          <w:rtl w:val="true"/>
        </w:rPr>
        <w:t xml:space="preserve">, </w:t>
      </w:r>
      <w:r>
        <w:rPr>
          <w:rtl w:val="true"/>
        </w:rPr>
        <w:t>בעבירות של חבלה בכוונה מחמירה ובחבלה במזיד ברכב ממניע גזעני</w:t>
      </w:r>
      <w:r>
        <w:rPr>
          <w:rtl w:val="true"/>
        </w:rPr>
        <w:t xml:space="preserve">, </w:t>
      </w:r>
      <w:r>
        <w:rPr>
          <w:rtl w:val="true"/>
        </w:rPr>
        <w:t xml:space="preserve">ודינו נגזר ביום </w:t>
      </w:r>
      <w:r>
        <w:rPr/>
        <w:t>2.5.2022</w:t>
      </w:r>
      <w:r>
        <w:rPr>
          <w:rtl w:val="true"/>
        </w:rPr>
        <w:t xml:space="preserve">, </w:t>
      </w:r>
      <w:r>
        <w:rPr>
          <w:rtl w:val="true"/>
        </w:rPr>
        <w:t>ראשון מבין המעורבים באירוע</w:t>
      </w:r>
      <w:r>
        <w:rPr>
          <w:rtl w:val="true"/>
        </w:rPr>
        <w:t xml:space="preserve">. </w:t>
      </w:r>
      <w:r>
        <w:rPr>
          <w:rtl w:val="true"/>
        </w:rPr>
        <w:t>בהתאם למוסכם</w:t>
      </w:r>
      <w:r>
        <w:rPr>
          <w:rtl w:val="true"/>
        </w:rPr>
        <w:t xml:space="preserve">, </w:t>
      </w:r>
      <w:r>
        <w:rPr>
          <w:rtl w:val="true"/>
        </w:rPr>
        <w:t xml:space="preserve">הוטל עליו עונש של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וכן הופעל מאסר מותנה בן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חציו בחופף וחציו במצטבר</w:t>
      </w:r>
      <w:r>
        <w:rPr>
          <w:rtl w:val="true"/>
        </w:rPr>
        <w:t xml:space="preserve">, </w:t>
      </w:r>
      <w:r>
        <w:rPr>
          <w:rtl w:val="true"/>
        </w:rPr>
        <w:t xml:space="preserve">באופן שעונשו הכולל הועמד על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 מאסר 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 מאסר לריצוי בפועל</w:t>
      </w:r>
      <w:r>
        <w:rPr>
          <w:rtl w:val="true"/>
        </w:rPr>
        <w:t xml:space="preserve">, </w:t>
      </w:r>
      <w:r>
        <w:rPr>
          <w:rtl w:val="true"/>
        </w:rPr>
        <w:t>לצד ענישה נלווית בדמות מאסר על תנאי ופיצוי למתלונן</w:t>
      </w:r>
      <w:r>
        <w:rPr>
          <w:rtl w:val="true"/>
        </w:rPr>
        <w:t xml:space="preserve">. </w:t>
        <w:br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11.7.2022</w:t>
      </w:r>
      <w:r>
        <w:rPr>
          <w:rtl w:val="true"/>
        </w:rPr>
        <w:t xml:space="preserve">. </w:t>
      </w:r>
      <w:r>
        <w:rPr>
          <w:rtl w:val="true"/>
        </w:rPr>
        <w:t>ניסים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אזולאי</w:t>
      </w:r>
      <w:r>
        <w:rPr>
          <w:rtl w:val="true"/>
        </w:rPr>
        <w:t xml:space="preserve">),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ודירג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דרגות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",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tl w:val="true"/>
        </w:rPr>
        <w:t xml:space="preserve">, </w:t>
      </w:r>
      <w:r>
        <w:rPr>
          <w:rtl w:val="true"/>
        </w:rPr>
        <w:t>ולפעולות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נקבע 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נמנים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הדרגה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השלישית</w:t>
      </w:r>
      <w:r>
        <w:rPr>
          <w:rtl w:val="true"/>
        </w:rPr>
        <w:t xml:space="preserve">, </w:t>
      </w:r>
      <w:r>
        <w:rPr>
          <w:rtl w:val="true"/>
        </w:rPr>
        <w:t>הפחותה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12.5.2021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ונטלו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ביידוי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הדרגה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החמורה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ערבים</w:t>
      </w:r>
      <w:r>
        <w:rPr>
          <w:rtl w:val="true"/>
        </w:rPr>
        <w:t xml:space="preserve">, </w:t>
      </w:r>
      <w:r>
        <w:rPr>
          <w:rtl w:val="true"/>
        </w:rPr>
        <w:t>ולמחרת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ביידוי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; </w:t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הדרגה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החמורה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יעקב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אזולאי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לבצע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הבחנה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משמעותית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מרסס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פלפל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–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משתתפים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המשתתפים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ניסים</w:t>
      </w:r>
      <w:r>
        <w:rPr>
          <w:rtl w:val="true"/>
        </w:rPr>
        <w:t xml:space="preserve">, </w:t>
      </w:r>
      <w:r>
        <w:rPr>
          <w:rtl w:val="true"/>
        </w:rPr>
        <w:t>הנמנה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השלישית</w:t>
      </w:r>
      <w:r>
        <w:rPr>
          <w:rtl w:val="true"/>
        </w:rPr>
        <w:t xml:space="preserve">, </w:t>
      </w:r>
      <w:r>
        <w:rPr>
          <w:rtl w:val="true"/>
        </w:rPr>
        <w:t>הנע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;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br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משטי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דינו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משטי</w:t>
      </w:r>
      <w:r>
        <w:rPr>
          <w:rtl w:val="true"/>
        </w:rPr>
        <w:t xml:space="preserve"> נגזר שלישי בסדר המעורבים באירוע</w:t>
      </w:r>
      <w:r>
        <w:rPr>
          <w:rtl w:val="true"/>
        </w:rPr>
        <w:t xml:space="preserve">. </w:t>
      </w:r>
      <w:r>
        <w:rPr>
          <w:rtl w:val="true"/>
        </w:rPr>
        <w:t>בטרם גזירת דינו</w:t>
      </w:r>
      <w:r>
        <w:rPr>
          <w:rtl w:val="true"/>
        </w:rPr>
        <w:t xml:space="preserve">, </w:t>
      </w:r>
      <w:r>
        <w:rPr>
          <w:rtl w:val="true"/>
        </w:rPr>
        <w:t>הוגש תסקיר שירות מבחן בעניינו</w:t>
      </w:r>
      <w:r>
        <w:rPr>
          <w:rtl w:val="true"/>
        </w:rPr>
        <w:t xml:space="preserve">, </w:t>
      </w:r>
      <w:r>
        <w:rPr>
          <w:rtl w:val="true"/>
        </w:rPr>
        <w:t>שבסיכומו הומלץ להטיל עליו עונש מאסר לריצוי בפועל</w:t>
      </w:r>
      <w:r>
        <w:rPr>
          <w:rtl w:val="true"/>
        </w:rPr>
        <w:t xml:space="preserve">, </w:t>
      </w:r>
      <w:r>
        <w:rPr>
          <w:rtl w:val="true"/>
        </w:rPr>
        <w:t>וכן עונש מותנה ופיצוי למתלונן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5.12.2022</w:t>
      </w:r>
      <w:r>
        <w:rPr>
          <w:rtl w:val="true"/>
        </w:rPr>
        <w:t xml:space="preserve"> </w:t>
      </w:r>
      <w:r>
        <w:rPr>
          <w:rtl w:val="true"/>
        </w:rPr>
        <w:t>נשמעו טיעוני הצדדים לעונש</w:t>
      </w:r>
      <w:r>
        <w:rPr>
          <w:rtl w:val="true"/>
        </w:rPr>
        <w:t xml:space="preserve">. </w:t>
      </w:r>
      <w:r>
        <w:rPr>
          <w:rtl w:val="true"/>
        </w:rPr>
        <w:t>התביעה טענה</w:t>
      </w:r>
      <w:r>
        <w:rPr>
          <w:rtl w:val="true"/>
        </w:rPr>
        <w:t xml:space="preserve">, </w:t>
      </w:r>
      <w:r>
        <w:rPr>
          <w:rtl w:val="true"/>
        </w:rPr>
        <w:t xml:space="preserve">כי בשים לב למיקומו של משטי בדרגת החומרה השנייה שנקבעה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אזולאי</w:t>
      </w:r>
      <w:r>
        <w:rPr>
          <w:rtl w:val="true"/>
        </w:rPr>
        <w:t xml:space="preserve">, </w:t>
      </w:r>
      <w:r>
        <w:rPr>
          <w:rtl w:val="true"/>
        </w:rPr>
        <w:t xml:space="preserve">יש לקבוע בעניינו מתחם ענישה הנע בין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עוד נטען כי יש לקבוע את עונשו בחלק העליון של המתחם</w:t>
      </w:r>
      <w:r>
        <w:rPr>
          <w:rtl w:val="true"/>
        </w:rPr>
        <w:t xml:space="preserve">, </w:t>
      </w:r>
      <w:r>
        <w:rPr>
          <w:rtl w:val="true"/>
        </w:rPr>
        <w:t>תוך הפעלת שני מאסרים מותנים שהוטלו עליו במצטבר האחד לשני וכן לעונש שיוטל עליו בגין האירוע</w:t>
      </w:r>
      <w:r>
        <w:rPr>
          <w:rtl w:val="true"/>
        </w:rPr>
        <w:t xml:space="preserve">. </w:t>
      </w:r>
      <w:r>
        <w:rPr>
          <w:rtl w:val="true"/>
        </w:rPr>
        <w:t>סנגוריו של משטי</w:t>
      </w:r>
      <w:r>
        <w:rPr>
          <w:rtl w:val="true"/>
        </w:rPr>
        <w:t xml:space="preserve">, </w:t>
      </w:r>
      <w:r>
        <w:rPr>
          <w:rtl w:val="true"/>
        </w:rPr>
        <w:t xml:space="preserve">הלינו מצידם על כך שקביעת מתחם הענישה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אזולאי</w:t>
      </w:r>
      <w:r>
        <w:rPr>
          <w:rtl w:val="true"/>
        </w:rPr>
        <w:t xml:space="preserve"> נעשתה מבלי שנשמעה עמדתם</w:t>
      </w:r>
      <w:r>
        <w:rPr>
          <w:rtl w:val="true"/>
        </w:rPr>
        <w:t xml:space="preserve">, </w:t>
      </w:r>
      <w:r>
        <w:rPr>
          <w:rtl w:val="true"/>
        </w:rPr>
        <w:t>ומבלי שניתן משקל</w:t>
      </w:r>
      <w:r>
        <w:rPr>
          <w:rtl w:val="true"/>
        </w:rPr>
        <w:t xml:space="preserve">, </w:t>
      </w:r>
      <w:r>
        <w:rPr>
          <w:rtl w:val="true"/>
        </w:rPr>
        <w:t>לשיטתם</w:t>
      </w:r>
      <w:r>
        <w:rPr>
          <w:rtl w:val="true"/>
        </w:rPr>
        <w:t xml:space="preserve">, </w:t>
      </w:r>
      <w:r>
        <w:rPr>
          <w:rtl w:val="true"/>
        </w:rPr>
        <w:t>לגזרי דין רלוונטיים נוספים</w:t>
      </w:r>
      <w:r>
        <w:rPr>
          <w:rtl w:val="true"/>
        </w:rPr>
        <w:t xml:space="preserve">. </w:t>
      </w:r>
      <w:r>
        <w:rPr>
          <w:rtl w:val="true"/>
        </w:rPr>
        <w:t>נטען כי בכתב האישום המתוקן לא יוחסה למשטי עבירה של קשירת קשר</w:t>
      </w:r>
      <w:r>
        <w:rPr>
          <w:rtl w:val="true"/>
        </w:rPr>
        <w:t xml:space="preserve">, </w:t>
      </w:r>
      <w:r>
        <w:rPr>
          <w:rtl w:val="true"/>
        </w:rPr>
        <w:t>ועל כן הגעתו לעיר לוד יום לפני האירוע</w:t>
      </w:r>
      <w:r>
        <w:rPr>
          <w:rtl w:val="true"/>
        </w:rPr>
        <w:t xml:space="preserve">, </w:t>
      </w:r>
      <w:r>
        <w:rPr>
          <w:rtl w:val="true"/>
        </w:rPr>
        <w:t>אינה אמורה להוות נתון מחמיר בעניינו</w:t>
      </w:r>
      <w:r>
        <w:rPr>
          <w:rtl w:val="true"/>
        </w:rPr>
        <w:t xml:space="preserve">. </w:t>
      </w:r>
      <w:r>
        <w:rPr>
          <w:rtl w:val="true"/>
        </w:rPr>
        <w:t>לבסוף נטען</w:t>
      </w:r>
      <w:r>
        <w:rPr>
          <w:rtl w:val="true"/>
        </w:rPr>
        <w:t xml:space="preserve">, </w:t>
      </w:r>
      <w:r>
        <w:rPr>
          <w:rtl w:val="true"/>
        </w:rPr>
        <w:t>כי כתב האישום המתוקן אינו מייחס למשטי חלק פעיל באירוע וחלקו מסתכם רק בנוכחות במקום</w:t>
      </w:r>
      <w:r>
        <w:rPr>
          <w:rtl w:val="true"/>
        </w:rPr>
        <w:t xml:space="preserve">. </w:t>
      </w:r>
      <w:r>
        <w:rPr>
          <w:rtl w:val="true"/>
        </w:rPr>
        <w:t xml:space="preserve">על רקע זה נטען כי יש לקבוע בעניינו מתחם ענישה שנע בין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ולקבוע את עונשו בחלק הנמוך של המתחם</w:t>
      </w:r>
      <w:r>
        <w:rPr>
          <w:rtl w:val="true"/>
        </w:rPr>
        <w:t xml:space="preserve">. </w:t>
        <w:br/>
        <w:t xml:space="preserve">   </w:t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בפתח גזר דינו של משטי – העומד במוקד ערעורו – עמד בית המשפט המחוזי על הערכים המוגנים שנפגעו כתוצאה מהאירוע</w:t>
      </w:r>
      <w:r>
        <w:rPr>
          <w:rtl w:val="true"/>
        </w:rPr>
        <w:t xml:space="preserve">, </w:t>
      </w:r>
      <w:r>
        <w:rPr>
          <w:rtl w:val="true"/>
        </w:rPr>
        <w:t>שבוצע ממניע גזעני</w:t>
      </w:r>
      <w:r>
        <w:rPr>
          <w:rtl w:val="true"/>
        </w:rPr>
        <w:t>-</w:t>
      </w:r>
      <w:r>
        <w:rPr>
          <w:rtl w:val="true"/>
        </w:rPr>
        <w:t>לאומני</w:t>
      </w:r>
      <w:r>
        <w:rPr>
          <w:rtl w:val="true"/>
        </w:rPr>
        <w:t xml:space="preserve">, </w:t>
      </w:r>
      <w:r>
        <w:rPr>
          <w:rtl w:val="true"/>
        </w:rPr>
        <w:t>תוך שציין כי מדובר באירוע חמור</w:t>
      </w:r>
      <w:r>
        <w:rPr>
          <w:rtl w:val="true"/>
        </w:rPr>
        <w:t xml:space="preserve">, </w:t>
      </w:r>
      <w:r>
        <w:rPr>
          <w:rtl w:val="true"/>
        </w:rPr>
        <w:t>אלים ומביש</w:t>
      </w:r>
      <w:r>
        <w:rPr>
          <w:rtl w:val="true"/>
        </w:rPr>
        <w:t xml:space="preserve">, </w:t>
      </w:r>
      <w:r>
        <w:rPr>
          <w:rtl w:val="true"/>
        </w:rPr>
        <w:t>שעומד בסתירה לערכי יסוד בסיסיים של העם היהודי ושל מדינת ישראל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שב על קביעתו מעניין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אזולאי</w:t>
      </w:r>
      <w:r>
        <w:rPr>
          <w:rtl w:val="true"/>
        </w:rPr>
        <w:t xml:space="preserve"> שלפיה אין מקום לדקדק בהבחנות </w:t>
      </w:r>
      <w:r>
        <w:rPr>
          <w:rtl w:val="true"/>
        </w:rPr>
        <w:t>'</w:t>
      </w:r>
      <w:r>
        <w:rPr>
          <w:rtl w:val="true"/>
        </w:rPr>
        <w:t>דקות</w:t>
      </w:r>
      <w:r>
        <w:rPr>
          <w:rtl w:val="true"/>
        </w:rPr>
        <w:t xml:space="preserve">' </w:t>
      </w:r>
      <w:r>
        <w:rPr>
          <w:rtl w:val="true"/>
        </w:rPr>
        <w:t>לגבי חלקו של כל מעורב ומעורב באירוע</w:t>
      </w:r>
      <w:r>
        <w:rPr>
          <w:rtl w:val="true"/>
        </w:rPr>
        <w:t xml:space="preserve">, </w:t>
      </w:r>
      <w:r>
        <w:rPr>
          <w:rtl w:val="true"/>
        </w:rPr>
        <w:t xml:space="preserve">שעה שמדובר באירוע בעל סממנים של </w:t>
      </w:r>
      <w:r>
        <w:rPr>
          <w:rtl w:val="true"/>
        </w:rPr>
        <w:t>"</w:t>
      </w:r>
      <w:r>
        <w:rPr>
          <w:rtl w:val="true"/>
        </w:rPr>
        <w:t>לינץ</w:t>
      </w:r>
      <w:r>
        <w:rPr>
          <w:rtl w:val="true"/>
        </w:rPr>
        <w:t xml:space="preserve">'", </w:t>
      </w:r>
      <w:r>
        <w:rPr>
          <w:rtl w:val="true"/>
        </w:rPr>
        <w:t>ומקום שאין פער משמעותי בין מעשיהם של המעורבים השונים</w:t>
      </w:r>
      <w:r>
        <w:rPr>
          <w:rtl w:val="true"/>
        </w:rPr>
        <w:t xml:space="preserve">. </w:t>
      </w:r>
      <w:r>
        <w:rPr>
          <w:rtl w:val="true"/>
        </w:rPr>
        <w:t>ביחס למעשיו של משטי נקבע</w:t>
      </w:r>
      <w:r>
        <w:rPr>
          <w:rtl w:val="true"/>
        </w:rPr>
        <w:t xml:space="preserve">, </w:t>
      </w:r>
      <w:r>
        <w:rPr>
          <w:rtl w:val="true"/>
        </w:rPr>
        <w:t>כי אין לקבל את טענת סנגוריו שלפיה הוא לא נטל חלק ביידוי האבנים</w:t>
      </w:r>
      <w:r>
        <w:rPr>
          <w:rtl w:val="true"/>
        </w:rPr>
        <w:t xml:space="preserve">, </w:t>
      </w:r>
      <w:r>
        <w:rPr>
          <w:rtl w:val="true"/>
        </w:rPr>
        <w:t>שעה שכתב האישום המתוקן נוקט בלשון שאינה שוללת אפשרות זו</w:t>
      </w:r>
      <w:r>
        <w:rPr>
          <w:rtl w:val="true"/>
        </w:rPr>
        <w:t xml:space="preserve">. </w:t>
      </w: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>נקבע כי משטי היה זה אשר קרא לחבורה לנוע קדימה</w:t>
      </w:r>
      <w:r>
        <w:rPr>
          <w:rtl w:val="true"/>
        </w:rPr>
        <w:t xml:space="preserve">, </w:t>
      </w:r>
      <w:r>
        <w:rPr>
          <w:rtl w:val="true"/>
        </w:rPr>
        <w:t>לאחר שניידת המשטרה עזבה את המקום – ובנסיבות אלה</w:t>
      </w:r>
      <w:r>
        <w:rPr>
          <w:rtl w:val="true"/>
        </w:rPr>
        <w:t xml:space="preserve">, </w:t>
      </w:r>
      <w:r>
        <w:rPr>
          <w:rtl w:val="true"/>
        </w:rPr>
        <w:t>לא ניתן לראותו כמי שחלקו באירוע היה פסיבי לחלוטין</w:t>
      </w:r>
      <w:r>
        <w:rPr>
          <w:rtl w:val="true"/>
        </w:rPr>
        <w:t xml:space="preserve">. </w:t>
      </w:r>
      <w:r>
        <w:rPr>
          <w:rtl w:val="true"/>
        </w:rPr>
        <w:t>על רקע זה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בנזק שנגרם למתלונן</w:t>
      </w:r>
      <w:r>
        <w:rPr>
          <w:rtl w:val="true"/>
        </w:rPr>
        <w:t xml:space="preserve">, </w:t>
      </w:r>
      <w:r>
        <w:rPr>
          <w:rtl w:val="true"/>
        </w:rPr>
        <w:t>במדיניות הענישה במקרים דומים ובעונשים שהוטלו על יעקב וניסים – נקבע שיש למקם את משטי בדרגת החומרה השנייה</w:t>
      </w:r>
      <w:r>
        <w:rPr>
          <w:rtl w:val="true"/>
        </w:rPr>
        <w:t xml:space="preserve">, </w:t>
      </w:r>
      <w:r>
        <w:rPr>
          <w:rtl w:val="true"/>
        </w:rPr>
        <w:t xml:space="preserve">ולקבוע בעניינו מתחם ענישה הנע בין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>.</w:t>
        <w:br/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לקביעת העונש בתוך המתחם</w:t>
      </w:r>
      <w:r>
        <w:rPr>
          <w:rtl w:val="true"/>
        </w:rPr>
        <w:t xml:space="preserve">, </w:t>
      </w:r>
      <w:r>
        <w:rPr>
          <w:rtl w:val="true"/>
        </w:rPr>
        <w:t>בית המשפט המחוזי נתן דעתו להודאתו של משטי ולקבלת האחריות למעשים</w:t>
      </w:r>
      <w:r>
        <w:rPr>
          <w:rtl w:val="true"/>
        </w:rPr>
        <w:t xml:space="preserve">, </w:t>
      </w:r>
      <w:r>
        <w:rPr>
          <w:rtl w:val="true"/>
        </w:rPr>
        <w:t>לנתוניו האישיים בהם גילו הצעיר</w:t>
      </w:r>
      <w:r>
        <w:rPr>
          <w:rtl w:val="true"/>
        </w:rPr>
        <w:t xml:space="preserve">, </w:t>
      </w:r>
      <w:r>
        <w:rPr>
          <w:rtl w:val="true"/>
        </w:rPr>
        <w:t>ולתקופה הממושכת שבה היה נתון במעצר</w:t>
      </w:r>
      <w:r>
        <w:rPr>
          <w:rtl w:val="true"/>
        </w:rPr>
        <w:t xml:space="preserve">. </w:t>
      </w:r>
      <w:r>
        <w:rPr>
          <w:rtl w:val="true"/>
        </w:rPr>
        <w:t>לצד האמור</w:t>
      </w:r>
      <w:r>
        <w:rPr>
          <w:rtl w:val="true"/>
        </w:rPr>
        <w:t xml:space="preserve">, </w:t>
      </w:r>
      <w:r>
        <w:rPr>
          <w:rtl w:val="true"/>
        </w:rPr>
        <w:t>עמד בית המשפט המחוזי גם על עברו הפלילי של משטי – הכולל שתי הרשעות קודמות בעבירות אלימות</w:t>
      </w:r>
      <w:r>
        <w:rPr>
          <w:rtl w:val="true"/>
        </w:rPr>
        <w:t xml:space="preserve">, </w:t>
      </w:r>
      <w:r>
        <w:rPr>
          <w:rtl w:val="true"/>
        </w:rPr>
        <w:t xml:space="preserve">אשר בגין כל אחת מהן הושת עליו עונש של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 מאסר בעבודות שירות ומאסר מותנה – ועל העובדה כי ביצע את העבירות הנוכחיות שעה שתלויים ועומדים נגדו שני מאסרים מותנים</w:t>
      </w:r>
      <w:r>
        <w:rPr>
          <w:rtl w:val="true"/>
        </w:rPr>
        <w:t xml:space="preserve">, </w:t>
      </w:r>
      <w:r>
        <w:rPr>
          <w:rtl w:val="true"/>
        </w:rPr>
        <w:t>ובטרם סיים לרצות את עבודות השירות שהוטלו עליו באחד התיקים האמורים</w:t>
      </w:r>
      <w:r>
        <w:rPr>
          <w:rtl w:val="true"/>
        </w:rPr>
        <w:t xml:space="preserve">. </w:t>
      </w:r>
      <w:r>
        <w:rPr>
          <w:rtl w:val="true"/>
        </w:rPr>
        <w:t>לנוכח כל האמור</w:t>
      </w:r>
      <w:r>
        <w:rPr>
          <w:rtl w:val="true"/>
        </w:rPr>
        <w:t xml:space="preserve">, </w:t>
      </w:r>
      <w:r>
        <w:rPr>
          <w:rtl w:val="true"/>
        </w:rPr>
        <w:t>הוטלו על משטי העונשים הבאים</w:t>
      </w:r>
      <w:r>
        <w:rPr>
          <w:rtl w:val="true"/>
        </w:rPr>
        <w:t xml:space="preserve">: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חודשי מאסר לריצוי בפועל</w:t>
      </w:r>
      <w:r>
        <w:rPr>
          <w:rtl w:val="true"/>
        </w:rPr>
        <w:t xml:space="preserve">; </w:t>
      </w:r>
      <w:r>
        <w:rPr>
          <w:rtl w:val="true"/>
        </w:rPr>
        <w:t xml:space="preserve">הפעלת מאסרים מותנים בני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שירוצו בחופף זה לזה</w:t>
      </w:r>
      <w:r>
        <w:rPr>
          <w:rtl w:val="true"/>
        </w:rPr>
        <w:t xml:space="preserve">, </w:t>
      </w:r>
      <w:r>
        <w:rPr>
          <w:rtl w:val="true"/>
        </w:rPr>
        <w:t>ובחופף ובמצטבר לעונש העיקרי</w:t>
      </w:r>
      <w:r>
        <w:rPr>
          <w:rtl w:val="true"/>
        </w:rPr>
        <w:t xml:space="preserve">, </w:t>
      </w:r>
      <w:r>
        <w:rPr>
          <w:rtl w:val="true"/>
        </w:rPr>
        <w:t xml:space="preserve">כך שבסך הכול ירצה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בניכוי תקופת מעצרו</w:t>
      </w:r>
      <w:r>
        <w:rPr>
          <w:rtl w:val="true"/>
        </w:rPr>
        <w:t xml:space="preserve">; </w:t>
      </w:r>
      <w:r>
        <w:rPr>
          <w:rtl w:val="true"/>
        </w:rPr>
        <w:t>מאסרים על תנאי</w:t>
      </w:r>
      <w:r>
        <w:rPr>
          <w:rtl w:val="true"/>
        </w:rPr>
        <w:t xml:space="preserve">; </w:t>
      </w:r>
      <w:r>
        <w:rPr>
          <w:rtl w:val="true"/>
        </w:rPr>
        <w:t xml:space="preserve">קנס בסך </w:t>
      </w:r>
      <w:r>
        <w:rPr/>
        <w:t>1,000</w:t>
      </w:r>
      <w:r>
        <w:rPr>
          <w:rtl w:val="true"/>
        </w:rPr>
        <w:t xml:space="preserve"> ₪, </w:t>
      </w:r>
      <w:r>
        <w:rPr>
          <w:rtl w:val="true"/>
        </w:rPr>
        <w:t xml:space="preserve">ופיצוי למתלונן בסך </w:t>
      </w:r>
      <w:r>
        <w:rPr/>
        <w:t>10,000</w:t>
      </w:r>
      <w:r>
        <w:rPr>
          <w:rtl w:val="true"/>
        </w:rPr>
        <w:t xml:space="preserve"> ₪.</w:t>
        <w:br/>
        <w:br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כרמלי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והנאשמים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cs="Miriam" w:ascii="Century" w:hAnsi="Century"/>
          <w:b/>
          <w:spacing w:val="0"/>
          <w:sz w:val="22"/>
          <w:szCs w:val="24"/>
        </w:rPr>
        <w:t>4</w:t>
      </w:r>
      <w:r>
        <w:rPr>
          <w:rtl w:val="true"/>
        </w:rPr>
        <w:br/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גזר הדין האחרון בפרשה ניתן בעניינם של כרמלי והנאשמים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(</w:t>
      </w:r>
      <w:r>
        <w:rPr>
          <w:rtl w:val="true"/>
        </w:rPr>
        <w:t>לשם הנוחות</w:t>
      </w:r>
      <w:r>
        <w:rPr>
          <w:rtl w:val="true"/>
        </w:rPr>
        <w:t xml:space="preserve">, </w:t>
      </w:r>
      <w:r>
        <w:rPr>
          <w:rtl w:val="true"/>
        </w:rPr>
        <w:t>יכונו יחד 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השלושה</w:t>
      </w:r>
      <w:r>
        <w:rPr>
          <w:rtl w:val="true"/>
        </w:rPr>
        <w:t xml:space="preserve">). </w:t>
      </w:r>
      <w:r>
        <w:rPr>
          <w:rtl w:val="true"/>
        </w:rPr>
        <w:t>הטיעונים לעונש נשמעו לאחר שהוגשו בעניינם תסקירי שירות מבחן</w:t>
      </w:r>
      <w:r>
        <w:rPr>
          <w:rtl w:val="true"/>
        </w:rPr>
        <w:t xml:space="preserve">, </w:t>
      </w:r>
      <w:r>
        <w:rPr>
          <w:rtl w:val="true"/>
        </w:rPr>
        <w:t>שבסיכומם המלצה להטיל עליהם ענישה בעלת אופק שיקומי בדמות מאסר לריצוי בעבודות שירות</w:t>
      </w:r>
      <w:r>
        <w:rPr>
          <w:rtl w:val="true"/>
        </w:rPr>
        <w:t xml:space="preserve">, </w:t>
      </w:r>
      <w:r>
        <w:rPr>
          <w:rtl w:val="true"/>
        </w:rPr>
        <w:t>לצד צו מבחן שיאפשר את המשך הליך השיקום בו החלו</w:t>
      </w:r>
      <w:r>
        <w:rPr>
          <w:rtl w:val="true"/>
        </w:rPr>
        <w:t xml:space="preserve">, </w:t>
      </w:r>
      <w:r>
        <w:rPr>
          <w:rtl w:val="true"/>
        </w:rPr>
        <w:t>וכן עונשים מותנים ופיצוי למתלונן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2.7.2023</w:t>
      </w:r>
      <w:r>
        <w:rPr>
          <w:rtl w:val="true"/>
        </w:rPr>
        <w:t xml:space="preserve"> </w:t>
      </w:r>
      <w:r>
        <w:rPr>
          <w:rtl w:val="true"/>
        </w:rPr>
        <w:t>נשמעו טיעונים לעונש בעניינם של השלושה</w:t>
      </w:r>
      <w:r>
        <w:rPr>
          <w:rtl w:val="true"/>
        </w:rPr>
        <w:t xml:space="preserve">. </w:t>
      </w:r>
      <w:r>
        <w:rPr>
          <w:rtl w:val="true"/>
        </w:rPr>
        <w:t xml:space="preserve">התביעה עתרה לקבוע בעניינם של הנאשמים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מתחם ענישה של </w:t>
      </w:r>
      <w:r>
        <w:rPr/>
        <w:t>50-25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בהתאם לדרגת החומרה השלישית שנקבעה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אזולאי</w:t>
      </w:r>
      <w:r>
        <w:rPr>
          <w:rtl w:val="true"/>
        </w:rPr>
        <w:t xml:space="preserve">; </w:t>
      </w:r>
      <w:r>
        <w:rPr>
          <w:rtl w:val="true"/>
        </w:rPr>
        <w:t xml:space="preserve">ובעניינו של כרמלי מתחם של </w:t>
      </w:r>
      <w:r>
        <w:rPr/>
        <w:t>52-27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בהתאם לדרגת החומרה השנייה שנקבעה בעניינו של משטי</w:t>
      </w:r>
      <w:r>
        <w:rPr>
          <w:rtl w:val="true"/>
        </w:rPr>
        <w:t xml:space="preserve">. </w:t>
      </w:r>
      <w:r>
        <w:rPr>
          <w:rtl w:val="true"/>
        </w:rPr>
        <w:t>התבקש לקבוע את עונשו של כרמלי במרכז מתחם הענישה</w:t>
      </w:r>
      <w:r>
        <w:rPr>
          <w:rtl w:val="true"/>
        </w:rPr>
        <w:t xml:space="preserve">, </w:t>
      </w:r>
      <w:r>
        <w:rPr>
          <w:rtl w:val="true"/>
        </w:rPr>
        <w:t xml:space="preserve">ואת עונשם של הנאשמים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בחלק התחתון של המתחם</w:t>
      </w:r>
      <w:r>
        <w:rPr>
          <w:rtl w:val="true"/>
        </w:rPr>
        <w:t xml:space="preserve">. </w:t>
      </w:r>
      <w:r>
        <w:rPr>
          <w:rtl w:val="true"/>
        </w:rPr>
        <w:t>סניגוריהם של השלושה סברו מצידם כי מתחמי הענישה שנקבעו בגזרי הדין הקודמים חמורים יתר על המידה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tl w:val="true"/>
        </w:rPr>
        <w:t xml:space="preserve">, </w:t>
      </w:r>
      <w:r>
        <w:rPr>
          <w:rtl w:val="true"/>
        </w:rPr>
        <w:t>אם יאומצו במקרה הנדון</w:t>
      </w:r>
      <w:r>
        <w:rPr>
          <w:rtl w:val="true"/>
        </w:rPr>
        <w:t xml:space="preserve">, </w:t>
      </w:r>
      <w:r>
        <w:rPr>
          <w:rtl w:val="true"/>
        </w:rPr>
        <w:t>יש מקום לסטות מהם מטעמי שיקום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בגזר הדין – העומד במוקד ערעורו של כרמלי – שב בית המשפט המחוזי על הקביעות שקבע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אזולאי</w:t>
      </w:r>
      <w:r>
        <w:rPr>
          <w:rtl w:val="true"/>
        </w:rPr>
        <w:t xml:space="preserve"> ובעניינו של משטי</w:t>
      </w:r>
      <w:r>
        <w:rPr>
          <w:rtl w:val="true"/>
        </w:rPr>
        <w:t xml:space="preserve">, </w:t>
      </w:r>
      <w:r>
        <w:rPr>
          <w:rtl w:val="true"/>
        </w:rPr>
        <w:t>בהתייחס לערכים המוגנים שנפגעו באירוע</w:t>
      </w:r>
      <w:r>
        <w:rPr>
          <w:rtl w:val="true"/>
        </w:rPr>
        <w:t xml:space="preserve">; </w:t>
      </w:r>
      <w:r>
        <w:rPr>
          <w:rtl w:val="true"/>
        </w:rPr>
        <w:t>לאופן בחינת מעשיהם של המעורבים באירוע</w:t>
      </w:r>
      <w:r>
        <w:rPr>
          <w:rtl w:val="true"/>
        </w:rPr>
        <w:t xml:space="preserve">; </w:t>
      </w:r>
      <w:r>
        <w:rPr>
          <w:rtl w:val="true"/>
        </w:rPr>
        <w:t>ולמדיניות הענישה במקרים דומים</w:t>
      </w:r>
      <w:r>
        <w:rPr>
          <w:rtl w:val="true"/>
        </w:rPr>
        <w:t xml:space="preserve">. </w:t>
      </w:r>
      <w:r>
        <w:rPr>
          <w:rtl w:val="true"/>
        </w:rPr>
        <w:t>לאחר שקלול הנתונים</w:t>
      </w:r>
      <w:r>
        <w:rPr>
          <w:rtl w:val="true"/>
        </w:rPr>
        <w:t xml:space="preserve">, </w:t>
      </w:r>
      <w:r>
        <w:rPr>
          <w:rtl w:val="true"/>
        </w:rPr>
        <w:t xml:space="preserve">נקבע בעניינם של הנאשמים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מתחם ענישה הנע בין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בהתאם לדרגת החומרה השלישית</w:t>
      </w:r>
      <w:r>
        <w:rPr>
          <w:rtl w:val="true"/>
        </w:rPr>
        <w:t xml:space="preserve">; </w:t>
      </w:r>
      <w:r>
        <w:rPr>
          <w:rtl w:val="true"/>
        </w:rPr>
        <w:t xml:space="preserve">ובעניינו של כרמלי נקבע מתחם ענישה הנע בין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בהתאם לדרגת החומרה השנייה</w:t>
      </w:r>
      <w:r>
        <w:rPr>
          <w:rtl w:val="true"/>
        </w:rPr>
        <w:t xml:space="preserve">. </w:t>
      </w:r>
      <w:r>
        <w:rPr>
          <w:rtl w:val="true"/>
        </w:rPr>
        <w:t>אשר לקביעת העונש המתאים בתוך המתחם</w:t>
      </w:r>
      <w:r>
        <w:rPr>
          <w:rtl w:val="true"/>
        </w:rPr>
        <w:t xml:space="preserve">, </w:t>
      </w:r>
      <w:r>
        <w:rPr>
          <w:rtl w:val="true"/>
        </w:rPr>
        <w:t>בית המשפט המחוזי קבע כי יש לבחון את עניינם של השלושה בשני שלבים</w:t>
      </w:r>
      <w:r>
        <w:rPr>
          <w:rtl w:val="true"/>
        </w:rPr>
        <w:t xml:space="preserve">: </w:t>
      </w:r>
      <w:r>
        <w:rPr>
          <w:rtl w:val="true"/>
        </w:rPr>
        <w:t>בשלב הראשון</w:t>
      </w:r>
      <w:r>
        <w:rPr>
          <w:rtl w:val="true"/>
        </w:rPr>
        <w:t xml:space="preserve">, </w:t>
      </w:r>
      <w:r>
        <w:rPr>
          <w:rtl w:val="true"/>
        </w:rPr>
        <w:t>בהתאם לנסיבות שאינן קשורות לביצוע העבירה</w:t>
      </w:r>
      <w:r>
        <w:rPr>
          <w:rtl w:val="true"/>
        </w:rPr>
        <w:t xml:space="preserve">, </w:t>
      </w:r>
      <w:r>
        <w:rPr>
          <w:rtl w:val="true"/>
        </w:rPr>
        <w:t>ללא התחשבות בהליכי השיקום</w:t>
      </w:r>
      <w:r>
        <w:rPr>
          <w:rtl w:val="true"/>
        </w:rPr>
        <w:t xml:space="preserve">; </w:t>
      </w:r>
      <w:r>
        <w:rPr>
          <w:rtl w:val="true"/>
        </w:rPr>
        <w:t>ובשלב השני</w:t>
      </w:r>
      <w:r>
        <w:rPr>
          <w:rtl w:val="true"/>
        </w:rPr>
        <w:t xml:space="preserve">, </w:t>
      </w:r>
      <w:r>
        <w:rPr>
          <w:rtl w:val="true"/>
        </w:rPr>
        <w:t>תוך בחינת משקלו והשפעתו של ההליך השיקומי על העונש שנקבע בשלב הראשון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לקביעת העונש ההולם ללא התחשבות בהליכי שיקום – בית המשפט המחוזי ציין כי השלושה נטלו אחריות מלאה למעשיהם והודו בשלב מוקדם של ההליך</w:t>
      </w:r>
      <w:r>
        <w:rPr>
          <w:rtl w:val="true"/>
        </w:rPr>
        <w:t xml:space="preserve">; </w:t>
      </w:r>
      <w:r>
        <w:rPr>
          <w:rtl w:val="true"/>
        </w:rPr>
        <w:t>שלושתם צעירים בגילם</w:t>
      </w:r>
      <w:r>
        <w:rPr>
          <w:rtl w:val="true"/>
        </w:rPr>
        <w:t xml:space="preserve">, </w:t>
      </w:r>
      <w:r>
        <w:rPr>
          <w:rtl w:val="true"/>
        </w:rPr>
        <w:t xml:space="preserve">ילידי שנת </w:t>
      </w:r>
      <w:r>
        <w:rPr/>
        <w:t>1999</w:t>
      </w:r>
      <w:r>
        <w:rPr>
          <w:rtl w:val="true"/>
        </w:rPr>
        <w:t xml:space="preserve"> </w:t>
      </w:r>
      <w:r>
        <w:rPr>
          <w:rtl w:val="true"/>
        </w:rPr>
        <w:t xml:space="preserve">ובני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במועד ביצוע העבירות</w:t>
      </w:r>
      <w:r>
        <w:rPr>
          <w:rtl w:val="true"/>
        </w:rPr>
        <w:t xml:space="preserve">; </w:t>
      </w:r>
      <w:r>
        <w:rPr>
          <w:rtl w:val="true"/>
        </w:rPr>
        <w:t xml:space="preserve">לכרמלי ולנאשם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אין הרשעות קודמות</w:t>
      </w:r>
      <w:r>
        <w:rPr>
          <w:rtl w:val="true"/>
        </w:rPr>
        <w:t xml:space="preserve">, </w:t>
      </w:r>
      <w:r>
        <w:rPr>
          <w:rtl w:val="true"/>
        </w:rPr>
        <w:t xml:space="preserve">בעוד שלנאשם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רישום ללא הרשעה בעבירות סמים מגיל </w:t>
      </w:r>
      <w:r>
        <w:rPr/>
        <w:t>16</w:t>
      </w:r>
      <w:r>
        <w:rPr>
          <w:rtl w:val="true"/>
        </w:rPr>
        <w:t xml:space="preserve">. </w:t>
      </w:r>
      <w:r>
        <w:rPr>
          <w:rtl w:val="true"/>
        </w:rPr>
        <w:t>נקבע כי נתונים אלה מצדיקים את אימוץ הרף התחתון של המתחם שנקבע</w:t>
      </w:r>
      <w:r>
        <w:rPr>
          <w:rtl w:val="true"/>
        </w:rPr>
        <w:t xml:space="preserve">, </w:t>
      </w:r>
      <w:r>
        <w:rPr>
          <w:rtl w:val="true"/>
        </w:rPr>
        <w:t>כך שללא התחשבות בהליכי שיקום</w:t>
      </w:r>
      <w:r>
        <w:rPr>
          <w:rtl w:val="true"/>
        </w:rPr>
        <w:t xml:space="preserve">, </w:t>
      </w:r>
      <w:r>
        <w:rPr>
          <w:rtl w:val="true"/>
        </w:rPr>
        <w:t xml:space="preserve">היה מקום לגזור את דינם של 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חודשי מאסר לריצוי בפועל</w:t>
      </w:r>
      <w:r>
        <w:rPr>
          <w:rtl w:val="true"/>
        </w:rPr>
        <w:t xml:space="preserve">; </w:t>
      </w:r>
      <w:r>
        <w:rPr>
          <w:rtl w:val="true"/>
        </w:rPr>
        <w:t>ואת דינו של כרמלי ל</w:t>
      </w:r>
      <w:r>
        <w:rPr>
          <w:rtl w:val="true"/>
        </w:rPr>
        <w:t>-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 מאסר לריצוי בפועל</w:t>
      </w:r>
      <w:r>
        <w:rPr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למשקלם של הליכי השיקום – בית המשפט המחוזי סקר את תסקירי שירות המבחן המתארים את הליכי השיקום בהם שולבו השלושה וקבע</w:t>
      </w:r>
      <w:r>
        <w:rPr>
          <w:rtl w:val="true"/>
        </w:rPr>
        <w:t xml:space="preserve">, </w:t>
      </w:r>
      <w:r>
        <w:rPr>
          <w:rtl w:val="true"/>
        </w:rPr>
        <w:t>כי יש מקום להתחשבות בהליכי השיקום</w:t>
      </w:r>
      <w:r>
        <w:rPr>
          <w:rtl w:val="true"/>
        </w:rPr>
        <w:t xml:space="preserve">, </w:t>
      </w:r>
      <w:r>
        <w:rPr>
          <w:rtl w:val="true"/>
        </w:rPr>
        <w:t>גם בדרך של סטייה ממתחם העונש ההולם</w:t>
      </w:r>
      <w:r>
        <w:rPr>
          <w:rtl w:val="true"/>
        </w:rPr>
        <w:t xml:space="preserve">. </w:t>
      </w:r>
      <w:r>
        <w:rPr>
          <w:rtl w:val="true"/>
        </w:rPr>
        <w:t>לצד זאת נקבע</w:t>
      </w:r>
      <w:r>
        <w:rPr>
          <w:rtl w:val="true"/>
        </w:rPr>
        <w:t xml:space="preserve">, </w:t>
      </w:r>
      <w:r>
        <w:rPr>
          <w:rtl w:val="true"/>
        </w:rPr>
        <w:t>כי אין בכך כדי להוביל לתוצאה עונשית המאפשרת ריצוי מאסר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>כפי שהומלץ על</w:t>
      </w:r>
      <w:r>
        <w:rPr>
          <w:rtl w:val="true"/>
        </w:rPr>
        <w:t>-</w:t>
      </w:r>
      <w:r>
        <w:rPr>
          <w:rtl w:val="true"/>
        </w:rPr>
        <w:t>ידי שירות המבחן</w:t>
      </w:r>
      <w:r>
        <w:rPr>
          <w:rtl w:val="true"/>
        </w:rPr>
        <w:t xml:space="preserve">. </w:t>
      </w:r>
      <w:r>
        <w:rPr>
          <w:rtl w:val="true"/>
        </w:rPr>
        <w:t xml:space="preserve">לעניין מידת הסטייה מן המתחם נמצא להבחין בין עניינם של הנאשמים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לבין עניינו של כרמלי</w:t>
      </w:r>
      <w:r>
        <w:rPr>
          <w:rtl w:val="true"/>
        </w:rPr>
        <w:t xml:space="preserve">. </w:t>
      </w:r>
      <w:r>
        <w:rPr>
          <w:rtl w:val="true"/>
        </w:rPr>
        <w:t>בית המשפט המחוזי נימק את ההבחנה האמורה בנסיגה בהליך השיקומי שאירעה בעניינו של כרמלי</w:t>
      </w:r>
      <w:r>
        <w:rPr>
          <w:rtl w:val="true"/>
        </w:rPr>
        <w:t xml:space="preserve">, </w:t>
      </w:r>
      <w:r>
        <w:rPr>
          <w:rtl w:val="true"/>
        </w:rPr>
        <w:t>כמפורט להלן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אירעה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כרמלי</w:t>
      </w:r>
      <w:r>
        <w:rPr>
          <w:rtl w:val="true"/>
        </w:rPr>
        <w:t xml:space="preserve">], </w:t>
      </w:r>
      <w:r>
        <w:rPr>
          <w:rtl w:val="true"/>
        </w:rPr>
        <w:t>שבאה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 </w:t>
      </w:r>
      <w:r>
        <w:rPr>
          <w:rtl w:val="true"/>
        </w:rPr>
        <w:t>והובילה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ולמעצרו</w:t>
      </w:r>
      <w:r>
        <w:rPr>
          <w:rtl w:val="true"/>
        </w:rPr>
        <w:t xml:space="preserve">.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ששמעתי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רחוק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הישגיו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  </w:t>
        <w:br/>
      </w:r>
    </w:p>
    <w:p>
      <w:pPr>
        <w:pStyle w:val="Ruller5"/>
        <w:ind w:end="1276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>השית בית המשפט המחוזי על השלושה את העונשים הבאים</w:t>
      </w:r>
      <w:r>
        <w:rPr>
          <w:rtl w:val="true"/>
        </w:rPr>
        <w:t xml:space="preserve">: </w:t>
      </w:r>
      <w:r>
        <w:rPr>
          <w:rtl w:val="true"/>
        </w:rPr>
        <w:t xml:space="preserve">על הנאשמים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הושת עונש של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 מאסר לריצוי בפועל בניכוי ימי מעצרם</w:t>
      </w:r>
      <w:r>
        <w:rPr>
          <w:rtl w:val="true"/>
        </w:rPr>
        <w:t xml:space="preserve">; </w:t>
      </w:r>
      <w:r>
        <w:rPr>
          <w:rtl w:val="true"/>
        </w:rPr>
        <w:t xml:space="preserve">על כרמלי הושת עונש של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חודשי מאסר לריצוי בפועל בניכוי ימי מעצרו</w:t>
      </w:r>
      <w:r>
        <w:rPr>
          <w:rtl w:val="true"/>
        </w:rPr>
        <w:t xml:space="preserve">; </w:t>
      </w:r>
      <w:r>
        <w:rPr>
          <w:rtl w:val="true"/>
        </w:rPr>
        <w:t>בנוסף לכך</w:t>
      </w:r>
      <w:r>
        <w:rPr>
          <w:rtl w:val="true"/>
        </w:rPr>
        <w:t xml:space="preserve">, </w:t>
      </w:r>
      <w:r>
        <w:rPr>
          <w:rtl w:val="true"/>
        </w:rPr>
        <w:t>הושתו על השלושה מאסרים מותנים</w:t>
      </w:r>
      <w:r>
        <w:rPr>
          <w:rtl w:val="true"/>
        </w:rPr>
        <w:t xml:space="preserve">, </w:t>
      </w:r>
      <w:r>
        <w:rPr>
          <w:rtl w:val="true"/>
        </w:rPr>
        <w:t>קנס ופיצוי למתלונן – הזהים לאלה שהושתו על משטי</w:t>
      </w:r>
      <w:r>
        <w:rPr>
          <w:rtl w:val="true"/>
        </w:rPr>
        <w:t xml:space="preserve">. </w:t>
        <w:br/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מכאן הערעורים שהגישו משטי וכרמלי על חומרת העונש שהוטל עליהם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br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בערעורים</w:t>
      </w:r>
      <w:r>
        <w:rPr>
          <w:rtl w:val="true"/>
        </w:rPr>
        <w:t xml:space="preserve"> </w:t>
      </w:r>
      <w:r>
        <w:rPr>
          <w:rtl w:val="true"/>
        </w:rPr>
        <w:br/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משטי חוזר בערעורו על הטענות שהעלה לפני בית המשפט המחוזי</w:t>
      </w:r>
      <w:r>
        <w:rPr>
          <w:rtl w:val="true"/>
        </w:rPr>
        <w:t xml:space="preserve">.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הוא טוען כי חלקו באירוע מינורי ומסתכם בעצם נוכחותו במקום</w:t>
      </w:r>
      <w:r>
        <w:rPr>
          <w:rtl w:val="true"/>
        </w:rPr>
        <w:t xml:space="preserve">, </w:t>
      </w:r>
      <w:r>
        <w:rPr>
          <w:rtl w:val="true"/>
        </w:rPr>
        <w:t>מבלי שמיוחסים לו מעשים שגרמו באופן ישיר לפציעת המתלונן</w:t>
      </w:r>
      <w:r>
        <w:rPr>
          <w:rtl w:val="true"/>
        </w:rPr>
        <w:t xml:space="preserve">; </w:t>
      </w:r>
      <w:r>
        <w:rPr>
          <w:rtl w:val="true"/>
        </w:rPr>
        <w:t>כי בית המשפט המחוזי קיפח אותו ואת הנאשמים האחרים</w:t>
      </w:r>
      <w:r>
        <w:rPr>
          <w:rtl w:val="true"/>
        </w:rPr>
        <w:t xml:space="preserve">, </w:t>
      </w:r>
      <w:r>
        <w:rPr>
          <w:rtl w:val="true"/>
        </w:rPr>
        <w:t xml:space="preserve">שעה שקבע את מתחמי הענישה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אזולאי</w:t>
      </w:r>
      <w:r>
        <w:rPr>
          <w:rtl w:val="true"/>
        </w:rPr>
        <w:t xml:space="preserve"> באופן שיצר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>, '</w:t>
      </w:r>
      <w:r>
        <w:rPr>
          <w:rtl w:val="true"/>
        </w:rPr>
        <w:t>מעשה עשוי</w:t>
      </w:r>
      <w:r>
        <w:rPr>
          <w:rtl w:val="true"/>
        </w:rPr>
        <w:t xml:space="preserve">'; </w:t>
      </w:r>
      <w:r>
        <w:rPr>
          <w:rtl w:val="true"/>
        </w:rPr>
        <w:t>כי לא היה מקום לקבוע דרגת חומרה שנייה בהתחשב בקשר שקשרו יעקב והמערערים עובר לאירוע</w:t>
      </w:r>
      <w:r>
        <w:rPr>
          <w:rtl w:val="true"/>
        </w:rPr>
        <w:t xml:space="preserve">, </w:t>
      </w:r>
      <w:r>
        <w:rPr>
          <w:rtl w:val="true"/>
        </w:rPr>
        <w:t>שעה שלא יוחסה להם עבירה של קשירת קשר</w:t>
      </w:r>
      <w:r>
        <w:rPr>
          <w:rtl w:val="true"/>
        </w:rPr>
        <w:t xml:space="preserve">; </w:t>
      </w:r>
      <w:r>
        <w:rPr>
          <w:rtl w:val="true"/>
        </w:rPr>
        <w:t>וכי בית המשפט המחוזי התעלם מגזרי דין רלוונטיים אשר נקטו בענישה מקלה בהרבה</w:t>
      </w:r>
      <w:r>
        <w:rPr>
          <w:rtl w:val="true"/>
        </w:rPr>
        <w:t xml:space="preserve">. </w:t>
      </w:r>
      <w:r>
        <w:rPr>
          <w:rtl w:val="true"/>
        </w:rPr>
        <w:t>על רקע האמור טען משטי</w:t>
      </w:r>
      <w:r>
        <w:rPr>
          <w:rtl w:val="true"/>
        </w:rPr>
        <w:t xml:space="preserve">, </w:t>
      </w:r>
      <w:r>
        <w:rPr>
          <w:rtl w:val="true"/>
        </w:rPr>
        <w:t xml:space="preserve">כי ראוי היה לקבוע בעניינו מתחם ענישה הנע בין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כן נטען</w:t>
      </w:r>
      <w:r>
        <w:rPr>
          <w:rtl w:val="true"/>
        </w:rPr>
        <w:t xml:space="preserve">, </w:t>
      </w:r>
      <w:r>
        <w:rPr>
          <w:rtl w:val="true"/>
        </w:rPr>
        <w:t xml:space="preserve">כי האירוע מושא האישום התרחש על רקע מציאות אשר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דחקה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האזרחים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והמעורבים באירוע</w:t>
      </w:r>
      <w:r>
        <w:rPr>
          <w:rtl w:val="true"/>
        </w:rPr>
        <w:t xml:space="preserve">, </w:t>
      </w:r>
      <w:r>
        <w:rPr>
          <w:rtl w:val="true"/>
        </w:rPr>
        <w:t>ומשטי בתוכם</w:t>
      </w:r>
      <w:r>
        <w:rPr>
          <w:rtl w:val="true"/>
        </w:rPr>
        <w:t xml:space="preserve">, </w:t>
      </w:r>
      <w:r>
        <w:rPr>
          <w:rtl w:val="true"/>
        </w:rPr>
        <w:t>אינם דוגלים באידיאולוגיה קיצונית ולא פעלו ממניע גזעני מושרש</w:t>
      </w:r>
      <w:r>
        <w:rPr>
          <w:rtl w:val="true"/>
        </w:rPr>
        <w:t xml:space="preserve">. </w:t>
      </w:r>
      <w:r>
        <w:rPr>
          <w:rtl w:val="true"/>
        </w:rPr>
        <w:t>לבסוף נטען</w:t>
      </w:r>
      <w:r>
        <w:rPr>
          <w:rtl w:val="true"/>
        </w:rPr>
        <w:t xml:space="preserve">, </w:t>
      </w:r>
      <w:r>
        <w:rPr>
          <w:rtl w:val="true"/>
        </w:rPr>
        <w:t>כי היה מקום ליתן משקל רב יותר לגילו הצעיר של משטי</w:t>
      </w:r>
      <w:r>
        <w:rPr>
          <w:rtl w:val="true"/>
        </w:rPr>
        <w:t xml:space="preserve">, </w:t>
      </w:r>
      <w:r>
        <w:rPr>
          <w:rtl w:val="true"/>
        </w:rPr>
        <w:t>לנסיבותיו האישיות ולעובדה שמדובר במאסר ראשון מאחורי סורג ובריח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התבקש להקל בעונשו באופן משמעותי</w:t>
      </w:r>
      <w:r>
        <w:rPr>
          <w:rtl w:val="true"/>
        </w:rPr>
        <w:t xml:space="preserve">. </w:t>
        <w:br/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כרמלי טוען בערעורו</w:t>
      </w:r>
      <w:r>
        <w:rPr>
          <w:rtl w:val="true"/>
        </w:rPr>
        <w:t xml:space="preserve">, </w:t>
      </w:r>
      <w:r>
        <w:rPr>
          <w:rtl w:val="true"/>
        </w:rPr>
        <w:t>כי לנוכח ההליך השיקומי שעבר</w:t>
      </w:r>
      <w:r>
        <w:rPr>
          <w:rtl w:val="true"/>
        </w:rPr>
        <w:t xml:space="preserve">, </w:t>
      </w:r>
      <w:r>
        <w:rPr>
          <w:rtl w:val="true"/>
        </w:rPr>
        <w:t>גילו הצעיר</w:t>
      </w:r>
      <w:r>
        <w:rPr>
          <w:rtl w:val="true"/>
        </w:rPr>
        <w:t xml:space="preserve">, </w:t>
      </w:r>
      <w:r>
        <w:rPr>
          <w:rtl w:val="true"/>
        </w:rPr>
        <w:t>העדר עבר פלילי וההשלכות האפשריות של חשיפתו לאוכלוסייה עבריינית בכלא – ראוי להתערב בעונש המאסר שהושת עליו</w:t>
      </w:r>
      <w:r>
        <w:rPr>
          <w:rtl w:val="true"/>
        </w:rPr>
        <w:t xml:space="preserve">, </w:t>
      </w:r>
      <w:r>
        <w:rPr>
          <w:rtl w:val="true"/>
        </w:rPr>
        <w:t>ולקבוע תחתיו עונש מאסר לריצוי בדרך של עבודות שירות לצד צו מבחן וענישה נלווית</w:t>
      </w:r>
      <w:r>
        <w:rPr>
          <w:rtl w:val="true"/>
        </w:rPr>
        <w:t xml:space="preserve">, </w:t>
      </w:r>
      <w:r>
        <w:rPr>
          <w:rtl w:val="true"/>
        </w:rPr>
        <w:t>כפי שהמליץ שירות המבחן</w:t>
      </w:r>
      <w:r>
        <w:rPr>
          <w:rtl w:val="true"/>
        </w:rPr>
        <w:t xml:space="preserve">. </w:t>
      </w:r>
      <w:r>
        <w:rPr>
          <w:rtl w:val="true"/>
        </w:rPr>
        <w:t>לחלופין טען</w:t>
      </w:r>
      <w:r>
        <w:rPr>
          <w:rtl w:val="true"/>
        </w:rPr>
        <w:t xml:space="preserve">, </w:t>
      </w:r>
      <w:r>
        <w:rPr>
          <w:rtl w:val="true"/>
        </w:rPr>
        <w:t>כי יש להפחית מעונש המאסר בפועל שהוטל עליו</w:t>
      </w:r>
      <w:r>
        <w:rPr>
          <w:rtl w:val="true"/>
        </w:rPr>
        <w:t xml:space="preserve">, </w:t>
      </w:r>
      <w:r>
        <w:rPr>
          <w:rtl w:val="true"/>
        </w:rPr>
        <w:t xml:space="preserve">כך שזה לא יעלה על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בהקשר זה נטען כי בית המשפט המחוזי החמיר את עונשו בשמונה חודשי מאסר רק עקב אי</w:t>
      </w:r>
      <w:r>
        <w:rPr>
          <w:rtl w:val="true"/>
        </w:rPr>
        <w:t>-</w:t>
      </w:r>
      <w:r>
        <w:rPr>
          <w:rtl w:val="true"/>
        </w:rPr>
        <w:t>התייצבותו לדיון – שכן יש לשער כי אילו היה מתייצב לדיון</w:t>
      </w:r>
      <w:r>
        <w:rPr>
          <w:rtl w:val="true"/>
        </w:rPr>
        <w:t xml:space="preserve">, </w:t>
      </w:r>
      <w:r>
        <w:rPr>
          <w:rtl w:val="true"/>
        </w:rPr>
        <w:t>עונשו היה מתקצר מטעמי שיקום בעשרה חודשים</w:t>
      </w:r>
      <w:r>
        <w:rPr>
          <w:rtl w:val="true"/>
        </w:rPr>
        <w:t xml:space="preserve">, </w:t>
      </w:r>
      <w:r>
        <w:rPr>
          <w:rtl w:val="true"/>
        </w:rPr>
        <w:t xml:space="preserve">כפי שנעשה בעניינם של הנאשמים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שנסיבותיהם דומות</w:t>
      </w:r>
      <w:r>
        <w:rPr>
          <w:rtl w:val="true"/>
        </w:rPr>
        <w:t xml:space="preserve">. </w:t>
      </w:r>
      <w:r>
        <w:rPr>
          <w:rtl w:val="true"/>
        </w:rPr>
        <w:t>נטען כי הגם שאי</w:t>
      </w:r>
      <w:r>
        <w:rPr>
          <w:rtl w:val="true"/>
        </w:rPr>
        <w:t>-</w:t>
      </w:r>
      <w:r>
        <w:rPr>
          <w:rtl w:val="true"/>
        </w:rPr>
        <w:t>התייצבותו של כרמלי לדיון פסולה</w:t>
      </w:r>
      <w:r>
        <w:rPr>
          <w:rtl w:val="true"/>
        </w:rPr>
        <w:t xml:space="preserve">, </w:t>
      </w:r>
      <w:r>
        <w:rPr>
          <w:rtl w:val="true"/>
        </w:rPr>
        <w:t>זו נבעה מחשש טבעי של אדם צעיר מפני הטלת עונש מאסר</w:t>
      </w:r>
      <w:r>
        <w:rPr>
          <w:rtl w:val="true"/>
        </w:rPr>
        <w:t xml:space="preserve">, </w:t>
      </w:r>
      <w:r>
        <w:rPr>
          <w:rtl w:val="true"/>
        </w:rPr>
        <w:t>ואין בכך כדי להביע זלזול בהליך או בבית המשפט</w:t>
      </w:r>
      <w:r>
        <w:rPr>
          <w:rtl w:val="true"/>
        </w:rPr>
        <w:t xml:space="preserve">. </w:t>
      </w:r>
      <w:r>
        <w:rPr>
          <w:rtl w:val="true"/>
        </w:rPr>
        <w:t>בהמשך לכך נטען</w:t>
      </w:r>
      <w:r>
        <w:rPr>
          <w:rtl w:val="true"/>
        </w:rPr>
        <w:t xml:space="preserve">, </w:t>
      </w:r>
      <w:r>
        <w:rPr>
          <w:rtl w:val="true"/>
        </w:rPr>
        <w:t>כי אף אם בצדק ניתן ביטוי לאי</w:t>
      </w:r>
      <w:r>
        <w:rPr>
          <w:rtl w:val="true"/>
        </w:rPr>
        <w:t>-</w:t>
      </w:r>
      <w:r>
        <w:rPr>
          <w:rtl w:val="true"/>
        </w:rPr>
        <w:t>ההתייצבות במסגרת גזר הדין</w:t>
      </w:r>
      <w:r>
        <w:rPr>
          <w:rtl w:val="true"/>
        </w:rPr>
        <w:t>, "</w:t>
      </w:r>
      <w:r>
        <w:rPr>
          <w:rtl w:val="true"/>
        </w:rPr>
        <w:t>תוספת</w:t>
      </w:r>
      <w:r>
        <w:rPr>
          <w:rtl w:val="true"/>
        </w:rPr>
        <w:t xml:space="preserve">" </w:t>
      </w:r>
      <w:r>
        <w:rPr>
          <w:rtl w:val="true"/>
        </w:rPr>
        <w:t>של שמונה חודשי מאסר היא חריגה ואינה מידתית</w:t>
      </w:r>
      <w:r>
        <w:rPr>
          <w:rtl w:val="true"/>
        </w:rPr>
        <w:t xml:space="preserve">, </w:t>
      </w:r>
      <w:r>
        <w:rPr>
          <w:rtl w:val="true"/>
        </w:rPr>
        <w:t>וכן היא פוגעת בעקרון השוויון בין נאשמים</w:t>
      </w:r>
      <w:r>
        <w:rPr>
          <w:rtl w:val="true"/>
        </w:rPr>
        <w:t xml:space="preserve">, </w:t>
      </w:r>
      <w:r>
        <w:rPr>
          <w:rtl w:val="true"/>
        </w:rPr>
        <w:t>בתחושת ההגינות והצדק</w:t>
      </w:r>
      <w:r>
        <w:rPr>
          <w:rtl w:val="true"/>
        </w:rPr>
        <w:t xml:space="preserve">, </w:t>
      </w:r>
      <w:r>
        <w:rPr>
          <w:rtl w:val="true"/>
        </w:rPr>
        <w:t>ובעקרון אחידות הענישה</w:t>
      </w:r>
      <w:r>
        <w:rPr>
          <w:rtl w:val="true"/>
        </w:rPr>
        <w:t xml:space="preserve">, </w:t>
      </w:r>
      <w:r>
        <w:rPr>
          <w:rtl w:val="true"/>
        </w:rPr>
        <w:t>לנוכח העונשים שהוטלו על שותפיו למעשים</w:t>
      </w:r>
      <w:r>
        <w:rPr>
          <w:rtl w:val="true"/>
        </w:rPr>
        <w:t xml:space="preserve">, </w:t>
      </w:r>
      <w:r>
        <w:rPr>
          <w:rtl w:val="true"/>
        </w:rPr>
        <w:t xml:space="preserve">הנאשמים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שעברו הליך טיפולי דומה ודינם נגזר יחד עמו</w:t>
      </w:r>
      <w:r>
        <w:rPr>
          <w:rtl w:val="true"/>
        </w:rPr>
        <w:t xml:space="preserve">. </w:t>
        <w:br/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המדינה טענה מצדה</w:t>
      </w:r>
      <w:r>
        <w:rPr>
          <w:rtl w:val="true"/>
        </w:rPr>
        <w:t xml:space="preserve">, </w:t>
      </w:r>
      <w:r>
        <w:rPr>
          <w:rtl w:val="true"/>
        </w:rPr>
        <w:t>כי המערערים מוקמו בצדק בדרגת חומרה גבוהה יותר</w:t>
      </w:r>
      <w:r>
        <w:rPr>
          <w:rtl w:val="true"/>
        </w:rPr>
        <w:t xml:space="preserve">, </w:t>
      </w:r>
      <w:r>
        <w:rPr>
          <w:rtl w:val="true"/>
        </w:rPr>
        <w:t>מקום שיום לפני האירוע הם קשרו קשר להתעמת עם ערבים ונסעו לצורך כך לעיר לוד</w:t>
      </w:r>
      <w:r>
        <w:rPr>
          <w:rtl w:val="true"/>
        </w:rPr>
        <w:t xml:space="preserve">, </w:t>
      </w:r>
      <w:r>
        <w:rPr>
          <w:rtl w:val="true"/>
        </w:rPr>
        <w:t>ואף קודם לאירוע נכחו בהתפרעויות בעיר בת</w:t>
      </w:r>
      <w:r>
        <w:rPr>
          <w:rtl w:val="true"/>
        </w:rPr>
        <w:t>-</w:t>
      </w:r>
      <w:r>
        <w:rPr>
          <w:rtl w:val="true"/>
        </w:rPr>
        <w:t>ים</w:t>
      </w:r>
      <w:r>
        <w:rPr>
          <w:rtl w:val="true"/>
        </w:rPr>
        <w:t xml:space="preserve">, </w:t>
      </w:r>
      <w:r>
        <w:rPr>
          <w:rtl w:val="true"/>
        </w:rPr>
        <w:t>ולאחר מכן הגיעו למסגד כשהם מצוידים באמצעי תקיפה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צוין כי מתחם הענישה בעניינם הועלה בשל כך בחודשיים בלבד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 אין מדובר באירוע ספונטני אלא באירוע מתוכנן וחמור</w:t>
      </w:r>
      <w:r>
        <w:rPr>
          <w:rtl w:val="true"/>
        </w:rPr>
        <w:t xml:space="preserve">, </w:t>
      </w:r>
      <w:r>
        <w:rPr>
          <w:rtl w:val="true"/>
        </w:rPr>
        <w:t xml:space="preserve">בעל מאפיינים של </w:t>
      </w:r>
      <w:r>
        <w:rPr>
          <w:rtl w:val="true"/>
        </w:rPr>
        <w:t>"</w:t>
      </w:r>
      <w:r>
        <w:rPr>
          <w:rtl w:val="true"/>
        </w:rPr>
        <w:t>לינץ</w:t>
      </w:r>
      <w:r>
        <w:rPr>
          <w:rtl w:val="true"/>
        </w:rPr>
        <w:t xml:space="preserve">'". </w:t>
      </w:r>
      <w:r>
        <w:rPr>
          <w:rtl w:val="true"/>
        </w:rPr>
        <w:t>לגבי משטי נטען</w:t>
      </w:r>
      <w:r>
        <w:rPr>
          <w:rtl w:val="true"/>
        </w:rPr>
        <w:t xml:space="preserve">, </w:t>
      </w:r>
      <w:r>
        <w:rPr>
          <w:rtl w:val="true"/>
        </w:rPr>
        <w:t>כי מהתסקיר בעניינו עולה שהוא נוטל אחריות חלקית על מעשיו ומצמצם את מעורבותו באירוע</w:t>
      </w:r>
      <w:r>
        <w:rPr>
          <w:rtl w:val="true"/>
        </w:rPr>
        <w:t xml:space="preserve">. </w:t>
      </w:r>
      <w:r>
        <w:rPr>
          <w:rtl w:val="true"/>
        </w:rPr>
        <w:t>כן נטען כי בית המשפט המחוזי בא לקראתו כאשר חפף בין המאסרים המותנים שהפעיל בעניינו</w:t>
      </w:r>
      <w:r>
        <w:rPr>
          <w:rtl w:val="true"/>
        </w:rPr>
        <w:t xml:space="preserve">, </w:t>
      </w:r>
      <w:r>
        <w:rPr>
          <w:rtl w:val="true"/>
        </w:rPr>
        <w:t>וכי העונש שהוטל עליו הוא הולם</w:t>
      </w:r>
      <w:r>
        <w:rPr>
          <w:rtl w:val="true"/>
        </w:rPr>
        <w:t xml:space="preserve">, </w:t>
      </w:r>
      <w:r>
        <w:rPr>
          <w:rtl w:val="true"/>
        </w:rPr>
        <w:t>ואפילו מתון</w:t>
      </w:r>
      <w:r>
        <w:rPr>
          <w:rtl w:val="true"/>
        </w:rPr>
        <w:t xml:space="preserve">. </w:t>
      </w:r>
      <w:r>
        <w:rPr>
          <w:rtl w:val="true"/>
        </w:rPr>
        <w:t>ביחס לערעורו של כרמלי נטען</w:t>
      </w:r>
      <w:r>
        <w:rPr>
          <w:rtl w:val="true"/>
        </w:rPr>
        <w:t xml:space="preserve">, </w:t>
      </w:r>
      <w:r>
        <w:rPr>
          <w:rtl w:val="true"/>
        </w:rPr>
        <w:t>כי עונש מאסר לריצוי בדרך של עבודות שירות אינו הולם את המעשים</w:t>
      </w:r>
      <w:r>
        <w:rPr>
          <w:rtl w:val="true"/>
        </w:rPr>
        <w:t xml:space="preserve">. </w:t>
      </w:r>
      <w:r>
        <w:rPr>
          <w:rtl w:val="true"/>
        </w:rPr>
        <w:t>אשר לטענתו החלופית נטען</w:t>
      </w:r>
      <w:r>
        <w:rPr>
          <w:rtl w:val="true"/>
        </w:rPr>
        <w:t xml:space="preserve">, </w:t>
      </w:r>
      <w:r>
        <w:rPr>
          <w:rtl w:val="true"/>
        </w:rPr>
        <w:t xml:space="preserve">כי כרמלי מוקם בדרגת חומרה גבוהה יותר מזו של הנאשמים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וכי אין להתערב בקביעת בית המשפט המחוזי ולפיה הסטייה מטעמי שיקום בעניינו תהיה קלה יותר</w:t>
      </w:r>
      <w:r>
        <w:rPr>
          <w:rtl w:val="true"/>
        </w:rPr>
        <w:t xml:space="preserve">, </w:t>
      </w:r>
      <w:r>
        <w:rPr>
          <w:rtl w:val="true"/>
        </w:rPr>
        <w:t>גם בשים לב לאי</w:t>
      </w:r>
      <w:r>
        <w:rPr>
          <w:rtl w:val="true"/>
        </w:rPr>
        <w:t>-</w:t>
      </w:r>
      <w:r>
        <w:rPr>
          <w:rtl w:val="true"/>
        </w:rPr>
        <w:t>התייצבותו לדיון ולכך שהוצא בעניינו צו הבאה</w:t>
      </w:r>
      <w:r>
        <w:rPr>
          <w:rtl w:val="true"/>
        </w:rPr>
        <w:t xml:space="preserve">. </w:t>
        <w:br/>
      </w:r>
    </w:p>
    <w:p>
      <w:pPr>
        <w:pStyle w:val="Ruller41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לאחר עיון בנימוקי הערעורים</w:t>
      </w:r>
      <w:r>
        <w:rPr>
          <w:rtl w:val="true"/>
        </w:rPr>
        <w:t xml:space="preserve">, </w:t>
      </w:r>
      <w:r>
        <w:rPr>
          <w:rtl w:val="true"/>
        </w:rPr>
        <w:t>בגזרי הדין ובתיק בית המשפט המחוזי</w:t>
      </w:r>
      <w:r>
        <w:rPr>
          <w:rtl w:val="true"/>
        </w:rPr>
        <w:t xml:space="preserve">, </w:t>
      </w:r>
      <w:r>
        <w:rPr>
          <w:rtl w:val="true"/>
        </w:rPr>
        <w:t>ולאחר שמיעת טענות הצדדים בדיון שהתקיים לפנינו – באנו לכלל מסקנה כי יש לדחות את ערעורו של משטי</w:t>
      </w:r>
      <w:r>
        <w:rPr>
          <w:rtl w:val="true"/>
        </w:rPr>
        <w:t xml:space="preserve">, </w:t>
      </w:r>
      <w:r>
        <w:rPr>
          <w:rtl w:val="true"/>
        </w:rPr>
        <w:t>ולקבל את ערעורו של כרמלי באופן חלקי</w:t>
      </w:r>
      <w:r>
        <w:rPr>
          <w:rtl w:val="true"/>
        </w:rPr>
        <w:t xml:space="preserve">, </w:t>
      </w:r>
      <w:r>
        <w:rPr>
          <w:rtl w:val="true"/>
        </w:rPr>
        <w:t xml:space="preserve">במובן זה שעונש המאסר לריצוי בפועל שיוטל עליו יועמד על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 xml:space="preserve">חודשים חלף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  <w:br/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בית משפט זה עמד לא אחת על החומרה היתירה הנודעת לעבירות אלימות המבוצעות על רקע גזעני</w:t>
      </w:r>
      <w:r>
        <w:rPr>
          <w:rtl w:val="true"/>
        </w:rPr>
        <w:t>-</w:t>
      </w:r>
      <w:r>
        <w:rPr>
          <w:rtl w:val="true"/>
        </w:rPr>
        <w:t>לאומני</w:t>
      </w:r>
      <w:r>
        <w:rPr>
          <w:rtl w:val="true"/>
        </w:rPr>
        <w:t xml:space="preserve">, </w:t>
      </w:r>
      <w:r>
        <w:rPr>
          <w:rtl w:val="true"/>
        </w:rPr>
        <w:t>בפרט כאלה המבוצעות על ידי המון משולהב</w:t>
      </w:r>
      <w:r>
        <w:rPr>
          <w:rtl w:val="true"/>
        </w:rPr>
        <w:t xml:space="preserve">, </w:t>
      </w:r>
      <w:r>
        <w:rPr>
          <w:rtl w:val="true"/>
        </w:rPr>
        <w:t>ועל הצורך למצות את הדין עם מבצעיהן</w:t>
      </w:r>
      <w:r>
        <w:rPr>
          <w:rtl w:val="true"/>
        </w:rPr>
        <w:t xml:space="preserve">. </w:t>
      </w:r>
      <w:r>
        <w:rPr>
          <w:rtl w:val="true"/>
        </w:rPr>
        <w:t>מעבר לכך שיש בעבירות אלה כדי לגרום לפגיעות גוף ורכוש ואף להציב סכנה ממשית לחיי אדם</w:t>
      </w:r>
      <w:r>
        <w:rPr>
          <w:rtl w:val="true"/>
        </w:rPr>
        <w:t xml:space="preserve">, </w:t>
      </w:r>
      <w:r>
        <w:rPr>
          <w:rtl w:val="true"/>
        </w:rPr>
        <w:t>יש בהן כדי לערער את הסדר הציבורי</w:t>
      </w:r>
      <w:r>
        <w:rPr>
          <w:rtl w:val="true"/>
        </w:rPr>
        <w:t xml:space="preserve">, </w:t>
      </w:r>
      <w:r>
        <w:rPr>
          <w:rtl w:val="true"/>
        </w:rPr>
        <w:t>לפגום בתחושת הביטחון האישי של אזרחים</w:t>
      </w:r>
      <w:r>
        <w:rPr>
          <w:rtl w:val="true"/>
        </w:rPr>
        <w:t xml:space="preserve">, </w:t>
      </w:r>
      <w:r>
        <w:rPr>
          <w:rtl w:val="true"/>
        </w:rPr>
        <w:t xml:space="preserve">להטיל אימה ופחד ולפגוע במרקם היחסים העדין שבין מגזרים שונים בישראל </w:t>
      </w:r>
      <w:r>
        <w:rPr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ראו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: </w:t>
      </w:r>
      <w:hyperlink r:id="rId19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5633/22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סאלח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</w:rPr>
        <w:t>16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rtl w:val="true"/>
        </w:rPr>
        <w:t>[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נבו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28.11.2022</w:t>
      </w:r>
      <w:r>
        <w:rPr>
          <w:rFonts w:cs="FrankRuehl" w:ascii="FrankRuehl" w:hAnsi="FrankRuehl"/>
          <w:color w:val="000000"/>
          <w:sz w:val="28"/>
          <w:rtl w:val="true"/>
        </w:rPr>
        <w:t>)</w:t>
      </w:r>
      <w:r>
        <w:rPr>
          <w:rtl w:val="true"/>
        </w:rPr>
        <w:t xml:space="preserve">; </w:t>
      </w:r>
      <w:hyperlink r:id="rId2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901/22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אסווד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rtl w:val="true"/>
        </w:rPr>
        <w:t>[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נבו</w:t>
      </w:r>
      <w:r>
        <w:rPr>
          <w:rFonts w:cs="FrankRuehl" w:ascii="FrankRuehl" w:hAnsi="FrankRuehl"/>
          <w:color w:val="000000"/>
          <w:sz w:val="28"/>
          <w:rtl w:val="true"/>
        </w:rPr>
        <w:t>]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24.2.2022</w:t>
      </w:r>
      <w:r>
        <w:rPr>
          <w:rFonts w:cs="Century" w:ascii="Century" w:hAnsi="Century"/>
          <w:sz w:val="22"/>
          <w:rtl w:val="true"/>
        </w:rPr>
        <w:t>)‏‏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אסווד</w:t>
      </w:r>
      <w:r>
        <w:rPr>
          <w:rtl w:val="true"/>
        </w:rPr>
        <w:t xml:space="preserve">); </w:t>
      </w:r>
      <w:hyperlink r:id="rId2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4585/22</w:t>
        </w:r>
      </w:hyperlink>
      <w:r>
        <w:rPr>
          <w:rFonts w:cs="Century" w:ascii="Century" w:hAnsi="Century"/>
          <w:sz w:val="22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ערדאת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rtl w:val="true"/>
        </w:rPr>
        <w:t>[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נבו</w:t>
      </w:r>
      <w:r>
        <w:rPr>
          <w:rFonts w:cs="FrankRuehl" w:ascii="FrankRuehl" w:hAnsi="FrankRuehl"/>
          <w:color w:val="000000"/>
          <w:sz w:val="28"/>
          <w:rtl w:val="true"/>
        </w:rPr>
        <w:t>]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25.7.2022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ערדאת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>פגיעה בקורבן העבירה רק בשל השתייכותו הקבוצתית</w:t>
      </w:r>
      <w:r>
        <w:rPr>
          <w:rtl w:val="true"/>
        </w:rPr>
        <w:t xml:space="preserve">, </w:t>
      </w:r>
      <w:r>
        <w:rPr>
          <w:rtl w:val="true"/>
        </w:rPr>
        <w:t>שוללת מן הקורבן את תכונותיו האנושיות ומצמצמת את אלה לשיוכו הקבוצתי בלבד</w:t>
      </w:r>
      <w:r>
        <w:rPr>
          <w:rtl w:val="true"/>
        </w:rPr>
        <w:t xml:space="preserve">, </w:t>
      </w:r>
      <w:r>
        <w:rPr>
          <w:rtl w:val="true"/>
        </w:rPr>
        <w:t>תוך פגיעה קשה בכבודו כאדם</w:t>
      </w:r>
      <w:r>
        <w:rPr>
          <w:rtl w:val="true"/>
        </w:rPr>
        <w:t xml:space="preserve">. </w:t>
      </w:r>
      <w:r>
        <w:rPr>
          <w:rtl w:val="true"/>
        </w:rPr>
        <w:t>דווקא העם היהודי</w:t>
      </w:r>
      <w:r>
        <w:rPr>
          <w:rtl w:val="true"/>
        </w:rPr>
        <w:t xml:space="preserve">, </w:t>
      </w:r>
      <w:r>
        <w:rPr>
          <w:rtl w:val="true"/>
        </w:rPr>
        <w:t>שמשחר ההיסטוריה היה קורבן לפשעים על רקע גזעני</w:t>
      </w:r>
      <w:r>
        <w:rPr>
          <w:rtl w:val="true"/>
        </w:rPr>
        <w:t xml:space="preserve">, </w:t>
      </w:r>
      <w:r>
        <w:rPr>
          <w:rtl w:val="true"/>
        </w:rPr>
        <w:t>הוא הראשון החייב להוקיע גילויי גזענות</w:t>
      </w:r>
      <w:r>
        <w:rPr>
          <w:rtl w:val="true"/>
        </w:rPr>
        <w:t xml:space="preserve">, </w:t>
      </w:r>
      <w:r>
        <w:rPr>
          <w:rtl w:val="true"/>
        </w:rPr>
        <w:t>לא כל שכן כאלה הכרוכים באלימות</w:t>
      </w:r>
      <w:r>
        <w:rPr>
          <w:rtl w:val="true"/>
        </w:rPr>
        <w:t xml:space="preserve">, </w:t>
      </w:r>
      <w:r>
        <w:rPr>
          <w:rtl w:val="true"/>
        </w:rPr>
        <w:t>ולעוקרם משורש</w:t>
      </w:r>
      <w:r>
        <w:rPr>
          <w:rtl w:val="true"/>
        </w:rPr>
        <w:t xml:space="preserve">. </w:t>
      </w:r>
      <w:r>
        <w:rPr>
          <w:rtl w:val="true"/>
        </w:rPr>
        <w:t xml:space="preserve">עמדה על כך הנשיאה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חיות</w:t>
      </w:r>
      <w:r>
        <w:rPr>
          <w:rtl w:val="true"/>
        </w:rPr>
        <w:t xml:space="preserve"> ב</w:t>
      </w:r>
      <w:hyperlink r:id="rId22"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1806/19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הבחירות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המרכזית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לכנסת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cs="Miriam" w:ascii="Century" w:hAnsi="Century"/>
          <w:b/>
          <w:spacing w:val="0"/>
          <w:sz w:val="22"/>
          <w:szCs w:val="24"/>
        </w:rPr>
        <w:t>21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כסיף</w:t>
      </w:r>
      <w:r>
        <w:rPr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rtl w:val="true"/>
        </w:rPr>
        <w:t>[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נבו</w:t>
      </w:r>
      <w:r>
        <w:rPr>
          <w:rFonts w:cs="FrankRuehl" w:ascii="FrankRuehl" w:hAnsi="FrankRuehl"/>
          <w:color w:val="000000"/>
          <w:sz w:val="28"/>
          <w:rtl w:val="true"/>
        </w:rPr>
        <w:t>]</w:t>
      </w:r>
      <w:r>
        <w:rPr>
          <w:rtl w:val="true"/>
        </w:rPr>
        <w:t xml:space="preserve"> (</w:t>
      </w:r>
      <w:r>
        <w:rPr/>
        <w:t>18.7.2019</w:t>
      </w:r>
      <w:r>
        <w:rPr>
          <w:rtl w:val="true"/>
        </w:rPr>
        <w:t>):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start="1650" w:end="1559"/>
        <w:jc w:val="both"/>
        <w:rPr/>
      </w:pPr>
      <w:r>
        <w:rPr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>גזענות היא חולי חברתי מוכר וידוע שהמין האנושי נגוע בו מאז ומקדם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הגזענות מגלה את פניה המכוערים בשנאת חינם ובהסתה לשנאת חינם של השונה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אך בשל מאפיינים מולדים או בשל השתייכות קהילתית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דתית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אתנית או לאומית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היא מפשיטה את בני האדם מתכונותיהם האנושיות בשל השתייכויות אלה ופוגעת בזכות הבסיסית לכבוד אנושי ולשוויון הנתונות לכלל הברואים בצלם </w:t>
      </w:r>
      <w:r>
        <w:rPr>
          <w:rFonts w:cs="FrankRuehl" w:ascii="FrankRuehl" w:hAnsi="FrankRuehl"/>
          <w:color w:val="000000"/>
          <w:sz w:val="28"/>
          <w:rtl w:val="true"/>
        </w:rPr>
        <w:t xml:space="preserve">[...]. </w:t>
      </w:r>
      <w:r>
        <w:rPr>
          <w:rFonts w:ascii="FrankRuehl" w:hAnsi="FrankRuehl"/>
          <w:color w:val="000000"/>
          <w:sz w:val="28"/>
          <w:sz w:val="28"/>
          <w:rtl w:val="true"/>
        </w:rPr>
        <w:t>מדינת ישראל הדמוקרטית הוקמה כמדינתו של העם היהודי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אשר ידע מאז ומעולם רדיפות וסבל על רקע גזעני שאין להם אח ורע באומות העולם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הגזענות מנוגדת לחלוטין לערכי היסוד שעליהם הוקמה המדינה ועלינו כיהודים מוטלת חובה מיוחדת להיאבק בה ללא פשרות</w:t>
      </w:r>
      <w:r>
        <w:rPr>
          <w:rFonts w:cs="FrankRuehl" w:ascii="FrankRuehl" w:hAnsi="FrankRuehl"/>
          <w:color w:val="000000"/>
          <w:sz w:val="28"/>
          <w:rtl w:val="true"/>
        </w:rPr>
        <w:t>" (</w:t>
      </w:r>
      <w:r>
        <w:rPr>
          <w:rFonts w:ascii="FrankRuehl" w:hAnsi="FrankRuehl"/>
          <w:color w:val="000000"/>
          <w:sz w:val="28"/>
          <w:sz w:val="28"/>
          <w:rtl w:val="true"/>
        </w:rPr>
        <w:t>שם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בפסקה </w:t>
      </w:r>
      <w:r>
        <w:rPr>
          <w:rFonts w:cs="FrankRuehl" w:ascii="FrankRuehl" w:hAnsi="FrankRuehl"/>
          <w:color w:val="000000"/>
          <w:sz w:val="28"/>
        </w:rPr>
        <w:t>25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לפסק דינה של הנשיאה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חיות</w:t>
      </w:r>
      <w:r>
        <w:rPr>
          <w:rFonts w:cs="FrankRuehl" w:ascii="FrankRuehl" w:hAnsi="FrankRuehl"/>
          <w:color w:val="000000"/>
          <w:sz w:val="28"/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מקום בו בוצעה עבירה מתוך מניע גזעני </w:t>
      </w:r>
      <w:r>
        <w:rPr>
          <w:rtl w:val="true"/>
        </w:rPr>
        <w:t>(</w:t>
      </w:r>
      <w:r>
        <w:rPr>
          <w:rtl w:val="true"/>
        </w:rPr>
        <w:t xml:space="preserve">נסיבה מחמירה לפי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ו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 xml:space="preserve">שבכוחה להכפיל את עונשו של מבצע העבירה או להוביל למאסר של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הקל מבין השניים</w:t>
      </w:r>
      <w:r>
        <w:rPr>
          <w:rtl w:val="true"/>
        </w:rPr>
        <w:t xml:space="preserve">), </w:t>
      </w:r>
      <w:r>
        <w:rPr>
          <w:rtl w:val="true"/>
        </w:rPr>
        <w:t>שיקולי ההגנה על שלום הציבור ושיקולי הרתעת היחיד והרבים</w:t>
      </w:r>
      <w:r>
        <w:rPr>
          <w:rtl w:val="true"/>
        </w:rPr>
        <w:t xml:space="preserve">, </w:t>
      </w:r>
      <w:r>
        <w:rPr>
          <w:rtl w:val="true"/>
        </w:rPr>
        <w:t>גוברים על שיקולי ענישה אחרים</w:t>
      </w:r>
      <w:r>
        <w:rPr>
          <w:rtl w:val="true"/>
        </w:rPr>
        <w:t xml:space="preserve">, </w:t>
      </w:r>
      <w:r>
        <w:rPr>
          <w:rtl w:val="true"/>
        </w:rPr>
        <w:t>בהם נסיבות אישיות ושיקולי שיקום של הנאשם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התפרעויות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בכלל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לאומני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בפרט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צריכות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לזכות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בתגובה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וכואבת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מוצאם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המתפרעים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נוהגת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זכאים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לצפות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הבאים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בשעריו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2285/05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חמד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rtl w:val="true"/>
        </w:rPr>
        <w:t>[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נבו</w:t>
      </w:r>
      <w:r>
        <w:rPr>
          <w:rFonts w:cs="FrankRuehl" w:ascii="FrankRuehl" w:hAnsi="FrankRuehl"/>
          <w:color w:val="000000"/>
          <w:sz w:val="28"/>
          <w:rtl w:val="true"/>
        </w:rPr>
        <w:t>]</w:t>
      </w:r>
      <w:r>
        <w:rPr>
          <w:rtl w:val="true"/>
        </w:rPr>
        <w:t xml:space="preserve"> (</w:t>
      </w:r>
      <w:r>
        <w:rPr/>
        <w:t>5.12.2005</w:t>
      </w:r>
      <w:r>
        <w:rPr>
          <w:rtl w:val="true"/>
        </w:rPr>
        <w:t>).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כן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3982/22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rtl w:val="true"/>
        </w:rPr>
        <w:t>[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נבו</w:t>
      </w:r>
      <w:r>
        <w:rPr>
          <w:rFonts w:cs="FrankRuehl" w:ascii="FrankRuehl" w:hAnsi="FrankRuehl"/>
          <w:color w:val="000000"/>
          <w:sz w:val="28"/>
          <w:rtl w:val="true"/>
        </w:rPr>
        <w:t>]</w:t>
      </w:r>
      <w:r>
        <w:rPr>
          <w:rtl w:val="true"/>
        </w:rPr>
        <w:t xml:space="preserve"> (</w:t>
      </w:r>
      <w:r>
        <w:rPr/>
        <w:t>27.10.2022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); </w:t>
      </w:r>
      <w:hyperlink r:id="rId2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577/22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אוחנינה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rtl w:val="true"/>
        </w:rPr>
        <w:t>[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נבו</w:t>
      </w:r>
      <w:r>
        <w:rPr>
          <w:rFonts w:cs="FrankRuehl" w:ascii="FrankRuehl" w:hAnsi="FrankRuehl"/>
          <w:color w:val="000000"/>
          <w:sz w:val="28"/>
          <w:rtl w:val="true"/>
        </w:rPr>
        <w:t>]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6.3.2022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אוחנינה</w:t>
      </w:r>
      <w:r>
        <w:rPr>
          <w:rFonts w:cs="Century" w:ascii="Century" w:hAnsi="Century"/>
          <w:sz w:val="22"/>
          <w:rtl w:val="true"/>
        </w:rPr>
        <w:t>);</w:t>
      </w:r>
      <w:r>
        <w:rPr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159/22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תאיה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rtl w:val="true"/>
        </w:rPr>
        <w:t>[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נבו</w:t>
      </w:r>
      <w:r>
        <w:rPr>
          <w:rFonts w:cs="FrankRuehl" w:ascii="FrankRuehl" w:hAnsi="FrankRuehl"/>
          <w:color w:val="000000"/>
          <w:sz w:val="28"/>
          <w:rtl w:val="true"/>
        </w:rPr>
        <w:t>]</w:t>
      </w:r>
      <w:r>
        <w:rPr>
          <w:rtl w:val="true"/>
        </w:rPr>
        <w:t xml:space="preserve"> (</w:t>
      </w:r>
      <w:r>
        <w:rPr/>
        <w:t>2.3.2022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תאיה</w:t>
      </w:r>
      <w:r>
        <w:rPr>
          <w:rtl w:val="true"/>
        </w:rPr>
        <w:t>)</w:t>
      </w:r>
      <w:r>
        <w:rPr>
          <w:rFonts w:cs="Century" w:ascii="Century" w:hAnsi="Century"/>
          <w:sz w:val="22"/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 xml:space="preserve">בהתייחס לעבירות דומות לענייננו אשר בוצעו על רקע מבצע </w:t>
      </w:r>
      <w:r>
        <w:rPr>
          <w:rtl w:val="true"/>
        </w:rPr>
        <w:t>"</w:t>
      </w:r>
      <w:r>
        <w:rPr>
          <w:rtl w:val="true"/>
        </w:rPr>
        <w:t>שומר החומות</w:t>
      </w:r>
      <w:r>
        <w:rPr>
          <w:rtl w:val="true"/>
        </w:rPr>
        <w:t xml:space="preserve">" – </w:t>
      </w:r>
      <w:r>
        <w:rPr>
          <w:rtl w:val="true"/>
        </w:rPr>
        <w:t>נקבע כי יש ליתן משקל בענישה גם לעיתוי ביצוע העבירות</w:t>
      </w:r>
      <w:r>
        <w:rPr>
          <w:rtl w:val="true"/>
        </w:rPr>
        <w:t xml:space="preserve">, </w:t>
      </w:r>
      <w:r>
        <w:rPr>
          <w:rtl w:val="true"/>
        </w:rPr>
        <w:t>בתקופה של מתיחות ביטחונית קשה</w:t>
      </w:r>
      <w:r>
        <w:rPr>
          <w:rtl w:val="true"/>
        </w:rPr>
        <w:t xml:space="preserve">, </w:t>
      </w:r>
      <w:r>
        <w:rPr>
          <w:rtl w:val="true"/>
        </w:rPr>
        <w:t xml:space="preserve">מבית ומחוץ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13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אוחנינה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10</w:t>
      </w:r>
      <w:r>
        <w:rPr>
          <w:rtl w:val="true"/>
        </w:rPr>
        <w:t xml:space="preserve">). </w:t>
        <w:br/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אירוע התקיפה בענייננו</w:t>
      </w:r>
      <w:r>
        <w:rPr>
          <w:rtl w:val="true"/>
        </w:rPr>
        <w:t xml:space="preserve">, </w:t>
      </w:r>
      <w:r>
        <w:rPr>
          <w:rtl w:val="true"/>
        </w:rPr>
        <w:t>הוא מן החמורים והבזויים שבתקיפות</w:t>
      </w:r>
      <w:r>
        <w:rPr>
          <w:rtl w:val="true"/>
        </w:rPr>
        <w:t xml:space="preserve">. </w:t>
      </w:r>
      <w:r>
        <w:rPr>
          <w:rtl w:val="true"/>
        </w:rPr>
        <w:t xml:space="preserve">חבורה המונה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משתתפים</w:t>
      </w:r>
      <w:r>
        <w:rPr>
          <w:rtl w:val="true"/>
        </w:rPr>
        <w:t xml:space="preserve">, </w:t>
      </w:r>
      <w:r>
        <w:rPr>
          <w:rtl w:val="true"/>
        </w:rPr>
        <w:t>מתנפלת באישון ליל</w:t>
      </w:r>
      <w:r>
        <w:rPr>
          <w:rtl w:val="true"/>
        </w:rPr>
        <w:t xml:space="preserve">, </w:t>
      </w:r>
      <w:r>
        <w:rPr>
          <w:rtl w:val="true"/>
        </w:rPr>
        <w:t>על אדם שנקרה בדרכה</w:t>
      </w:r>
      <w:r>
        <w:rPr>
          <w:rtl w:val="true"/>
        </w:rPr>
        <w:t xml:space="preserve">, </w:t>
      </w:r>
      <w:r>
        <w:rPr>
          <w:rtl w:val="true"/>
        </w:rPr>
        <w:t xml:space="preserve">מבוגר בן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היושב ברכבו לשבור את צומו</w:t>
      </w:r>
      <w:r>
        <w:rPr>
          <w:rtl w:val="true"/>
        </w:rPr>
        <w:t xml:space="preserve">, </w:t>
      </w:r>
      <w:r>
        <w:rPr>
          <w:rtl w:val="true"/>
        </w:rPr>
        <w:t xml:space="preserve">אשר כל </w:t>
      </w:r>
      <w:r>
        <w:rPr>
          <w:rtl w:val="true"/>
        </w:rPr>
        <w:t>"</w:t>
      </w:r>
      <w:r>
        <w:rPr>
          <w:rtl w:val="true"/>
        </w:rPr>
        <w:t>חטאו</w:t>
      </w:r>
      <w:r>
        <w:rPr>
          <w:rtl w:val="true"/>
        </w:rPr>
        <w:t xml:space="preserve">" </w:t>
      </w:r>
      <w:r>
        <w:rPr>
          <w:rtl w:val="true"/>
        </w:rPr>
        <w:t>הוא מוצאו הערבי</w:t>
      </w:r>
      <w:r>
        <w:rPr>
          <w:rtl w:val="true"/>
        </w:rPr>
        <w:t xml:space="preserve">. </w:t>
      </w:r>
      <w:r>
        <w:rPr>
          <w:rtl w:val="true"/>
        </w:rPr>
        <w:t>בני החבורה</w:t>
      </w:r>
      <w:r>
        <w:rPr>
          <w:rtl w:val="true"/>
        </w:rPr>
        <w:t xml:space="preserve">, </w:t>
      </w:r>
      <w:r>
        <w:rPr>
          <w:rtl w:val="true"/>
        </w:rPr>
        <w:t>חלקם מצוידים מראש באמצעי תקיפה שונים</w:t>
      </w:r>
      <w:r>
        <w:rPr>
          <w:rtl w:val="true"/>
        </w:rPr>
        <w:t xml:space="preserve">, </w:t>
      </w:r>
      <w:r>
        <w:rPr>
          <w:rtl w:val="true"/>
        </w:rPr>
        <w:t>סקלו את המתלונן ורכבו באבנים גדולות</w:t>
      </w:r>
      <w:r>
        <w:rPr>
          <w:rtl w:val="true"/>
        </w:rPr>
        <w:t xml:space="preserve">, </w:t>
      </w:r>
      <w:r>
        <w:rPr>
          <w:rtl w:val="true"/>
        </w:rPr>
        <w:t>הטיחו אבן בראשו</w:t>
      </w:r>
      <w:r>
        <w:rPr>
          <w:rtl w:val="true"/>
        </w:rPr>
        <w:t xml:space="preserve">, </w:t>
      </w:r>
      <w:r>
        <w:rPr>
          <w:rtl w:val="true"/>
        </w:rPr>
        <w:t>ריססו את פניו בגז פלפל</w:t>
      </w:r>
      <w:r>
        <w:rPr>
          <w:rtl w:val="true"/>
        </w:rPr>
        <w:t xml:space="preserve">, </w:t>
      </w:r>
      <w:r>
        <w:rPr>
          <w:rtl w:val="true"/>
        </w:rPr>
        <w:t>השליכו לעברו בקבוק זכוכית ולבסוף אחד מהם אף דקרו באמצעות סכין</w:t>
      </w:r>
      <w:r>
        <w:rPr>
          <w:rtl w:val="true"/>
        </w:rPr>
        <w:t xml:space="preserve">. </w:t>
      </w:r>
      <w:r>
        <w:rPr>
          <w:rtl w:val="true"/>
        </w:rPr>
        <w:t>היה זה רק עניין של מזל</w:t>
      </w:r>
      <w:r>
        <w:rPr>
          <w:rtl w:val="true"/>
        </w:rPr>
        <w:t xml:space="preserve">, </w:t>
      </w:r>
      <w:r>
        <w:rPr>
          <w:rtl w:val="true"/>
        </w:rPr>
        <w:t>שהמתלונן לא מצא את מותו בתקיפה</w:t>
      </w:r>
      <w:r>
        <w:rPr>
          <w:rtl w:val="true"/>
        </w:rPr>
        <w:t xml:space="preserve">, </w:t>
      </w:r>
      <w:r>
        <w:rPr>
          <w:rtl w:val="true"/>
        </w:rPr>
        <w:t>ולא נגרמו לו חבלות קשות יותר</w:t>
      </w:r>
      <w:r>
        <w:rPr>
          <w:rtl w:val="true"/>
        </w:rPr>
        <w:t xml:space="preserve">. </w:t>
      </w:r>
      <w:r>
        <w:rPr>
          <w:rtl w:val="true"/>
        </w:rPr>
        <w:t>בהצהרת נפגע העבירה שהגיש</w:t>
      </w:r>
      <w:r>
        <w:rPr>
          <w:rtl w:val="true"/>
        </w:rPr>
        <w:t xml:space="preserve">, </w:t>
      </w:r>
      <w:r>
        <w:rPr>
          <w:rtl w:val="true"/>
        </w:rPr>
        <w:t>תיאר המתלונן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את הבהלה שאחזה בו</w:t>
      </w:r>
      <w:r>
        <w:rPr>
          <w:rtl w:val="true"/>
        </w:rPr>
        <w:t xml:space="preserve">, </w:t>
      </w:r>
      <w:r>
        <w:rPr>
          <w:rtl w:val="true"/>
        </w:rPr>
        <w:t>את חוסר האונים שחש באותם רגעים</w:t>
      </w:r>
      <w:r>
        <w:rPr>
          <w:rtl w:val="true"/>
        </w:rPr>
        <w:t xml:space="preserve">, </w:t>
      </w:r>
      <w:r>
        <w:rPr>
          <w:rtl w:val="true"/>
        </w:rPr>
        <w:t xml:space="preserve">את תחושתו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יוצא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ואת הנזק הקשה</w:t>
      </w:r>
      <w:r>
        <w:rPr>
          <w:rtl w:val="true"/>
        </w:rPr>
        <w:t xml:space="preserve">, </w:t>
      </w:r>
      <w:r>
        <w:rPr>
          <w:rtl w:val="true"/>
        </w:rPr>
        <w:t xml:space="preserve">לרבות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הפצע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הנפשי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העמוק</w:t>
      </w:r>
      <w:r>
        <w:rPr>
          <w:rtl w:val="true"/>
        </w:rPr>
        <w:t xml:space="preserve">, </w:t>
      </w:r>
      <w:r>
        <w:rPr>
          <w:rtl w:val="true"/>
        </w:rPr>
        <w:t>שנגרם לו כתוצאה מהאירוע המלווה אותו עד היום</w:t>
      </w:r>
      <w:r>
        <w:rPr>
          <w:rtl w:val="true"/>
        </w:rPr>
        <w:t xml:space="preserve">. </w:t>
      </w:r>
      <w:r>
        <w:rPr>
          <w:rtl w:val="true"/>
        </w:rPr>
        <w:t>כל זאת עשו התוקפים</w:t>
      </w:r>
      <w:r>
        <w:rPr>
          <w:rtl w:val="true"/>
        </w:rPr>
        <w:t xml:space="preserve">, </w:t>
      </w:r>
      <w:r>
        <w:rPr>
          <w:rtl w:val="true"/>
        </w:rPr>
        <w:t>בתקופה מורכבת ורוויית אתגרים</w:t>
      </w:r>
      <w:r>
        <w:rPr>
          <w:rtl w:val="true"/>
        </w:rPr>
        <w:t xml:space="preserve">, </w:t>
      </w:r>
      <w:r>
        <w:rPr>
          <w:rtl w:val="true"/>
        </w:rPr>
        <w:t>בשעה שהמדינה מותקפת מב</w:t>
      </w:r>
      <w:r>
        <w:rPr>
          <w:rtl w:val="true"/>
        </w:rPr>
        <w:t>ית</w:t>
      </w:r>
      <w:r>
        <w:rPr>
          <w:rtl w:val="true"/>
        </w:rPr>
        <w:t xml:space="preserve"> ומחוץ – מרקטות הנורות מרצועת עזה ומהפרות סדר והתפרעויות אלימות ברחבי הארץ – וכאשר ידיהם של כוחות הביטחון עמוסות עבודה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ערדאת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15</w:t>
      </w:r>
      <w:r>
        <w:rPr>
          <w:rtl w:val="true"/>
        </w:rPr>
        <w:t xml:space="preserve">). </w:t>
        <w:br/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המערערים טוענים לחלקם המצומצם באירוע</w:t>
      </w:r>
      <w:r>
        <w:rPr>
          <w:rtl w:val="true"/>
        </w:rPr>
        <w:t xml:space="preserve">, </w:t>
      </w:r>
      <w:r>
        <w:rPr>
          <w:rtl w:val="true"/>
        </w:rPr>
        <w:t>אולם אין בטענתם זו כדי לסייע להם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כבר הובהר כי כאשר מדובר בתקיפה המבוצעת על</w:t>
      </w:r>
      <w:r>
        <w:rPr>
          <w:rtl w:val="true"/>
        </w:rPr>
        <w:t>-</w:t>
      </w:r>
      <w:r>
        <w:rPr>
          <w:rtl w:val="true"/>
        </w:rPr>
        <w:t>ידי המון מתפרע</w:t>
      </w:r>
      <w:r>
        <w:rPr>
          <w:rtl w:val="true"/>
        </w:rPr>
        <w:t xml:space="preserve">, </w:t>
      </w:r>
      <w:r>
        <w:rPr>
          <w:rtl w:val="true"/>
        </w:rPr>
        <w:t xml:space="preserve">אחריותו של כל משתתף אינה נקבעת רק על פי תרומתו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הישירה</w:t>
      </w:r>
      <w:r>
        <w:rPr>
          <w:rtl w:val="true"/>
        </w:rPr>
        <w:t xml:space="preserve"> לאירוע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אסווד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9</w:t>
      </w:r>
      <w:r>
        <w:rPr>
          <w:rtl w:val="true"/>
        </w:rPr>
        <w:t xml:space="preserve">).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אין מדובר במי שרק נכחו במקום ולא נטלו חלק פעיל באירוע</w:t>
      </w:r>
      <w:r>
        <w:rPr>
          <w:rtl w:val="true"/>
        </w:rPr>
        <w:t xml:space="preserve">. </w:t>
      </w:r>
      <w:r>
        <w:rPr>
          <w:rtl w:val="true"/>
        </w:rPr>
        <w:t>כפי שציין בית המשפט המחוזי בעניינו של משטי</w:t>
      </w:r>
      <w:r>
        <w:rPr>
          <w:rtl w:val="true"/>
        </w:rPr>
        <w:t xml:space="preserve">, </w:t>
      </w:r>
      <w:r>
        <w:rPr>
          <w:rtl w:val="true"/>
        </w:rPr>
        <w:t>כתב האישום המתוקן נוסח באופן שאינו שולל את מעורבותם הפעילה של מי מבני החבורה ביידוי האבנים לעבר המתלונן ורכבו</w:t>
      </w:r>
      <w:r>
        <w:rPr>
          <w:rtl w:val="true"/>
        </w:rPr>
        <w:t xml:space="preserve">, </w:t>
      </w:r>
      <w:r>
        <w:rPr>
          <w:rtl w:val="true"/>
        </w:rPr>
        <w:t>בהטחת האבן בראשו ובריסוס פניו בגז פלפל</w:t>
      </w:r>
      <w:r>
        <w:rPr>
          <w:rtl w:val="true"/>
        </w:rPr>
        <w:t xml:space="preserve">. </w:t>
      </w:r>
      <w:r>
        <w:rPr>
          <w:rtl w:val="true"/>
        </w:rPr>
        <w:t>מעבר לאמור</w:t>
      </w:r>
      <w:r>
        <w:rPr>
          <w:rtl w:val="true"/>
        </w:rPr>
        <w:t xml:space="preserve">, </w:t>
      </w:r>
      <w:r>
        <w:rPr>
          <w:rtl w:val="true"/>
        </w:rPr>
        <w:t>משטי היה זה אשר קרא לחבורה לנוע</w:t>
      </w:r>
      <w:r>
        <w:rPr>
          <w:rtl w:val="true"/>
        </w:rPr>
        <w:t xml:space="preserve">, </w:t>
      </w:r>
      <w:r>
        <w:rPr>
          <w:rtl w:val="true"/>
        </w:rPr>
        <w:t>לאחר שניידת המשטרה עזבה את החניון – באופן שהניע את התקיפה והיווה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 xml:space="preserve">את </w:t>
      </w:r>
      <w:r>
        <w:rPr>
          <w:rtl w:val="true"/>
        </w:rPr>
        <w:t>"</w:t>
      </w:r>
      <w:r>
        <w:rPr>
          <w:rtl w:val="true"/>
        </w:rPr>
        <w:t>יריית הפתיחה</w:t>
      </w:r>
      <w:r>
        <w:rPr>
          <w:rtl w:val="true"/>
        </w:rPr>
        <w:t xml:space="preserve">" </w:t>
      </w:r>
      <w:r>
        <w:rPr>
          <w:rtl w:val="true"/>
        </w:rPr>
        <w:t>של האירוע</w:t>
      </w:r>
      <w:r>
        <w:rPr>
          <w:rtl w:val="true"/>
        </w:rPr>
        <w:t xml:space="preserve">. </w:t>
      </w:r>
      <w:r>
        <w:rPr>
          <w:rtl w:val="true"/>
        </w:rPr>
        <w:t>לכך יש להוסיף את התנהגותם של המערערים עובר לאירוע</w:t>
      </w:r>
      <w:r>
        <w:rPr>
          <w:rtl w:val="true"/>
        </w:rPr>
        <w:t xml:space="preserve">, </w:t>
      </w:r>
      <w:r>
        <w:rPr>
          <w:rtl w:val="true"/>
        </w:rPr>
        <w:t>המוסיפה מימד חומרה נוסף לחלקם בתקיפה</w:t>
      </w:r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המערערים הגיעו למסגד במטרה להתעמת עם ערבים – לאחר שנסעו מוקדם יותר באותו היום ואף ערב לפני כן לזירות התפרעות שונות – כשהם מצוידים באמצעי תקיפה שונים</w:t>
      </w:r>
      <w:r>
        <w:rPr>
          <w:rtl w:val="true"/>
        </w:rPr>
        <w:t xml:space="preserve">. </w:t>
      </w:r>
      <w:r>
        <w:rPr>
          <w:rtl w:val="true"/>
        </w:rPr>
        <w:t>על רקע האמור</w:t>
      </w:r>
      <w:r>
        <w:rPr>
          <w:rtl w:val="true"/>
        </w:rPr>
        <w:t xml:space="preserve">, </w:t>
      </w:r>
      <w:r>
        <w:rPr>
          <w:rtl w:val="true"/>
        </w:rPr>
        <w:t>ובשים לב למניע הגזעני שעמד בבסיס מעשיהם</w:t>
      </w:r>
      <w:r>
        <w:rPr>
          <w:rtl w:val="true"/>
        </w:rPr>
        <w:t xml:space="preserve">, </w:t>
      </w:r>
      <w:r>
        <w:rPr>
          <w:rtl w:val="true"/>
        </w:rPr>
        <w:t>לתכנון שקדם למעשים</w:t>
      </w:r>
      <w:r>
        <w:rPr>
          <w:rtl w:val="true"/>
        </w:rPr>
        <w:t xml:space="preserve">, </w:t>
      </w:r>
      <w:r>
        <w:rPr>
          <w:rtl w:val="true"/>
        </w:rPr>
        <w:t>לעיתוי המעשים ולאופי האירוע – לרבות ריבוי המשתתפים בתקיפה</w:t>
      </w:r>
      <w:r>
        <w:rPr>
          <w:rtl w:val="true"/>
        </w:rPr>
        <w:t xml:space="preserve">, </w:t>
      </w:r>
      <w:r>
        <w:rPr>
          <w:rtl w:val="true"/>
        </w:rPr>
        <w:t>מיהות הקורבן ועוצמת הפגיעה בו – אני סבורה כי מתחמי הענישה שנקבעו בעניינם של המערערים הולמים</w:t>
      </w:r>
      <w:r>
        <w:rPr>
          <w:rtl w:val="true"/>
        </w:rPr>
        <w:t xml:space="preserve">, </w:t>
      </w:r>
      <w:r>
        <w:rPr>
          <w:rtl w:val="true"/>
        </w:rPr>
        <w:t>ואף מתונים</w:t>
      </w:r>
      <w:r>
        <w:rPr>
          <w:rtl w:val="true"/>
        </w:rPr>
        <w:t xml:space="preserve">, </w:t>
      </w:r>
      <w:r>
        <w:rPr>
          <w:rtl w:val="true"/>
        </w:rPr>
        <w:t>בהתחשב בכלל נסיבות ביצוע העבירות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אשר לטענות שמעלה משטי בערעורו</w:t>
      </w:r>
      <w:r>
        <w:rPr>
          <w:rtl w:val="true"/>
        </w:rPr>
        <w:t xml:space="preserve">. </w:t>
      </w:r>
      <w:r>
        <w:rPr>
          <w:rtl w:val="true"/>
        </w:rPr>
        <w:t>כפי שהוסבר לעיל</w:t>
      </w:r>
      <w:r>
        <w:rPr>
          <w:rtl w:val="true"/>
        </w:rPr>
        <w:t xml:space="preserve">, </w:t>
      </w:r>
      <w:r>
        <w:rPr>
          <w:rtl w:val="true"/>
        </w:rPr>
        <w:t>לא ניתן לקבל את טענתו ולפיה חלקו באירוע מינורי והסתכם רק בנוכחותו במקום</w:t>
      </w:r>
      <w:r>
        <w:rPr>
          <w:rtl w:val="true"/>
        </w:rPr>
        <w:t xml:space="preserve">. </w:t>
      </w:r>
      <w:r>
        <w:rPr>
          <w:rtl w:val="true"/>
        </w:rPr>
        <w:t>אין לקבל גם את טענתו</w:t>
      </w:r>
      <w:r>
        <w:rPr>
          <w:rtl w:val="true"/>
        </w:rPr>
        <w:t xml:space="preserve">, </w:t>
      </w:r>
      <w:r>
        <w:rPr>
          <w:rtl w:val="true"/>
        </w:rPr>
        <w:t xml:space="preserve">ולפיה הקביעות שנעשו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אזולאי</w:t>
      </w:r>
      <w:r>
        <w:rPr>
          <w:rtl w:val="true"/>
        </w:rPr>
        <w:t xml:space="preserve"> ביחס למתחם הענישה פגעו בו ויצרו </w:t>
      </w:r>
      <w:r>
        <w:rPr>
          <w:rtl w:val="true"/>
        </w:rPr>
        <w:t>'</w:t>
      </w:r>
      <w:r>
        <w:rPr>
          <w:rtl w:val="true"/>
        </w:rPr>
        <w:t>מעשה עשוי</w:t>
      </w:r>
      <w:r>
        <w:rPr>
          <w:rtl w:val="true"/>
        </w:rPr>
        <w:t xml:space="preserve">' –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משעה שדרגות החומרה של המעשים נובעות מן המתואר בכתב האישום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tl w:val="true"/>
        </w:rPr>
        <w:t xml:space="preserve">, </w:t>
      </w:r>
      <w:r>
        <w:rPr>
          <w:rtl w:val="true"/>
        </w:rPr>
        <w:t>לגופו של עניין</w:t>
      </w:r>
      <w:r>
        <w:rPr>
          <w:rtl w:val="true"/>
        </w:rPr>
        <w:t xml:space="preserve">, </w:t>
      </w:r>
      <w:r>
        <w:rPr>
          <w:rtl w:val="true"/>
        </w:rPr>
        <w:t>לא מצאתי מקום להתערב בעונש שנקבע</w:t>
      </w:r>
      <w:r>
        <w:rPr>
          <w:rtl w:val="true"/>
        </w:rPr>
        <w:t xml:space="preserve">. </w:t>
      </w:r>
      <w:r>
        <w:rPr>
          <w:rtl w:val="true"/>
        </w:rPr>
        <w:t>אף בעובדה שהמערערים לא הואשמו בעבירה של קשירת קשר</w:t>
      </w:r>
      <w:r>
        <w:rPr>
          <w:rtl w:val="true"/>
        </w:rPr>
        <w:t xml:space="preserve">, </w:t>
      </w:r>
      <w:r>
        <w:rPr>
          <w:rtl w:val="true"/>
        </w:rPr>
        <w:t>אין כדי לחתור</w:t>
      </w:r>
      <w:r>
        <w:rPr>
          <w:rtl w:val="true"/>
        </w:rPr>
        <w:t xml:space="preserve">, </w:t>
      </w:r>
      <w:r>
        <w:rPr>
          <w:rtl w:val="true"/>
        </w:rPr>
        <w:t>כפי טענתו</w:t>
      </w:r>
      <w:r>
        <w:rPr>
          <w:rtl w:val="true"/>
        </w:rPr>
        <w:t xml:space="preserve">, </w:t>
      </w:r>
      <w:r>
        <w:rPr>
          <w:rtl w:val="true"/>
        </w:rPr>
        <w:t>תחת החלטתו של בית המשפט המחוזי להחמיר במעט את מתחם הענישה בעניינם של המערערים – בשל התנהגותם עובר לאירוע</w:t>
      </w:r>
      <w:r>
        <w:rPr>
          <w:rtl w:val="true"/>
        </w:rPr>
        <w:t xml:space="preserve">, </w:t>
      </w:r>
      <w:r>
        <w:rPr>
          <w:rtl w:val="true"/>
        </w:rPr>
        <w:t>כפי שתוארה בכתב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לרבות הצטיידותם באמצעי תקיפה שונים </w:t>
      </w:r>
      <w:r>
        <w:rPr>
          <w:rtl w:val="true"/>
        </w:rPr>
        <w:t>(</w:t>
      </w:r>
      <w:r>
        <w:rPr>
          <w:rtl w:val="true"/>
        </w:rPr>
        <w:t xml:space="preserve">וראו גם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לגבי התחשבות ב</w:t>
      </w:r>
      <w:r>
        <w:rPr>
          <w:rtl w:val="true"/>
        </w:rPr>
        <w:t>"</w:t>
      </w:r>
      <w:r>
        <w:rPr>
          <w:rtl w:val="true"/>
        </w:rPr>
        <w:t>תכנון שקדם לביצוע העבירה</w:t>
      </w:r>
      <w:r>
        <w:rPr>
          <w:rtl w:val="true"/>
        </w:rPr>
        <w:t xml:space="preserve">" </w:t>
      </w:r>
      <w:r>
        <w:rPr>
          <w:rtl w:val="true"/>
        </w:rPr>
        <w:t>במסגרת קביעת מתחם העונש ההולם</w:t>
      </w:r>
      <w:r>
        <w:rPr>
          <w:rtl w:val="true"/>
        </w:rPr>
        <w:t xml:space="preserve">). </w:t>
      </w:r>
      <w:r>
        <w:rPr>
          <w:rtl w:val="true"/>
        </w:rPr>
        <w:t>עוד אין לקבל את הטענה ולפיה המתחם שנקבע סוטה באופן קיצוני ממדיניות הענישה שננקטה במקרים קודמים – וזאת גם לאור השוני בין המקרים</w:t>
      </w:r>
      <w:r>
        <w:rPr>
          <w:rtl w:val="true"/>
        </w:rPr>
        <w:t xml:space="preserve">, </w:t>
      </w:r>
      <w:r>
        <w:rPr>
          <w:rtl w:val="true"/>
        </w:rPr>
        <w:t xml:space="preserve">וגם בשל העובדה שבחלקם התערב בית משפט זה והחמיר את העונש שהוטל תוך שהדגיש כי אינו ממצה את הדין </w:t>
      </w:r>
      <w:r>
        <w:rPr>
          <w:rtl w:val="true"/>
        </w:rPr>
        <w:t>(</w:t>
      </w:r>
      <w:r>
        <w:rPr>
          <w:rtl w:val="true"/>
        </w:rPr>
        <w:t>וראו למשל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אוחנינה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13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אסווד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10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תאיה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16</w:t>
      </w:r>
      <w:r>
        <w:rPr>
          <w:rtl w:val="true"/>
        </w:rPr>
        <w:t xml:space="preserve">).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לא מצאתי עילה להתערבות גם בקביעת העונש בעניינו של משטי</w:t>
      </w:r>
      <w:r>
        <w:rPr>
          <w:rtl w:val="true"/>
        </w:rPr>
        <w:t xml:space="preserve">, </w:t>
      </w:r>
      <w:r>
        <w:rPr>
          <w:rtl w:val="true"/>
        </w:rPr>
        <w:t>אשר נעשתה על</w:t>
      </w:r>
      <w:r>
        <w:rPr>
          <w:rtl w:val="true"/>
        </w:rPr>
        <w:t>-</w:t>
      </w:r>
      <w:r>
        <w:rPr>
          <w:rtl w:val="true"/>
        </w:rPr>
        <w:t>ידי בית המשפט המחוזי תוך התחשבות במכלול השיקולים הרלוונטיים לעניינו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אשר לערעורו של כרמלי</w:t>
      </w:r>
      <w:r>
        <w:rPr>
          <w:rtl w:val="true"/>
        </w:rPr>
        <w:t xml:space="preserve">. </w:t>
      </w:r>
      <w:r>
        <w:rPr>
          <w:rtl w:val="true"/>
        </w:rPr>
        <w:t>בדין קבע בית המשפט המחוזי כי מקרה התקיפה דנן אינו מתאים להשתת עונש מאסר בדרך של עבודות שירות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הן לאור חומרתו הקיצונית של האירוע</w:t>
      </w:r>
      <w:r>
        <w:rPr>
          <w:rtl w:val="true"/>
        </w:rPr>
        <w:t xml:space="preserve">, </w:t>
      </w:r>
      <w:r>
        <w:rPr>
          <w:rtl w:val="true"/>
        </w:rPr>
        <w:t>והן לאור ההלכה שתוארה ולפיה במקרים של עבירות שבוצעו ממניע גזעני</w:t>
      </w:r>
      <w:r>
        <w:rPr>
          <w:rtl w:val="true"/>
        </w:rPr>
        <w:t xml:space="preserve">, </w:t>
      </w:r>
      <w:r>
        <w:rPr>
          <w:rtl w:val="true"/>
        </w:rPr>
        <w:t>שיקולי הרתעה ושמירה על שלום הציבור גוברים על שיקולי ענישה אחרים</w:t>
      </w:r>
      <w:r>
        <w:rPr>
          <w:rtl w:val="true"/>
        </w:rPr>
        <w:t xml:space="preserve">,  </w:t>
      </w:r>
      <w:r>
        <w:rPr>
          <w:rtl w:val="true"/>
        </w:rPr>
        <w:t>בהם שיקולי שיקום ונסיבותיו האישיות של הנאשם</w:t>
      </w:r>
      <w:r>
        <w:rPr>
          <w:rtl w:val="true"/>
        </w:rPr>
        <w:t xml:space="preserve">. </w:t>
      </w:r>
      <w:r>
        <w:rPr>
          <w:rtl w:val="true"/>
        </w:rPr>
        <w:t>לצד האמור</w:t>
      </w:r>
      <w:r>
        <w:rPr>
          <w:rtl w:val="true"/>
        </w:rPr>
        <w:t xml:space="preserve">, </w:t>
      </w:r>
      <w:r>
        <w:rPr>
          <w:rtl w:val="true"/>
        </w:rPr>
        <w:t>הנני סבורה כי יש מקום להתערב במידת מה בתקופת המאסר לריצוי בפועל שהושת על כרמלי</w:t>
      </w:r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העמיד את עונשם של הנאשמים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>, "</w:t>
      </w:r>
      <w:r>
        <w:rPr>
          <w:rtl w:val="true"/>
        </w:rPr>
        <w:t>ללא התחשבות בהליכי השיקום</w:t>
      </w:r>
      <w:r>
        <w:rPr>
          <w:rtl w:val="true"/>
        </w:rPr>
        <w:t xml:space="preserve">", </w:t>
      </w:r>
      <w:r>
        <w:rPr>
          <w:rtl w:val="true"/>
        </w:rPr>
        <w:t xml:space="preserve">על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 xml:space="preserve">ואת עונשו של כרמלי על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לאחר בחינת הליכי השיקום</w:t>
      </w:r>
      <w:r>
        <w:rPr>
          <w:rtl w:val="true"/>
        </w:rPr>
        <w:t xml:space="preserve">, </w:t>
      </w:r>
      <w:r>
        <w:rPr>
          <w:rtl w:val="true"/>
        </w:rPr>
        <w:t xml:space="preserve">נמצא להפחית עשרה חודשים מתקופת מאסרם של הנאשמים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וחודשיים בלבד מעונשו של כרמלי</w:t>
      </w:r>
      <w:r>
        <w:rPr>
          <w:rtl w:val="true"/>
        </w:rPr>
        <w:t xml:space="preserve">. </w:t>
      </w:r>
      <w:r>
        <w:rPr>
          <w:rtl w:val="true"/>
        </w:rPr>
        <w:t>דומה כי הפער האמור נעוץ</w:t>
      </w:r>
      <w:r>
        <w:rPr>
          <w:rtl w:val="true"/>
        </w:rPr>
        <w:t xml:space="preserve">, </w:t>
      </w:r>
      <w:r>
        <w:rPr>
          <w:rtl w:val="true"/>
        </w:rPr>
        <w:t>בעיקרו</w:t>
      </w:r>
      <w:r>
        <w:rPr>
          <w:rtl w:val="true"/>
        </w:rPr>
        <w:t xml:space="preserve">,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התייצבותו של כרמלי לשימוע גזר הדין</w:t>
      </w:r>
      <w:r>
        <w:rPr>
          <w:rtl w:val="true"/>
        </w:rPr>
        <w:t xml:space="preserve">, </w:t>
      </w:r>
      <w:r>
        <w:rPr>
          <w:rtl w:val="true"/>
        </w:rPr>
        <w:t>שכן נסיבותיהם האישיות של השלושה והליכי השיקום שעברו</w:t>
      </w:r>
      <w:r>
        <w:rPr>
          <w:rtl w:val="true"/>
        </w:rPr>
        <w:t xml:space="preserve">, </w:t>
      </w:r>
      <w:r>
        <w:rPr>
          <w:rtl w:val="true"/>
        </w:rPr>
        <w:t>דומים יחסית</w:t>
      </w:r>
      <w:r>
        <w:rPr>
          <w:rtl w:val="true"/>
        </w:rPr>
        <w:t xml:space="preserve">. </w:t>
      </w:r>
      <w:r>
        <w:rPr>
          <w:rtl w:val="true"/>
        </w:rPr>
        <w:t>הגם שאני שותפה למסקנתו של בית המשפט המחוזי כי יש מקום להתחשב באי</w:t>
      </w:r>
      <w:r>
        <w:rPr>
          <w:rtl w:val="true"/>
        </w:rPr>
        <w:t>-</w:t>
      </w:r>
      <w:r>
        <w:rPr>
          <w:rtl w:val="true"/>
        </w:rPr>
        <w:t>התייצבותו של כרמלי לדיון</w:t>
      </w:r>
      <w:r>
        <w:rPr>
          <w:rtl w:val="true"/>
        </w:rPr>
        <w:t xml:space="preserve">, </w:t>
      </w:r>
      <w:r>
        <w:rPr>
          <w:rtl w:val="true"/>
        </w:rPr>
        <w:t>כאירוע המעיד על מידת התבססותם של הליכי השיקום</w:t>
      </w:r>
      <w:r>
        <w:rPr>
          <w:rtl w:val="true"/>
        </w:rPr>
        <w:t xml:space="preserve">, </w:t>
      </w:r>
      <w:r>
        <w:rPr>
          <w:rtl w:val="true"/>
        </w:rPr>
        <w:t>ומכאן על מידת הסטייה ממתחם העונש ההולם מטעמי שיקום – ראיתי לקבל את טענתו של כרמלי ולפיה בית המשפט המחוזי החמיר עמו בעניין זה יתר על המידה</w:t>
      </w:r>
      <w:r>
        <w:rPr>
          <w:rtl w:val="true"/>
        </w:rPr>
        <w:t xml:space="preserve">, </w:t>
      </w:r>
      <w:r>
        <w:rPr>
          <w:rtl w:val="true"/>
        </w:rPr>
        <w:t xml:space="preserve">ולהעמיד את תקופת מאסרו על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אציע לחבריי כי נדחה את ערעורו של משטי</w:t>
      </w:r>
      <w:r>
        <w:rPr>
          <w:rtl w:val="true"/>
        </w:rPr>
        <w:t xml:space="preserve">, </w:t>
      </w:r>
      <w:r>
        <w:rPr>
          <w:rtl w:val="true"/>
        </w:rPr>
        <w:t>ונקבל את ערעורו של כרמלי באופן חלקי</w:t>
      </w:r>
      <w:r>
        <w:rPr>
          <w:rtl w:val="true"/>
        </w:rPr>
        <w:t xml:space="preserve">, </w:t>
      </w:r>
      <w:r>
        <w:rPr>
          <w:rtl w:val="true"/>
        </w:rPr>
        <w:t xml:space="preserve">במובן זה שנעמיד את עונשו של כרמלי על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לריצוי בפועל</w:t>
      </w:r>
      <w:r>
        <w:rPr>
          <w:rtl w:val="true"/>
        </w:rPr>
        <w:t xml:space="preserve">, </w:t>
      </w:r>
      <w:r>
        <w:rPr>
          <w:rtl w:val="true"/>
        </w:rPr>
        <w:t xml:space="preserve">חלף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חודשי מאסר שהושתו עליו</w:t>
      </w:r>
      <w:r>
        <w:rPr>
          <w:rtl w:val="true"/>
        </w:rPr>
        <w:t xml:space="preserve">. </w:t>
      </w:r>
      <w:r>
        <w:rPr>
          <w:rtl w:val="true"/>
        </w:rPr>
        <w:t>יתר רכיבי גזר הדין יוותרו על כנם</w:t>
      </w:r>
      <w:r>
        <w:rPr>
          <w:rtl w:val="true"/>
        </w:rPr>
        <w:t xml:space="preserve">. </w:t>
        <w:br/>
      </w:r>
    </w:p>
    <w:tbl>
      <w:tblPr>
        <w:tblpPr w:vertAnchor="text" w:horzAnchor="page" w:leftFromText="180" w:rightFromText="180" w:tblpX="2321" w:tblpY="1626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51"/>
      </w:tblGrid>
      <w:tr>
        <w:trPr>
          <w:trHeight w:val="454" w:hRule="atLeast"/>
        </w:trPr>
        <w:tc>
          <w:tcPr>
            <w:tcW w:w="2551" w:type="dxa"/>
            <w:tcBorders>
              <w:top w:val="single" w:sz="4" w:space="0" w:color="000000"/>
            </w:tcBorders>
            <w:vAlign w:val="center"/>
          </w:tcPr>
          <w:p>
            <w:pPr>
              <w:pStyle w:val="Heading3"/>
              <w:spacing w:lineRule="auto" w:line="240"/>
              <w:ind w:hanging="0" w:start="0" w:end="0"/>
              <w:jc w:val="center"/>
              <w:rPr/>
            </w:pPr>
            <w:r>
              <w:rPr>
                <w:rFonts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גילה</w:t>
            </w:r>
            <w:r>
              <w:rPr>
                <w:rFonts w:cs="Times New Roman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כנפי</w:t>
            </w:r>
            <w:r>
              <w:rPr>
                <w:rFonts w:cs="FrankRuehl"/>
                <w:b w:val="false"/>
                <w:bCs w:val="false"/>
                <w:spacing w:val="10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שטייניץ</w:t>
            </w:r>
            <w:r>
              <w:rPr>
                <w:rFonts w:cs="Times New Roman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שופטת</w:t>
            </w:r>
          </w:p>
        </w:tc>
      </w:tr>
    </w:tbl>
    <w:p>
      <w:pPr>
        <w:pStyle w:val="Ruller41"/>
        <w:ind w:end="0"/>
        <w:jc w:val="both"/>
        <w:rPr>
          <w:rFonts w:ascii="Times New Roman" w:hAnsi="Times New Roman" w:cs="Times New Roman"/>
        </w:rPr>
      </w:pPr>
      <w:r/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כרמלי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1.9.2024</w:t>
      </w:r>
      <w:r>
        <w:rPr>
          <w:rtl w:val="true"/>
        </w:rPr>
        <w:t xml:space="preserve"> </w:t>
      </w:r>
      <w:r>
        <w:rPr>
          <w:sz w:val="28"/>
          <w:sz w:val="28"/>
          <w:rtl w:val="true"/>
        </w:rPr>
        <w:t>עד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10:00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בבימ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ניצן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החלטת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הסוהר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כשברשותו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תעודת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דרכון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הכניסה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למאסר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כולל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האפשרות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מוקדם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אבחון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הסוהר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בטלפונים</w:t>
      </w:r>
      <w:r>
        <w:rPr>
          <w:sz w:val="28"/>
          <w:rtl w:val="true"/>
        </w:rPr>
        <w:t xml:space="preserve">: </w:t>
      </w:r>
      <w:r>
        <w:rPr>
          <w:rFonts w:ascii="FrankRuehl" w:hAnsi="FrankRuehl"/>
          <w:sz w:val="28"/>
        </w:rPr>
        <w:t>074-7831077</w:t>
      </w:r>
      <w:r>
        <w:rPr>
          <w:rFonts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או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FrankRuehl" w:hAnsi="FrankRuehl"/>
          <w:sz w:val="28"/>
        </w:rPr>
        <w:t>074-7831078</w:t>
      </w:r>
      <w:r>
        <w:rPr>
          <w:rFonts w:ascii="FrankRuehl" w:hAnsi="FrankRuehl"/>
          <w:sz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end="0"/>
        <w:jc w:val="center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  <w:u w:val="single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י</w:t>
      </w:r>
      <w:r>
        <w:rPr>
          <w:rFonts w:cs="Miriam" w:ascii="Century" w:hAnsi="Century"/>
          <w:b/>
          <w:sz w:val="22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אלרון</w:t>
      </w:r>
      <w:r>
        <w:rPr>
          <w:rFonts w:cs="Miriam" w:ascii="Century" w:hAnsi="Century"/>
          <w:b/>
          <w:sz w:val="22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  <w:u w:val="single"/>
        </w:rPr>
      </w:pPr>
      <w:r>
        <w:rPr>
          <w:rFonts w:cs="FrankRuehl" w:ascii="Century" w:hAnsi="Century"/>
          <w:b/>
          <w:spacing w:val="10"/>
          <w:sz w:val="22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tbl>
      <w:tblPr>
        <w:tblpPr w:vertAnchor="text" w:horzAnchor="page" w:leftFromText="180" w:rightFromText="180" w:tblpX="2298" w:tblpY="125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51"/>
      </w:tblGrid>
      <w:tr>
        <w:trPr>
          <w:trHeight w:val="454" w:hRule="atLeast"/>
        </w:trPr>
        <w:tc>
          <w:tcPr>
            <w:tcW w:w="2551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יוסף אלרון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  <w:u w:val="single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א</w:t>
      </w:r>
      <w:r>
        <w:rPr>
          <w:rFonts w:cs="Miriam" w:ascii="Century" w:hAnsi="Century"/>
          <w:b/>
          <w:sz w:val="22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שטיין</w:t>
      </w:r>
      <w:r>
        <w:rPr>
          <w:rFonts w:cs="Miriam" w:ascii="Century" w:hAnsi="Century"/>
          <w:b/>
          <w:sz w:val="22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spacing w:val="10"/>
          <w:sz w:val="28"/>
          <w:szCs w:val="28"/>
          <w:u w:val="single"/>
        </w:rPr>
      </w:pPr>
      <w:r>
        <w:rPr>
          <w:rFonts w:cs="FrankRuehl" w:ascii="FrankRuehl" w:hAnsi="FrankRuehl"/>
          <w:b/>
          <w:spacing w:val="10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אני מסכים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tbl>
      <w:tblPr>
        <w:bidiVisual w:val="true"/>
        <w:tblW w:w="2551" w:type="dxa"/>
        <w:jc w:val="start"/>
        <w:tblInd w:w="-3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51"/>
      </w:tblGrid>
      <w:tr>
        <w:trPr>
          <w:trHeight w:val="454" w:hRule="atLeast"/>
        </w:trPr>
        <w:tc>
          <w:tcPr>
            <w:tcW w:w="2551" w:type="dxa"/>
            <w:tcBorders>
              <w:top w:val="single" w:sz="4" w:space="0" w:color="000000"/>
            </w:tcBorders>
            <w:vAlign w:val="center"/>
          </w:tcPr>
          <w:p>
            <w:pPr>
              <w:pStyle w:val="Heading3"/>
              <w:ind w:hanging="0" w:start="0" w:end="0"/>
              <w:jc w:val="center"/>
              <w:rPr>
                <w:rFonts w:ascii="FrankRuehl" w:hAnsi="FrankRuehl" w:cs="FrankRuehl"/>
                <w:b w:val="false"/>
                <w:bCs w:val="false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 xml:space="preserve">אלכס שטיין </w:t>
            </w:r>
          </w:p>
          <w:p>
            <w:pPr>
              <w:pStyle w:val="Heading3"/>
              <w:ind w:hanging="0" w:start="0" w:end="0"/>
              <w:jc w:val="center"/>
              <w:rPr>
                <w:rFonts w:ascii="FrankRuehl" w:hAnsi="FrankRuehl" w:cs="FrankRuehl"/>
                <w:b w:val="false"/>
                <w:bCs w:val="false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הוחלט כאמור בפסק דינה של השופטת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כנפי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שטייניץ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pacing w:val="10"/>
          <w:sz w:val="28"/>
          <w:szCs w:val="28"/>
        </w:rPr>
      </w:pPr>
      <w:bookmarkStart w:id="15" w:name="Nitan"/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ניתן היום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ט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אב תשפ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ד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8"/>
          <w:szCs w:val="28"/>
        </w:rPr>
        <w:t>13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אוגוסט </w:t>
      </w:r>
      <w:r>
        <w:rPr>
          <w:rFonts w:cs="FrankRuehl" w:ascii="FrankRuehl" w:hAnsi="FrankRuehl"/>
          <w:spacing w:val="10"/>
          <w:sz w:val="28"/>
          <w:szCs w:val="28"/>
        </w:rPr>
        <w:t>2024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). </w:t>
      </w:r>
      <w:bookmarkEnd w:id="15"/>
    </w:p>
    <w:tbl>
      <w:tblPr>
        <w:bidiVisual w:val="true"/>
        <w:tblW w:w="829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5"/>
        <w:gridCol w:w="2766"/>
        <w:gridCol w:w="2766"/>
      </w:tblGrid>
      <w:tr>
        <w:trPr/>
        <w:tc>
          <w:tcPr>
            <w:tcW w:w="2765" w:type="dxa"/>
            <w:tcBorders/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יוסף אלרון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  <w:tc>
          <w:tcPr>
            <w:tcW w:w="2766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cs="Courier New" w:ascii="Courier New" w:hAnsi="Courier New"/>
                <w:sz w:val="28"/>
                <w:szCs w:val="28"/>
                <w:rtl w:val="true"/>
              </w:rPr>
            </w:r>
          </w:p>
          <w:p>
            <w:pPr>
              <w:pStyle w:val="Heading3"/>
              <w:ind w:hanging="0" w:start="0" w:end="0"/>
              <w:jc w:val="center"/>
              <w:rPr>
                <w:rFonts w:ascii="FrankRuehl" w:hAnsi="FrankRuehl" w:cs="FrankRuehl"/>
                <w:b w:val="false"/>
                <w:bCs w:val="false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אלכס שטיין</w:t>
            </w:r>
          </w:p>
          <w:p>
            <w:pPr>
              <w:pStyle w:val="Heading3"/>
              <w:ind w:hanging="0" w:start="0" w:end="0"/>
              <w:jc w:val="center"/>
              <w:rPr>
                <w:rFonts w:ascii="FrankRuehl" w:hAnsi="FrankRuehl" w:cs="FrankRuehl"/>
                <w:b w:val="false"/>
                <w:bCs w:val="false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FrankRuehl" w:ascii="FrankRuehl" w:hAnsi="FrankRuehl"/>
                <w:b/>
                <w:bCs/>
                <w:spacing w:val="10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  <w:tc>
          <w:tcPr>
            <w:tcW w:w="2766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cs="Courier New" w:ascii="Courier New" w:hAnsi="Courier New"/>
                <w:sz w:val="28"/>
                <w:szCs w:val="28"/>
                <w:rtl w:val="true"/>
              </w:rPr>
            </w:r>
          </w:p>
          <w:p>
            <w:pPr>
              <w:pStyle w:val="Heading3"/>
              <w:spacing w:lineRule="auto" w:line="240"/>
              <w:ind w:hanging="0" w:start="0" w:end="0"/>
              <w:jc w:val="center"/>
              <w:rPr/>
            </w:pPr>
            <w:r>
              <w:rPr>
                <w:rFonts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גילה</w:t>
            </w:r>
            <w:r>
              <w:rPr>
                <w:rFonts w:cs="Times New Roman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כנפי</w:t>
            </w:r>
            <w:r>
              <w:rPr>
                <w:rFonts w:cs="FrankRuehl"/>
                <w:b w:val="false"/>
                <w:bCs w:val="false"/>
                <w:spacing w:val="10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שטייניץ</w:t>
            </w:r>
            <w:r>
              <w:rPr>
                <w:rFonts w:cs="Times New Roman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שופטת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FrankRuehl" w:hAnsi="FrankRuehl"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FrankRuehl" w:ascii="FrankRuehl" w:hAnsi="FrankRuehl"/>
                <w:b/>
                <w:bCs/>
                <w:spacing w:val="10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FrankRuehl" w:ascii="FrankRuehl" w:hAnsi="FrankRuehl"/>
          <w:color w:val="FFFFFF"/>
          <w:sz w:val="2"/>
          <w:szCs w:val="2"/>
        </w:rPr>
        <w:t>51293715129371</w:t>
      </w:r>
      <w:r>
        <w:rPr>
          <w:rFonts w:cs="FrankRuehl" w:ascii="FrankRuehl" w:hAnsi="FrankRuehl"/>
          <w:color w:val="FFFFFF"/>
          <w:sz w:val="2"/>
          <w:szCs w:val="2"/>
          <w:rtl w:val="true"/>
        </w:rPr>
        <w:tab/>
        <w:tab/>
      </w:r>
      <w:r>
        <w:rPr>
          <w:rFonts w:cs="FrankRuehl" w:ascii="FrankRuehl" w:hAnsi="FrankRuehl"/>
          <w:color w:val="FFFFFF"/>
          <w:sz w:val="2"/>
          <w:szCs w:val="2"/>
        </w:rPr>
        <w:t>54678313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color w:val="FFFFFF"/>
          <w:sz w:val="2"/>
          <w:szCs w:val="2"/>
        </w:rPr>
      </w:pPr>
      <w:r>
        <w:rPr>
          <w:rFonts w:ascii="FrankRuehl" w:hAnsi="FrankRuehl" w:cs="FrankRuehl"/>
          <w:color w:val="000000"/>
          <w:sz w:val="2"/>
          <w:sz w:val="2"/>
          <w:szCs w:val="2"/>
          <w:rtl w:val="true"/>
        </w:rPr>
        <w:t>נוסח מסמך זה כפוף לשינויי ניסוח ועריכה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color w:val="FFFFFF"/>
          <w:sz w:val="2"/>
          <w:szCs w:val="2"/>
        </w:rPr>
      </w:pPr>
      <w:r>
        <w:rPr>
          <w:rFonts w:cs="FrankRuehl" w:ascii="FrankRuehl" w:hAnsi="FrankRuehl"/>
          <w:color w:val="FFFFFF"/>
          <w:sz w:val="2"/>
          <w:szCs w:val="2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end="0"/>
        <w:jc w:val="center"/>
        <w:rPr>
          <w:rFonts w:ascii="FrankRuehl" w:hAnsi="FrankRuehl" w:cs="FrankRuehl"/>
          <w:color w:val="0000FF"/>
          <w:sz w:val="2"/>
          <w:u w:val="single"/>
        </w:rPr>
      </w:pPr>
      <w:hyperlink r:id="rId29">
        <w:r>
          <w:rPr>
            <w:rStyle w:val="Hyperlink"/>
            <w:rFonts w:ascii="FrankRuehl" w:hAnsi="FrankRuehl" w:cs="FrankRuehl"/>
            <w:color w:val="0000FF"/>
            <w:sz w:val="2"/>
            <w:sz w:val="2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rFonts w:cs="FrankRuehl" w:ascii="FrankRuehl" w:hAnsi="FrankRuehl"/>
            <w:color w:val="0000FF"/>
            <w:sz w:val="2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"/>
            <w:sz w:val="2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יוסף אלרון </w:t>
      </w:r>
      <w:r>
        <w:rPr>
          <w:rFonts w:cs="David" w:ascii="David" w:hAnsi="David"/>
          <w:color w:val="000000"/>
          <w:sz w:val="22"/>
          <w:szCs w:val="22"/>
        </w:rPr>
        <w:t>54678313-2067/23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color w:val="000000"/>
          <w:sz w:val="2"/>
          <w:u w:val="single"/>
        </w:rPr>
      </w:pPr>
      <w:r>
        <w:rPr>
          <w:rFonts w:ascii="FrankRuehl" w:hAnsi="FrankRuehl" w:cs="FrankRuehl"/>
          <w:color w:val="000000"/>
          <w:sz w:val="2"/>
          <w:sz w:val="2"/>
          <w:u w:val="single"/>
          <w:rtl w:val="true"/>
        </w:rPr>
        <w:t>נוסח מסמך זה כפוף לשינויי ניסוח ועריכה</w:t>
      </w:r>
    </w:p>
    <w:sectPr>
      <w:headerReference w:type="default" r:id="rId30"/>
      <w:footerReference w:type="default" r:id="rId31"/>
      <w:type w:val="nextPage"/>
      <w:pgSz w:w="11906" w:h="16838"/>
      <w:pgMar w:left="1800" w:right="1800" w:gutter="0" w:header="720" w:top="1701" w:footer="510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Consolas">
    <w:charset w:val="00" w:characterSet="windows-1252"/>
    <w:family w:val="modern"/>
    <w:pitch w:val="default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2067/23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אור משטי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492"/>
        </w:tabs>
        <w:ind w:start="1492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209"/>
        </w:tabs>
        <w:ind w:start="1209" w:hanging="360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926"/>
        </w:tabs>
        <w:ind w:start="926" w:hanging="360"/>
      </w:p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643"/>
        </w:tabs>
        <w:ind w:start="643" w:hanging="360"/>
      </w:pPr>
    </w:lvl>
  </w:abstractNum>
  <w:abstractNum w:abstractNumId="6">
    <w:lvl w:ilvl="0">
      <w:start w:val="1"/>
      <w:numFmt w:val="bullet"/>
      <w:lvlText w:val=""/>
      <w:lvlJc w:val="end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end"/>
      <w:pPr>
        <w:tabs>
          <w:tab w:val="num" w:pos="1209"/>
        </w:tabs>
        <w:ind w:start="12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end"/>
      <w:pPr>
        <w:tabs>
          <w:tab w:val="num" w:pos="926"/>
        </w:tabs>
        <w:ind w:start="926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end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</w:abstractNum>
  <w:abstractNum w:abstractNumId="11">
    <w:lvl w:ilvl="0">
      <w:start w:val="1"/>
      <w:numFmt w:val="bullet"/>
      <w:lvlText w:val=""/>
      <w:lvlJc w:val="end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aseID" w:val="81821116"/>
    <w:docVar w:name="CasePresentationDS" w:val="&amp;lt;?xml version=&amp;quot;1.0&amp;quot;?&amp;gt;&#10;&amp;lt;CasePresentationDS&amp;gt;&#10;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CasePresentationDS&amp;quot; msdata:IsDataSet=&amp;quot;true&amp;quot; msdata:UseCurrentLocale=&amp;quot;true&amp;quot;&amp;gt;&#10;      &amp;lt;xs:complexType&amp;gt;&#10;        &amp;lt;xs:choice minOccurs=&amp;quot;0&amp;quot; maxOccurs=&amp;quot;unbounded&amp;quot;&amp;gt;&#10;          &amp;lt;xs:element name=&amp;quot;CasePresentationDataSet&amp;quot;&amp;gt;&#10;            &amp;lt;xs:complexType&amp;gt;&#10;              &amp;lt;xs:sequence&amp;gt;&#10;                &amp;lt;xs:element name=&amp;quot;CaseID&amp;quot; type=&amp;quot;xs:int&amp;quot; /&amp;gt;&#10;                &amp;lt;xs:element name=&amp;quot;CaseMonth&amp;quot; type=&amp;quot;xs:int&amp;quot; /&amp;gt;&#10;                &amp;lt;xs:element name=&amp;quot;CaseYear&amp;quot; type=&amp;quot;xs:int&amp;quot; /&amp;gt;&#10;                &amp;lt;xs:element name=&amp;quot;CaseNumber&amp;quot; type=&amp;quot;xs:int&amp;quot; /&amp;gt;&#10;                &amp;lt;xs:element name=&amp;quot;NumeratorGroupID&amp;quot; type=&amp;quot;xs:int&amp;quot; /&amp;gt;&#10;                &amp;lt;xs:element name=&amp;quot;CaseName&amp;quot; type=&amp;quot;xs:string&amp;quot; /&amp;gt;&#10;                &amp;lt;xs:element name=&amp;quot;CourtID&amp;quot; type=&amp;quot;xs:int&amp;quot; /&amp;gt;&#10;                &amp;lt;xs:element name=&amp;quot;CaseTypeID&amp;quot; type=&amp;quot;xs:int&amp;quot; /&amp;gt;&#10;                &amp;lt;xs:element name=&amp;quot;CaseInterestID&amp;quot; type=&amp;quot;xs:int&amp;quot; minOccurs=&amp;quot;0&amp;quot; /&amp;gt;&#10;                &amp;lt;xs:element name=&amp;quot;CaseJudgeName&amp;quot; type=&amp;quot;xs:string&amp;quot; minOccurs=&amp;quot;0&amp;quot; /&amp;gt;&#10;                &amp;lt;xs:element name=&amp;quot;CaseLinkTypeID&amp;quot; type=&amp;quot;xs:int&amp;quot; minOccurs=&amp;quot;0&amp;quot; /&amp;gt;&#10;                &amp;lt;xs:element name=&amp;quot;ProcedureID&amp;quot; type=&amp;quot;xs:int&amp;quot; minOccurs=&amp;quot;0&amp;quot; /&amp;gt;&#10;                &amp;lt;xs:element name=&amp;quot;PreviousCaseYear&amp;quot; type=&amp;quot;xs:string&amp;quot; minOccurs=&amp;quot;0&amp;quot; /&amp;gt;&#10;                &amp;lt;xs:element name=&amp;quot;PreviousCaseNumber&amp;quot; type=&amp;quot;xs:int&amp;quot; minOccurs=&amp;quot;0&amp;quot; /&amp;gt;&#10;                &amp;lt;xs:element name=&amp;quot;CaseStatusID&amp;quot; type=&amp;quot;xs:int&amp;quot; /&amp;gt;&#10;                &amp;lt;xs:element name=&amp;quot;ProceedingID&amp;quot; type=&amp;quot;xs:int&amp;quot; /&amp;gt;&#10;                &amp;lt;xs:element name=&amp;quot;IsCaseLinked&amp;quot; type=&amp;quot;xs:boolean&amp;quot; /&amp;gt;&#10;                &amp;lt;xs:element name=&amp;quot;IsCaseConverted&amp;quot; type=&amp;quot;xs:boolean&amp;quot; minOccurs=&amp;quot;0&amp;quot; /&amp;gt;&#10;                &amp;lt;xs:element name=&amp;quot;PrivilegeID&amp;quot; type=&amp;quot;xs:int&amp;quot; /&amp;gt;&#10;                &amp;lt;xs:element name=&amp;quot;IsAppealingCaseExist&amp;quot; type=&amp;quot;xs:boolean&amp;quot; minOccurs=&amp;quot;0&amp;quot; /&amp;gt;&#10;                &amp;lt;xs:element name=&amp;quot;CaseDisplayIdentifier&amp;quot; type=&amp;quot;xs:string&amp;quot; minOccurs=&amp;quot;0&amp;quot; /&amp;gt;&#10;                &amp;lt;xs:element name=&amp;quot;CaseTypeDesc&amp;quot; type=&amp;quot;xs:string&amp;quot; minOccurs=&amp;quot;0&amp;quot; /&amp;gt;&#10;                &amp;lt;xs:element name=&amp;quot;CourtDesc&amp;quot; type=&amp;quot;xs:string&amp;quot; minOccurs=&amp;quot;0&amp;quot; /&amp;gt;&#10;                &amp;lt;xs:element name=&amp;quot;CaseStageDesc&amp;quot; type=&amp;quot;xs:string&amp;quot; /&amp;gt;&#10;                &amp;lt;xs:element name=&amp;quot;IsPendingExemptionDecision&amp;quot; type=&amp;quot;xs:boolean&amp;quot; minOccurs=&amp;quot;0&amp;quot; /&amp;gt;&#10;                &amp;lt;xs:element name=&amp;quot;IsPendingEntitlementDecision&amp;quot; type=&amp;quot;xs:boolean&amp;quot; minOccurs=&amp;quot;0&amp;quot; /&amp;gt;&#10;                &amp;lt;xs:element name=&amp;quot;IsPendingDifferentCaseVerdict&amp;quot; type=&amp;quot;xs:boolean&amp;quot; minOccurs=&amp;quot;0&amp;quot; /&amp;gt;&#10;                &amp;lt;xs:element name=&amp;quot;IsUnpaidFeeExist&amp;quot; type=&amp;quot;xs:boolean&amp;quot; minOccurs=&amp;quot;0&amp;quot; /&amp;gt;&#10;                &amp;lt;xs:element name=&amp;quot;IsExecutionDelayed&amp;quot; type=&amp;quot;xs:boolean&amp;quot; minOccurs=&amp;quot;0&amp;quot; /&amp;gt;&#10;                &amp;lt;xs:element name=&amp;quot;CaseEntitiesArrestResult&amp;quot; type=&amp;quot;xs:string&amp;quot; minOccurs=&amp;quot;0&amp;quot; /&amp;gt;&#10;                &amp;lt;xs:element name=&amp;quot;CasePreviousSessionDate&amp;quot; type=&amp;quot;xs:dateTime&amp;quot; minOccurs=&amp;quot;0&amp;quot; /&amp;gt;&#10;                &amp;lt;xs:element name=&amp;quot;CaseNextSessionDate&amp;quot; type=&amp;quot;xs:dateTime&amp;quot; minOccurs=&amp;quot;0&amp;quot; /&amp;gt;&#10;                &amp;lt;xs:element name=&amp;quot;PreviousCaseNumberDesc&amp;quot; type=&amp;quot;xs:string&amp;quot; minOccurs=&amp;quot;0&amp;quot; /&amp;gt;&#10;                &amp;lt;xs:element name=&amp;quot;SubCaseNumber&amp;quot; type=&amp;quot;xs:int&amp;quot; minOccurs=&amp;quot;0&amp;quot; /&amp;gt;&#10;                &amp;lt;xs:element name=&amp;quot;CaseNextDeterminingTask&amp;quot; type=&amp;quot;xs:int&amp;quot; minOccurs=&amp;quot;0&amp;quot; /&amp;gt;&#10;                &amp;lt;xs:element name=&amp;quot;TemporaryAidStatus&amp;quot; type=&amp;quot;xs:string&amp;quot; minOccurs=&amp;quot;0&amp;quot; /&amp;gt;&#10;                &amp;lt;xs:element name=&amp;quot;CaseOpenDate&amp;quot; type=&amp;quot;xs:dateTime&amp;quot; /&amp;gt;&#10;                &amp;lt;xs:element name=&amp;quot;PleaTypeID&amp;quot; type=&amp;quot;xs:int&amp;quot; minOccurs=&amp;quot;0&amp;quot; /&amp;gt;&#10;                &amp;lt;xs:element name=&amp;quot;CourtLevelID&amp;quot; type=&amp;quot;xs:int&amp;quot; minOccurs=&amp;quot;0&amp;quot; /&amp;gt;&#10;                &amp;lt;xs:element name=&amp;quot;CourtLevelCaseTypeInterestID&amp;quot; type=&amp;quot;xs:int&amp;quot; minOccurs=&amp;quot;0&amp;quot; /&amp;gt;&#10;                &amp;lt;xs:element name=&amp;quot;CaseJudgeFirstName&amp;quot; type=&amp;quot;xs:string&amp;quot; minOccurs=&amp;quot;0&amp;quot; /&amp;gt;&#10;                &amp;lt;xs:element name=&amp;quot;CaseJudgeLastName&amp;quot; type=&amp;quot;xs:string&amp;quot; minOccurs=&amp;quot;0&amp;quot; /&amp;gt;&#10;                &amp;lt;xs:element name=&amp;quot;JudicalPersonID&amp;quot; type=&amp;quot;xs:string&amp;quot; minOccurs=&amp;quot;0&amp;quot; /&amp;gt;&#10;                &amp;lt;xs:element name=&amp;quot;IsJudicalPanel&amp;quot; type=&amp;quot;xs:boolean&amp;quot; minOccurs=&amp;quot;0&amp;quot; /&amp;gt;&#10;                &amp;lt;xs:element name=&amp;quot;CourtDisplayName&amp;quot; type=&amp;quot;xs:string&amp;quot; minOccurs=&amp;quot;0&amp;quot; /&amp;gt;&#10;                &amp;lt;xs:element name=&amp;quot;IsAllStartDataCollected&amp;quot; type=&amp;quot;xs:boolean&amp;quot; minOccurs=&amp;quot;0&amp;quot; /&amp;gt;&#10;                &amp;lt;xs:element name=&amp;quot;IsMainCase&amp;quot; type=&amp;quot;xs:boolean&amp;quot; minOccurs=&amp;quot;0&amp;quot; /&amp;gt;&#10;                &amp;lt;xs:element name=&amp;quot;PreviousCourtID&amp;quot; type=&amp;quot;xs:int&amp;quot; minOccurs=&amp;quot;0&amp;quot; /&amp;gt;&#10;                &amp;lt;xs:element name=&amp;quot;PreviousCaseTypeID&amp;quot; type=&amp;quot;xs:int&amp;quot; minOccurs=&amp;quot;0&amp;quot; /&amp;gt;&#10;                &amp;lt;xs:element name=&amp;quot;CaseDesc&amp;quot; type=&amp;quot;xs:string&amp;quot; minOccurs=&amp;quot;0&amp;quot; /&amp;gt;&#10;                &amp;lt;xs:element name=&amp;quot;isExistMinorSide&amp;quot; type=&amp;quot;xs:boolean&amp;quot; minOccurs=&amp;quot;0&amp;quot; /&amp;gt;&#10;                &amp;lt;xs:element name=&amp;quot;isExistMinorWitness&amp;quot; type=&amp;quot;xs:boolean&amp;quot; minOccurs=&amp;quot;0&amp;quot; /&amp;gt;&#10;                &amp;lt;xs:element name=&amp;quot;CaseNextSessionTypeID&amp;quot; type=&amp;quot;xs:int&amp;quot; minOccurs=&amp;quot;0&amp;quot; /&amp;gt;&#10;                &amp;lt;xs:element name=&amp;quot;CasePreviousSessionTypeID&amp;quot; type=&amp;quot;xs:int&amp;quot; minOccurs=&amp;quot;0&amp;quot; /&amp;gt;&#10;                &amp;lt;xs:element name=&amp;quot;CasePermitStatus&amp;quot; type=&amp;quot;xs:int&amp;quot; minOccurs=&amp;quot;0&amp;quot; /&amp;gt;&#10;                &amp;lt;xs:element name=&amp;quot;InstitutionalPathID&amp;quot; type=&amp;quot;xs:int&amp;quot; minOccurs=&amp;quot;0&amp;quot; /&amp;gt;&#10;                &amp;lt;xs:element name=&amp;quot;PreviousCaseIdentifier&amp;quot; type=&amp;quot;xs:string&amp;quot; minOccurs=&amp;quot;0&amp;quot; /&amp;gt;&#10;                &amp;lt;xs:element name=&amp;quot;ArchivingActivityID&amp;quot; type=&amp;quot;xs:int&amp;quot; minOccurs=&amp;quot;0&amp;quot; /&amp;gt;&#10;                &amp;lt;xs:element name=&amp;quot;GettingReasonID&amp;quot; type=&amp;quot;xs:int&amp;quot; minOccurs=&amp;quot;0&amp;quot; /&amp;gt;&#10;                &amp;lt;xs:element name=&amp;quot;StorageDate&amp;quot; type=&amp;quot;xs:dateTime&amp;quot; minOccurs=&amp;quot;0&amp;quot; /&amp;gt;&#10;                &amp;lt;xs:element name=&amp;quot;IsArchivingActivityManuallyUpdated&amp;quot; type=&amp;quot;xs:boolean&amp;quot; minOccurs=&amp;quot;0&amp;quot; /&amp;gt;&#10;                &amp;lt;xs:element name=&amp;quot;StorageDateRecalculationDate&amp;quot; type=&amp;quot;xs:dateTime&amp;quot; minOccurs=&amp;quot;0&amp;quot; /&amp;gt;&#10;                &amp;lt;xs:element name=&amp;quot;IsAccessibilityRequired&amp;quot; type=&amp;quot;xs:boolean&amp;quot; default=&amp;quot;false&amp;quot; /&amp;gt;&#10;                &amp;lt;xs:element name=&amp;quot;IsDecisionTypeZaveElyon&amp;quot; type=&amp;quot;xs:boolean&amp;quot; minOccurs=&amp;quot;0&amp;quot; /&amp;gt;&#10;                &amp;lt;xs:element name=&amp;quot;IsGuaranteeDeposit&amp;quot; type=&amp;quot;xs:boolean&amp;quot; minOccurs=&amp;quot;0&amp;quot; /&amp;gt;&#10;                &amp;lt;xs:element name=&amp;quot;IsFeePaid&amp;quot; type=&amp;quot;xs:boolean&amp;quot; minOccurs=&amp;quot;0&amp;quot; /&amp;gt;&#10;                &amp;lt;xs:element name=&amp;quot;IsExistCancelledArrest&amp;quot; type=&amp;quot;xs:boolean&amp;quot; minOccurs=&amp;quot;0&amp;quot; /&amp;gt;&#10;                &amp;lt;xs:element name=&amp;quot;IsExistPrisoner&amp;quot; type=&amp;quot;xs:boolean&amp;quot; minOccurs=&amp;quot;0&amp;quot; /&amp;gt;&#10;                &amp;lt;xs:element name=&amp;quot;IsExistDetainee&amp;quot; type=&amp;quot;xs:boolean&amp;quot; minOccurs=&amp;quot;0&amp;quot; /&amp;gt;&#10;                &amp;lt;xs:element name=&amp;quot;IsDebitExist&amp;quot; type=&amp;quot;xs:boolean&amp;quot; minOccurs=&amp;quot;0&amp;quot; /&amp;gt;&#10;                &amp;lt;xs:element name=&amp;quot;DebitExsitDate&amp;quot; type=&amp;quot;xs:dateTime&amp;quot; minOccurs=&amp;quot;0&amp;quot; /&amp;gt;&#10;                &amp;lt;xs:element name=&amp;quot;OpenFeeIndication&amp;quot; type=&amp;quot;xs:int&amp;quot; minOccurs=&amp;quot;0&amp;quot; /&amp;gt;&#10;                &amp;lt;xs:element name=&amp;quot;GuaranteeIndication&amp;quot; type=&amp;quot;xs:int&amp;quot; minOccurs=&amp;quot;0&amp;quot; /&amp;gt;&#10;                &amp;lt;xs:element name=&amp;quot;DelayedPunishmentDate&amp;quot; type=&amp;quot;xs:dateTime&amp;quot; minOccurs=&amp;quot;0&amp;quot; /&amp;gt;&#10;                &amp;lt;xs:element name=&amp;quot;IsExistSeizure&amp;quot; type=&amp;quot;xs:boolean&amp;quot; minOccurs=&amp;quot;0&amp;quot; /&amp;gt;&#10;                &amp;lt;xs:element name=&amp;quot;IsExemptionExistInCase&amp;quot; type=&amp;quot;xs:boolean&amp;quot; minOccurs=&amp;quot;0&amp;quot; /&amp;gt;&#10;                &amp;lt;xs:element name=&amp;quot;IsDebitTransferedInCase&amp;quot; type=&amp;quot;xs:boolean&amp;quot; minOccurs=&amp;quot;0&amp;quot; /&amp;gt;&#10;                &amp;lt;xs:element name=&amp;quot;IsUnconvertedCase&amp;quot; type=&amp;quot;xs:boolean&amp;quot; minOccurs=&amp;quot;0&amp;quot; /&amp;gt;&#10;                &amp;lt;xs:element name=&amp;quot;ActiveInCaseSuspendedLawyers&amp;quot; type=&amp;quot;xs:string&amp;quot; minOccurs=&amp;quot;0&amp;quot; /&amp;gt;&#10;                &amp;lt;xs:element name=&amp;quot;IsElectronicallyMonitoredDetainee&amp;quot; type=&amp;quot;xs:boolean&amp;quot; minOccurs=&amp;quot;0&amp;quot; /&amp;gt;&#10;                &amp;lt;xs:element name=&amp;quot;IsCasePredictedToAge&amp;quot; type=&amp;quot;xs:int&amp;quot; default=&amp;quot;0&amp;quot; minOccurs=&amp;quot;0&amp;quot; /&amp;gt;&#10;                &amp;lt;xs:element name=&amp;quot;PendingWebSubmissionsQty&amp;quot; type=&amp;quot;xs:int&amp;quot; minOccurs=&amp;quot;0&amp;quot; /&amp;gt;&#10;                &amp;lt;xs:element name=&amp;quot;PreviousSerialNumber&amp;quot; type=&amp;quot;xs:string&amp;quot; minOccurs=&amp;quot;0&amp;quot; /&amp;gt;&#10;              &amp;lt;/xs:sequence&amp;gt;&#10;            &amp;lt;/xs:complexType&amp;gt;&#10;          &amp;lt;/xs:element&amp;gt;&#10;        &amp;lt;/xs:choice&amp;gt;&#10;      &amp;lt;/xs:complexType&amp;gt;&#10;    &amp;lt;/xs:element&amp;gt;&#10;  &amp;lt;/xs:schema&amp;gt;&#10;  &amp;lt;diffgr:diffgram xmlns:msdata=&amp;quot;urn:schemas-microsoft-com:xml-msdata&amp;quot; xmlns:diffgr=&amp;quot;urn:schemas-microsoft-com:xml-diffgram-v1&amp;quot;&amp;gt;&#10;    &amp;lt;CasePresentationDS xmlns=&amp;quot;http://tempuri.org/CasePresentationDS.xsd&amp;quot;&amp;gt;&#10;      &amp;lt;CasePresentationDataSet diffgr:id=&amp;quot;CasePresentationDataSet1&amp;quot; msdata:rowOrder=&amp;quot;0&amp;quot; diffgr:hasChanges=&amp;quot;modified&amp;quot;&amp;gt;&#10;        &amp;lt;CaseID&amp;gt;81821116&amp;lt;/CaseID&amp;gt;&#10;        &amp;lt;CaseMonth&amp;gt;3&amp;lt;/CaseMonth&amp;gt;&#10;        &amp;lt;CaseYear&amp;gt;2023&amp;lt;/CaseYear&amp;gt;&#10;        &amp;lt;CaseNumber&amp;gt;73541&amp;lt;/CaseNumber&amp;gt;&#10;        &amp;lt;NumeratorGroupID&amp;gt;1&amp;lt;/NumeratorGroupID&amp;gt;&#10;        &amp;lt;CaseName&amp;gt;אור משטי (אסיר) נ&amp;#39; מדינת ישראל &amp;lt;/CaseName&amp;gt;&#10;        &amp;lt;CourtID&amp;gt;11&amp;lt;/CourtID&amp;gt;&#10;        &amp;lt;CaseTypeID&amp;gt;10013&amp;lt;/CaseTypeID&amp;gt;&#10;        &amp;lt;CaseInterestID&amp;gt;10714&amp;lt;/CaseInterestID&amp;gt;&#10;        &amp;lt;CaseJudgeName&amp;gt;יוסף אלרון&amp;lt;/CaseJudgeName&amp;gt;&#10;        &amp;lt;CaseLinkTypeID&amp;gt;3&amp;lt;/CaseLinkTypeID&amp;gt;&#10;        &amp;lt;ProcedureID&amp;gt;2&amp;lt;/ProcedureID&amp;gt;&#10;        &amp;lt;PreviousCaseYear&amp;gt;2023&amp;lt;/PreviousCaseYear&amp;gt;&#10;        &amp;lt;PreviousCaseNumber&amp;gt;2067&amp;lt;/PreviousCaseNumber&amp;gt;&#10;        &amp;lt;CaseStatusID&amp;gt;1&amp;lt;/CaseStatusID&amp;gt;&#10;        &amp;lt;ProceedingID&amp;gt;2&amp;lt;/ProceedingID&amp;gt;&#10;        &amp;lt;IsCaseLinked&amp;gt;true&amp;lt;/IsCaseLinked&amp;gt;&#10;        &amp;lt;IsCaseConverted&amp;gt;true&amp;lt;/IsCaseConverted&amp;gt;&#10;        &amp;lt;PrivilegeID&amp;gt;2&amp;lt;/PrivilegeID&amp;gt;&#10;        &amp;lt;IsAppealingCaseExist&amp;gt;false&amp;lt;/IsAppealingCaseExist&amp;gt;&#10;        &amp;lt;CaseDisplayIdentifier&amp;gt;2067/23&amp;lt;/CaseDisplayIdentifier&amp;gt;&#10;        &amp;lt;CaseTypeDesc&amp;gt;ע&amp;quot;פ&amp;lt;/CaseTypeDesc&amp;gt;&#10;        &amp;lt;CourtDesc&amp;gt;העליון&amp;lt;/CourtDesc&amp;gt;&#10;        &amp;lt;CaseStageDesc&amp;gt;תיק נייר מוסב&amp;lt;/CaseStageDesc&amp;gt;&#10;        &amp;lt;IsUnpaidFeeExist&amp;gt;false&amp;lt;/IsUnpaidFeeExist&amp;gt;&#10;        &amp;lt;CaseOpenDate&amp;gt;2023-03-12T00:00:00+02:00&amp;lt;/CaseOpenDate&amp;gt;&#10;        &amp;lt;PleaTypeID&amp;gt;6&amp;lt;/PleaTypeID&amp;gt;&#10;        &amp;lt;CourtLevelID&amp;gt;3&amp;lt;/CourtLevelID&amp;gt;&#10;        &amp;lt;CourtLevelCaseTypeInterestID&amp;gt;917&amp;lt;/CourtLevelCaseTypeInterestID&amp;gt;&#10;        &amp;lt;CaseJudgeFirstName&amp;gt;יוסף&amp;lt;/CaseJudgeFirstName&amp;gt;&#10;        &amp;lt;CaseJudgeLastName&amp;gt;אלרון &amp;lt;/CaseJudgeLastName&amp;gt;&#10;        &amp;lt;JudicalPersonID&amp;gt;053565529@GOV.IL&amp;lt;/JudicalPersonID&amp;gt;&#10;        &amp;lt;IsJudicalPanel&amp;gt;true&amp;lt;/IsJudicalPanel&amp;gt;&#10;        &amp;lt;CourtDisplayName&amp;gt;בית המשפט העליון &amp;lt;/CourtDisplayName&amp;gt;&#10;        &amp;lt;IsAllStartDataCollected&amp;gt;true&amp;lt;/IsAllStartDataCollected&amp;gt;&#10;        &amp;lt;IsMainCase&amp;gt;false&amp;lt;/IsMainCase&amp;gt;&#10;        &amp;lt;PreviousCourtID&amp;gt;1&amp;lt;/PreviousCourtID&amp;gt;&#10;        &amp;lt;PreviousCaseTypeID&amp;gt;69&amp;lt;/PreviousCaseTypeID&amp;gt;&#10;        &amp;lt;CaseDesc&amp;gt;הודע לצדדים , רחלי, עו&amp;quot;ד עדי קידר.&amp;lt;/CaseDesc&amp;gt;&#10;        &amp;lt;isExistMinorSide&amp;gt;false&amp;lt;/isExistMinorSide&amp;gt;&#10;        &amp;lt;isExistMinorWitness&amp;gt;false&amp;lt;/isExistMinorWitness&amp;gt;&#10;        &amp;lt;PreviousCaseIdentifier&amp;gt;20230020670&amp;lt;/PreviousCaseIdentifier&amp;gt;&#10;        &amp;lt;IsAccessibilityRequired&amp;gt;false&amp;lt;/IsAccessibilityRequired&amp;gt;&#10;        &amp;lt;IsDecisionTypeZaveElyon&amp;gt;false&amp;lt;/IsDecisionTypeZaveElyon&amp;gt;&#10;        &amp;lt;IsFeePaid&amp;gt;false&amp;lt;/IsFeePaid&amp;gt;&#10;        &amp;lt;IsExistPrisoner&amp;gt;true&amp;lt;/IsExistPrisoner&amp;gt;&#10;        &amp;lt;IsExistDetainee&amp;gt;false&amp;lt;/IsExistDetainee&amp;gt;&#10;        &amp;lt;IsDebitExist&amp;gt;false&amp;lt;/IsDebitExist&amp;gt;&#10;        &amp;lt;IsExistSeizure&amp;gt;false&amp;lt;/IsExistSeizure&amp;gt;&#10;        &amp;lt;IsExemptionExistInCase&amp;gt;false&amp;lt;/IsExemptionExistInCase&amp;gt;&#10;        &amp;lt;IsDebitTransferedInCase&amp;gt;false&amp;lt;/IsDebitTransferedInCase&amp;gt;&#10;        &amp;lt;IsElectronicallyMonitoredDetainee&amp;gt;false&amp;lt;/IsElectronicallyMonitoredDetainee&amp;gt;&#10;        &amp;lt;IsCasePredictedToAge&amp;gt;0&amp;lt;/IsCasePredictedToAge&amp;gt;&#10;        &amp;lt;PendingWebSubmissionsQty&amp;gt;0&amp;lt;/PendingWebSubmissionsQty&amp;gt;&#10;        &amp;lt;PreviousSerialNumber&amp;gt;0&amp;lt;/PreviousSerialNumber&amp;gt;&#10;      &amp;lt;/CasePresentationDataSet&amp;gt;&#10;    &amp;lt;/CasePresentationDS&amp;gt;&#10;    &amp;lt;diffgr:before&amp;gt;&#10;      &amp;lt;CasePresentationDataSet diffgr:id=&amp;quot;CasePresentationDataSet1&amp;quot; msdata:rowOrder=&amp;quot;0&amp;quot; xmlns=&amp;quot;http://tempuri.org/CasePresentationDS.xsd&amp;quot;&amp;gt;&#10;        &amp;lt;CaseID&amp;gt;81821116&amp;lt;/CaseID&amp;gt;&#10;        &amp;lt;CaseMonth&amp;gt;3&amp;lt;/CaseMonth&amp;gt;&#10;        &amp;lt;CaseYear&amp;gt;2023&amp;lt;/CaseYear&amp;gt;&#10;        &amp;lt;CaseNumber&amp;gt;73541&amp;lt;/CaseNumber&amp;gt;&#10;        &amp;lt;NumeratorGroupID&amp;gt;1&amp;lt;/NumeratorGroupID&amp;gt;&#10;        &amp;lt;CaseName&amp;gt;אור משטי (אסיר) נ&amp;#39; מדינת ישראל &amp;lt;/CaseName&amp;gt;&#10;        &amp;lt;CourtID&amp;gt;11&amp;lt;/CourtID&amp;gt;&#10;        &amp;lt;CaseTypeID&amp;gt;10013&amp;lt;/CaseTypeID&amp;gt;&#10;        &amp;lt;CaseInterestID&amp;gt;10714&amp;lt;/CaseInterestID&amp;gt;&#10;        &amp;lt;CaseJudgeName&amp;gt;יוסף אלרון&amp;lt;/CaseJudgeName&amp;gt;&#10;        &amp;lt;CaseLinkTypeID&amp;gt;3&amp;lt;/CaseLinkTypeID&amp;gt;&#10;        &amp;lt;ProcedureID&amp;gt;2&amp;lt;/ProcedureID&amp;gt;&#10;        &amp;lt;PreviousCaseYear&amp;gt;2023&amp;lt;/PreviousCaseYear&amp;gt;&#10;        &amp;lt;PreviousCaseNumber&amp;gt;2067&amp;lt;/PreviousCaseNumber&amp;gt;&#10;        &amp;lt;CaseStatusID&amp;gt;1&amp;lt;/CaseStatusID&amp;gt;&#10;        &amp;lt;ProceedingID&amp;gt;2&amp;lt;/ProceedingID&amp;gt;&#10;        &amp;lt;IsCaseLinked&amp;gt;true&amp;lt;/IsCaseLinked&amp;gt;&#10;        &amp;lt;IsCaseConverted&amp;gt;true&amp;lt;/IsCaseConverted&amp;gt;&#10;        &amp;lt;PrivilegeID&amp;gt;2&amp;lt;/PrivilegeID&amp;gt;&#10;        &amp;lt;IsAppealingCaseExist&amp;gt;false&amp;lt;/IsAppealingCaseExist&amp;gt;&#10;        &amp;lt;CaseDisplayIdentifier&amp;gt;2067/23&amp;lt;/CaseDisplayIdentifier&amp;gt;&#10;        &amp;lt;CaseTypeDesc&amp;gt;ע&amp;quot;פ&amp;lt;/CaseTypeDesc&amp;gt;&#10;        &amp;lt;CourtDesc&amp;gt;העליון&amp;lt;/CourtDesc&amp;gt;&#10;        &amp;lt;CaseStageDesc&amp;gt;תיק נייר מוסב&amp;lt;/CaseStageDesc&amp;gt;&#10;        &amp;lt;CaseOpenDate&amp;gt;2023-03-12T00:00:00+02:00&amp;lt;/CaseOpenDate&amp;gt;&#10;        &amp;lt;PleaTypeID&amp;gt;6&amp;lt;/PleaTypeID&amp;gt;&#10;        &amp;lt;CourtLevelID&amp;gt;3&amp;lt;/CourtLevelID&amp;gt;&#10;        &amp;lt;CourtLevelCaseTypeInterestID&amp;gt;917&amp;lt;/CourtLevelCaseTypeInterestID&amp;gt;&#10;        &amp;lt;CaseJudgeFirstName&amp;gt;יוסף&amp;lt;/CaseJudgeFirstName&amp;gt;&#10;        &amp;lt;CaseJudgeLastName&amp;gt;אלרון &amp;lt;/CaseJudgeLastName&amp;gt;&#10;        &amp;lt;JudicalPersonID&amp;gt;053565529@GOV.IL&amp;lt;/JudicalPersonID&amp;gt;&#10;        &amp;lt;IsJudicalPanel&amp;gt;true&amp;lt;/IsJudicalPanel&amp;gt;&#10;        &amp;lt;CourtDisplayName&amp;gt;בית המשפט העליון &amp;lt;/CourtDisplayName&amp;gt;&#10;        &amp;lt;IsAllStartDataCollected&amp;gt;true&amp;lt;/IsAllStartDataCollected&amp;gt;&#10;        &amp;lt;IsMainCase&amp;gt;false&amp;lt;/IsMainCase&amp;gt;&#10;        &amp;lt;PreviousCourtID&amp;gt;1&amp;lt;/PreviousCourtID&amp;gt;&#10;        &amp;lt;PreviousCaseTypeID&amp;gt;69&amp;lt;/PreviousCaseTypeID&amp;gt;&#10;        &amp;lt;CaseDesc&amp;gt;הודע לצדדים , רחלי, עו&amp;quot;ד עדי קידר.&amp;lt;/CaseDesc&amp;gt;&#10;        &amp;lt;PreviousCaseIdentifier&amp;gt;20230020670&amp;lt;/PreviousCaseIdentifier&amp;gt;&#10;        &amp;lt;IsAccessibilityRequired&amp;gt;false&amp;lt;/IsAccessibilityRequired&amp;gt;&#10;        &amp;lt;IsCasePredictedToAge&amp;gt;0&amp;lt;/IsCasePredictedToAge&amp;gt;&#10;        &amp;lt;PendingWebSubmissionsQty&amp;gt;0&amp;lt;/PendingWebSubmissionsQty&amp;gt;&#10;        &amp;lt;PreviousSerialNumber&amp;gt;0&amp;lt;/PreviousSerialNumber&amp;gt;&#10;      &amp;lt;/CasePresentationDataSet&amp;gt;&#10;    &amp;lt;/diffgr:before&amp;gt;&#10;  &amp;lt;/diffgr:diffgram&amp;gt;&#10;&amp;lt;/CasePresentationDS&amp;gt;"/>
    <w:docVar w:name="CourtID" w:val="11"/>
    <w:docVar w:name="DecisionDS" w:val="&amp;lt;?xml version=&amp;quot;1.0&amp;quot;?&amp;gt;&#10;&amp;lt;DecisionDS&amp;gt;&#10;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DecisionDS&amp;quot; msdata:IsDataSet=&amp;quot;true&amp;quot; msdata:Locale=&amp;quot;he-IL&amp;quot;&amp;gt;&#10;      &amp;lt;xs:complexType&amp;gt;&#10;        &amp;lt;xs:choice minOccurs=&amp;quot;0&amp;quot; maxOccurs=&amp;quot;unbounded&amp;quot;&amp;gt;&#10;          &amp;lt;xs:element name=&amp;quot;dt_Decision&amp;quot;&amp;gt;&#10;            &amp;lt;xs:complexType&amp;gt;&#10;              &amp;lt;xs:sequence&amp;gt;&#10;                &amp;lt;xs:element name=&amp;quot;DecisionID&amp;quot; msdata:ReadOnly=&amp;quot;true&amp;quot; msdata:AutoIncrement=&amp;quot;true&amp;quot; type=&amp;quot;xs:int&amp;quot; /&amp;gt;&#10;                &amp;lt;xs:element name=&amp;quot;DecisionNumber&amp;quot; type=&amp;quot;xs:int&amp;quot; minOccurs=&amp;quot;0&amp;quot; /&amp;gt;&#10;                &amp;lt;xs:element name=&amp;quot;DecisionName&amp;quot; type=&amp;quot;xs:string&amp;quot; /&amp;gt;&#10;                &amp;lt;xs:element name=&amp;quot;DecisionStatusID&amp;quot; type=&amp;quot;xs:int&amp;quot; /&amp;gt;&#10;                &amp;lt;xs:element name=&amp;quot;DecisionStatusChangeDate&amp;quot; type=&amp;quot;xs:dateTime&amp;quot; /&amp;gt;&#10;                &amp;lt;xs:element name=&amp;quot;DecisionSignatureDate&amp;quot; type=&amp;quot;xs:dateTime&amp;quot; minOccurs=&amp;quot;0&amp;quot; /&amp;gt;&#10;                &amp;lt;xs:element name=&amp;quot;DecisionSignatureUserID&amp;quot; type=&amp;quot;xs:string&amp;quot; minOccurs=&amp;quot;0&amp;quot; /&amp;gt;&#10;                &amp;lt;xs:element name=&amp;quot;DecisionCreateDate&amp;quot; type=&amp;quot;xs:dateTime&amp;quot; /&amp;gt;&#10;                &amp;lt;xs:element name=&amp;quot;DecisionChangeDate&amp;quot; type=&amp;quot;xs:dateTime&amp;quot; minOccurs=&amp;quot;0&amp;quot; /&amp;gt;&#10;                &amp;lt;xs:element name=&amp;quot;DecisionChangeUserID&amp;quot; type=&amp;quot;xs:string&amp;quot; minOccurs=&amp;quot;0&amp;quot; /&amp;gt;&#10;                &amp;lt;xs:element name=&amp;quot;DecisionDesc&amp;quot; type=&amp;quot;xs:string&amp;quot; minOccurs=&amp;quot;0&amp;quot; /&amp;gt;&#10;                &amp;lt;xs:element name=&amp;quot;IsChosenDecision&amp;quot; type=&amp;quot;xs:boolean&amp;quot; default=&amp;quot;false&amp;quot; /&amp;gt;&#10;                &amp;lt;xs:element name=&amp;quot;IsDecisionImplementationTask&amp;quot; type=&amp;quot;xs:boolean&amp;quot; default=&amp;quot;false&amp;quot; minOccurs=&amp;quot;0&amp;quot; /&amp;gt;&#10;                &amp;lt;xs:element name=&amp;quot;IsDecisionInProtocol&amp;quot; type=&amp;quot;xs:boolean&amp;quot; default=&amp;quot;false&amp;quot; /&amp;gt;&#10;                &amp;lt;xs:element name=&amp;quot;DecisionTypeID&amp;quot; type=&amp;quot;xs:int&amp;quot; /&amp;gt;&#10;                &amp;lt;xs:element name=&amp;quot;DecisionText&amp;quot; type=&amp;quot;xs:string&amp;quot; minOccurs=&amp;quot;0&amp;quot; /&amp;gt;&#10;                &amp;lt;xs:element name=&amp;quot;IsOnlyOneParty&amp;quot; type=&amp;quot;xs:boolean&amp;quot; default=&amp;quot;false&amp;quot; /&amp;gt;&#10;                &amp;lt;xs:element name=&amp;quot;IsCanceledDecision&amp;quot; type=&amp;quot;xs:boolean&amp;quot; default=&amp;quot;false&amp;quot; /&amp;gt;&#10;                &amp;lt;xs:element name=&amp;quot;DecisionLinkID&amp;quot; type=&amp;quot;xs:int&amp;quot; minOccurs=&amp;quot;0&amp;quot; /&amp;gt;&#10;                &amp;lt;xs:element name=&amp;quot;DecisionLinkTypeID&amp;quot; type=&amp;quot;xs:int&amp;quot; minOccurs=&amp;quot;0&amp;quot; /&amp;gt;&#10;                &amp;lt;xs:element name=&amp;quot;DocumentID&amp;quot; type=&amp;quot;xs:int&amp;quot; minOccurs=&amp;quot;0&amp;quot; /&amp;gt;&#10;                &amp;lt;xs:element name=&amp;quot;PrivilegeID&amp;quot; type=&amp;quot;xs:int&amp;quot; /&amp;gt;&#10;                &amp;lt;xs:element name=&amp;quot;IsDecisionConverted&amp;quot; type=&amp;quot;xs:boolean&amp;quot; default=&amp;quot;false&amp;quot; /&amp;gt;&#10;                &amp;lt;xs:element name=&amp;quot;SignatureUserTypeID&amp;quot; type=&amp;quot;xs:int&amp;quot; minOccurs=&amp;quot;0&amp;quot; /&amp;gt;&#10;                &amp;lt;xs:element name=&amp;quot;IsOpenedToSecondSide&amp;quot; type=&amp;quot;xs:boolean&amp;quot; default=&amp;quot;false&amp;quot; /&amp;gt;&#10;                &amp;lt;xs:element name=&amp;quot;IsDecisionAppeled&amp;quot; type=&amp;quot;xs:boolean&amp;quot; default=&amp;quot;false&amp;quot; /&amp;gt;&#10;                &amp;lt;xs:element name=&amp;quot;DecisionWriterID&amp;quot; type=&amp;quot;xs:string&amp;quot; minOccurs=&amp;quot;0&amp;quot; /&amp;gt;&#10;                &amp;lt;xs:element name=&amp;quot;IsInstruction&amp;quot; type=&amp;quot;xs:boolean&amp;quot; default=&amp;quot;false&amp;quot; /&amp;gt;&#10;                &amp;lt;xs:element name=&amp;quot;PreviousCaseID&amp;quot; type=&amp;quot;xs:string&amp;quot; minOccurs=&amp;quot;0&amp;quot; /&amp;gt;&#10;                &amp;lt;xs:element name=&amp;quot;IsNeedAllSignatures&amp;quot; type=&amp;quot;xs:boolean&amp;quot; default=&amp;quot;false&amp;quot; minOccurs=&amp;quot;0&amp;quot; /&amp;gt;&#10;                &amp;lt;xs:element name=&amp;quot;DecisionAttributeID&amp;quot; type=&amp;quot;xs:int&amp;quot; minOccurs=&amp;quot;0&amp;quot; /&amp;gt;&#10;                &amp;lt;xs:element name=&amp;quot;DecisionCreationUserID&amp;quot; type=&amp;quot;xs:string&amp;quot; /&amp;gt;&#10;                &amp;lt;xs:element name=&amp;quot;DecisionLinkName&amp;quot; type=&amp;quot;xs:string&amp;quot; minOccurs=&amp;quot;0&amp;quot; /&amp;gt;&#10;                &amp;lt;xs:element name=&amp;quot;DecisionLinkCaseID&amp;quot; type=&amp;quot;xs:int&amp;quot; minOccurs=&amp;quot;0&amp;quot; /&amp;gt;&#10;                &amp;lt;xs:element name=&amp;quot;DecisionDisplayName&amp;quot; type=&amp;quot;xs:string&amp;quot; minOccurs=&amp;quot;0&amp;quot; /&amp;gt;&#10;                &amp;lt;xs:element name=&amp;quot;IsScanned&amp;quot; type=&amp;quot;xs:boolean&amp;quot; minOccurs=&amp;quot;0&amp;quot; /&amp;gt;&#10;                &amp;lt;xs:element name=&amp;quot;DecisionSignatureUserName&amp;quot; type=&amp;quot;xs:string&amp;quot; minOccurs=&amp;quot;0&amp;quot; /&amp;gt;&#10;                &amp;lt;xs:element name=&amp;quot;ChangePrivilegeUserID&amp;quot; type=&amp;quot;xs:string&amp;quot; minOccurs=&amp;quot;0&amp;quot; /&amp;gt;&#10;                &amp;lt;xs:element name=&amp;quot;PublishInWebUserID&amp;quot; type=&amp;quot;xs:string&amp;quot; minOccurs=&amp;quot;0&amp;quot; /&amp;gt;&#10;                &amp;lt;xs:element name=&amp;quot;NotificationTypeID&amp;quot; type=&amp;quot;xs:int&amp;quot; default=&amp;quot;1&amp;quot; minOccurs=&amp;quot;0&amp;quot; /&amp;gt;&#10;                &amp;lt;xs:element name=&amp;quot;NotificationAuthorizeUserID&amp;quot; type=&amp;quot;xs:string&amp;quot; minOccurs=&amp;quot;0&amp;quot; /&amp;gt;&#10;                &amp;lt;xs:element name=&amp;quot;DecisionReleaseDate&amp;quot; type=&amp;quot;xs:dateTime&amp;quot; minOccurs=&amp;quot;0&amp;quot; /&amp;gt;&#10;                &amp;lt;xs:element name=&amp;quot;IsDecisionInNote&amp;quot; type=&amp;quot;xs:boolean&amp;quot; default=&amp;quot;false&amp;quot; /&amp;gt;&#10;                &amp;lt;xs:element name=&amp;quot;IsDecisionUrgency&amp;quot; type=&amp;quot;xs:boolean&amp;quot; default=&amp;quot;false&amp;quot; /&amp;gt;&#10;                &amp;lt;xs:element name=&amp;quot;IsTechnicalCancel&amp;quot; type=&amp;quot;xs:boolean&amp;quot; minOccurs=&amp;quot;0&amp;quot; /&amp;gt;&#10;                &amp;lt;xs:element name=&amp;quot;IsPublishSmallCensorVersion&amp;quot; type=&amp;quot;xs:boolean&amp;quot; default=&amp;quot;false&amp;quot; minOccurs=&amp;quot;0&amp;quot; /&amp;gt;&#10;                &amp;lt;xs:element name=&amp;quot;IsIDCPublished&amp;quot; type=&amp;quot;xs:boolean&amp;quot; default=&amp;quot;false&amp;quot; minOccurs=&amp;quot;0&amp;quot; /&amp;gt;&#10;                &amp;lt;xs:element name=&amp;quot;SummaryVersionDocumentID&amp;quot; type=&amp;quot;xs:int&amp;quot; minOccurs=&amp;quot;0&amp;quot; /&amp;gt;&#10;                &amp;lt;xs:element name=&amp;quot;IsIDCPublishedForSummary&amp;quot; type=&amp;quot;xs:boolean&amp;quot; default=&amp;quot;false&amp;quot; minOccurs=&amp;quot;0&amp;quot; /&amp;gt;&#10;                &amp;lt;xs:element name=&amp;quot;DecisionNumberInCase&amp;quot; type=&amp;quot;xs:int&amp;quot; minOccurs=&amp;quot;0&amp;quot; /&amp;gt;&#10;                &amp;lt;xs:element name=&amp;quot;DecisionNote&amp;quot; type=&amp;quot;xs:string&amp;quot; minOccurs=&amp;quot;0&amp;quot; /&amp;gt;&#10;                &amp;lt;xs:element name=&amp;quot;DecisionMeetingDate&amp;quot; type=&amp;quot;xs:dateTime&amp;quot; minOccurs=&amp;quot;0&amp;quot; /&amp;gt;&#10;                &amp;lt;xs:element name=&amp;quot;IsViewInSiteChosenVerdict&amp;quot; type=&amp;quot;xs:boolean&amp;quot; minOccurs=&amp;quot;0&amp;quot; /&amp;gt;&#10;                &amp;lt;xs:element name=&amp;quot;IsOriginal&amp;quot; type=&amp;quot;xs:boolean&amp;quot; minOccurs=&amp;quot;0&amp;quot; /&amp;gt;&#10;              &amp;lt;/xs:sequence&amp;gt;&#10;            &amp;lt;/xs:complexType&amp;gt;&#10;          &amp;lt;/xs:element&amp;gt;&#10;          &amp;lt;xs:element name=&amp;quot;dt_DecisionCase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CaseID&amp;quot; type=&amp;quot;xs:int&amp;quot; /&amp;gt;&#10;                &amp;lt;xs:element name=&amp;quot;IsOriginal&amp;quot; type=&amp;quot;xs:boolean&amp;quot; default=&amp;quot;false&amp;quot; minOccurs=&amp;quot;0&amp;quot; /&amp;gt;&#10;                &amp;lt;xs:element name=&amp;quot;IsDeleted&amp;quot; type=&amp;quot;xs:boolean&amp;quot; default=&amp;quot;false&amp;quot; /&amp;gt;&#10;                &amp;lt;xs:element name=&amp;quot;CaseLinkTypeID&amp;quot; type=&amp;quot;xs:int&amp;quot; minOccurs=&amp;quot;0&amp;quot; /&amp;gt;&#10;                &amp;lt;xs:element name=&amp;quot;CaseName&amp;quot; type=&amp;quot;xs:string&amp;quot; minOccurs=&amp;quot;0&amp;quot; /&amp;gt;&#10;                &amp;lt;xs:element name=&amp;quot;CaseDisplayIdentifier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Motion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MotionID&amp;quot; type=&amp;quot;xs:int&amp;quot; /&amp;gt;&#10;                &amp;lt;xs:element name=&amp;quot;DecisionResultID&amp;quot; type=&amp;quot;xs:int&amp;quot; minOccurs=&amp;quot;0&amp;quot; /&amp;gt;&#10;                &amp;lt;xs:element name=&amp;quot;IsOriginalMotion&amp;quot; type=&amp;quot;xs:boolean&amp;quot; default=&amp;quot;false&amp;quot; minOccurs=&amp;quot;0&amp;quot; /&amp;gt;&#10;                &amp;lt;xs:element name=&amp;quot;MotionName&amp;quot; type=&amp;quot;xs:string&amp;quot; minOccurs=&amp;quot;0&amp;quot; /&amp;gt;&#10;                &amp;lt;xs:element name=&amp;quot;MotionOpenDate&amp;quot; type=&amp;quot;xs:dateTime&amp;quot; minOccurs=&amp;quot;0&amp;quot; /&amp;gt;&#10;                &amp;lt;xs:element name=&amp;quot;CaseID&amp;quot; type=&amp;quot;xs:int&amp;quot; minOccurs=&amp;quot;0&amp;quot; /&amp;gt;&#10;                &amp;lt;xs:element name=&amp;quot;CaseDisplayIdentifier&amp;quot; type=&amp;quot;xs:string&amp;quot; minOccurs=&amp;quot;0&amp;quot; /&amp;gt;&#10;                &amp;lt;xs:element name=&amp;quot;ProcessNumber&amp;quot; type=&amp;quot;xs:int&amp;quot; minOccurs=&amp;quot;0&amp;quot; /&amp;gt;&#10;                &amp;lt;xs:element name=&amp;quot;ListOfProcessIds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Protoco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ProtocolID&amp;quot; type=&amp;quot;xs:int&amp;quot; /&amp;gt;&#10;                &amp;lt;xs:element name=&amp;quot;ProtocolEventID&amp;quot; type=&amp;quot;xs:int&amp;quot; /&amp;gt;&#10;              &amp;lt;/xs:sequence&amp;gt;&#10;            &amp;lt;/xs:complexType&amp;gt;&#10;          &amp;lt;/xs:element&amp;gt;&#10;          &amp;lt;xs:element name=&amp;quot;dt_DecisionJudgePane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JudgeID&amp;quot; type=&amp;quot;xs:string&amp;quot; /&amp;gt;&#10;                &amp;lt;xs:element name=&amp;quot;DocumentSendDate&amp;quot; type=&amp;quot;xs:dateTime&amp;quot; minOccurs=&amp;quot;0&amp;quot; /&amp;gt;&#10;                &amp;lt;xs:element name=&amp;quot;FinalDate&amp;quot; type=&amp;quot;xs:dateTime&amp;quot; minOccurs=&amp;quot;0&amp;quot; /&amp;gt;&#10;                &amp;lt;xs:element name=&amp;quot;SignatureDate&amp;quot; type=&amp;quot;xs:dateTime&amp;quot; minOccurs=&amp;quot;0&amp;quot; /&amp;gt;&#10;                &amp;lt;xs:element name=&amp;quot;DocumentID&amp;quot; type=&amp;quot;xs:int&amp;quot; minOccurs=&amp;quot;0&amp;quot; /&amp;gt;&#10;                &amp;lt;xs:element name=&amp;quot;DecisionOpinionDate&amp;quot; type=&amp;quot;xs:dateTime&amp;quot; minOccurs=&amp;quot;0&amp;quot; /&amp;gt;&#10;                &amp;lt;xs:element name=&amp;quot;WriterViewedDraftDate&amp;quot; type=&amp;quot;xs:dateTime&amp;quot; minOccurs=&amp;quot;0&amp;quot; /&amp;gt;&#10;                &amp;lt;xs:element name=&amp;quot;IsNeedAllSignatures&amp;quot; type=&amp;quot;xs:boolean&amp;quot; minOccurs=&amp;quot;0&amp;quot; /&amp;gt;&#10;                &amp;lt;xs:element name=&amp;quot;DocumentIDNotes&amp;quot; type=&amp;quot;xs:int&amp;quot; minOccurs=&amp;quot;0&amp;quot; /&amp;gt;&#10;                &amp;lt;xs:element name=&amp;quot;OrdinalNumber&amp;quot; type=&amp;quot;xs:int&amp;quot; minOccurs=&amp;quot;0&amp;quot; /&amp;gt;&#10;              &amp;lt;/xs:sequence&amp;gt;&#10;            &amp;lt;/xs:complexType&amp;gt;&#10;          &amp;lt;/xs:element&amp;gt;&#10;          &amp;lt;xs:element name=&amp;quot;dt_Attachments&amp;quot;&amp;gt;&#10;            &amp;lt;xs:complexType&amp;gt;&#10;              &amp;lt;xs:sequence&amp;gt;&#10;                &amp;lt;xs:element name=&amp;quot;DocumentID&amp;quot; type=&amp;quot;xs:int&amp;quot; minOccurs=&amp;quot;0&amp;quot; /&amp;gt;&#10;                &amp;lt;xs:element name=&amp;quot;DocumentStatusChangeDate&amp;quot; type=&amp;quot;xs:dateTime&amp;quot; minOccurs=&amp;quot;0&amp;quot; /&amp;gt;&#10;                &amp;lt;xs:element name=&amp;quot;DocumentDesc&amp;quot; type=&amp;quot;xs:string&amp;quot; minOccurs=&amp;quot;0&amp;quot; /&amp;gt;&#10;                &amp;lt;xs:element name=&amp;quot;DocumentMainID&amp;quot; type=&amp;quot;xs:int&amp;quot; minOccurs=&amp;quot;0&amp;quot; /&amp;gt;&#10;                &amp;lt;xs:element name=&amp;quot;IsIDCPublished&amp;quot; type=&amp;quot;xs:boolean&amp;quot; default=&amp;quot;false&amp;quot; minOccurs=&amp;quot;0&amp;quot; /&amp;gt;&#10;              &amp;lt;/xs:sequence&amp;gt;&#10;            &amp;lt;/xs:complexType&amp;gt;&#10;          &amp;lt;/xs:element&amp;gt;&#10;        &amp;lt;/xs:choice&amp;gt;&#10;      &amp;lt;/xs:complexType&amp;gt;&#10;      &amp;lt;xs:unique name=&amp;quot;DecisionDSKey1&amp;quot; msdata:PrimaryKey=&amp;quot;true&amp;quot;&amp;gt;&#10;        &amp;lt;xs:selector xpath=&amp;quot;.//mstns:dt_Decision&amp;quot; /&amp;gt;&#10;        &amp;lt;xs:field xpath=&amp;quot;mstns:DecisionID&amp;quot; /&amp;gt;&#10;      &amp;lt;/xs:unique&amp;gt;&#10;      &amp;lt;xs:unique name=&amp;quot;DecisionDSKey2&amp;quot; msdata:PrimaryKey=&amp;quot;true&amp;quot;&amp;gt;&#10;        &amp;lt;xs:selector xpath=&amp;quot;.//mstns:dt_DecisionCase&amp;quot; /&amp;gt;&#10;        &amp;lt;xs:field xpath=&amp;quot;mstns:DecisionID&amp;quot; /&amp;gt;&#10;        &amp;lt;xs:field xpath=&amp;quot;mstns:CaseID&amp;quot; /&amp;gt;&#10;      &amp;lt;/xs:unique&amp;gt;&#10;      &amp;lt;xs:unique name=&amp;quot;DecisionDSKey3&amp;quot; msdata:PrimaryKey=&amp;quot;true&amp;quot;&amp;gt;&#10;        &amp;lt;xs:selector xpath=&amp;quot;.//mstns:dt_DecisionMotion&amp;quot; /&amp;gt;&#10;        &amp;lt;xs:field xpath=&amp;quot;mstns:DecisionID&amp;quot; /&amp;gt;&#10;        &amp;lt;xs:field xpath=&amp;quot;mstns:MotionID&amp;quot; /&amp;gt;&#10;      &amp;lt;/xs:unique&amp;gt;&#10;      &amp;lt;xs:unique name=&amp;quot;DecisionDSKey4&amp;quot; msdata:PrimaryKey=&amp;quot;true&amp;quot;&amp;gt;&#10;        &amp;lt;xs:selector xpath=&amp;quot;.//mstns:dt_DecisionProtocol&amp;quot; /&amp;gt;&#10;        &amp;lt;xs:field xpath=&amp;quot;mstns:DecisionID&amp;quot; /&amp;gt;&#10;        &amp;lt;xs:field xpath=&amp;quot;mstns:ProtocolID&amp;quot; /&amp;gt;&#10;        &amp;lt;xs:field xpath=&amp;quot;mstns:ProtocolEventID&amp;quot; /&amp;gt;&#10;      &amp;lt;/xs:unique&amp;gt;&#10;      &amp;lt;xs:unique name=&amp;quot;DecisionDSKey10&amp;quot; msdata:PrimaryKey=&amp;quot;true&amp;quot;&amp;gt;&#10;        &amp;lt;xs:selector xpath=&amp;quot;.//mstns:dt_DecisionJudgePanel&amp;quot; /&amp;gt;&#10;        &amp;lt;xs:field xpath=&amp;quot;mstns:DecisionID&amp;quot; /&amp;gt;&#10;        &amp;lt;xs:field xpath=&amp;quot;mstns:JudgeID&amp;quot; /&amp;gt;&#10;      &amp;lt;/xs:unique&amp;gt;&#10;      &amp;lt;xs:keyref name=&amp;quot;dt_Decisiondt_DecisionJudgePanel&amp;quot; refer=&amp;quot;DecisionDSKey1&amp;quot;&amp;gt;&#10;        &amp;lt;xs:selector xpath=&amp;quot;.//mstns:dt_DecisionJudgePanel&amp;quot; /&amp;gt;&#10;        &amp;lt;xs:field xpath=&amp;quot;mstns:DecisionID&amp;quot; /&amp;gt;&#10;      &amp;lt;/xs:keyref&amp;gt;&#10;      &amp;lt;xs:keyref name=&amp;quot;dt_Decisiondt_DecisionProtocol&amp;quot; refer=&amp;quot;DecisionDSKey1&amp;quot;&amp;gt;&#10;        &amp;lt;xs:selector xpath=&amp;quot;.//mstns:dt_DecisionProtocol&amp;quot; /&amp;gt;&#10;        &amp;lt;xs:field xpath=&amp;quot;mstns:DecisionID&amp;quot; /&amp;gt;&#10;      &amp;lt;/xs:keyref&amp;gt;&#10;      &amp;lt;xs:keyref name=&amp;quot;dt_Decisiondt_DecisionMotion&amp;quot; refer=&amp;quot;DecisionDSKey1&amp;quot;&amp;gt;&#10;        &amp;lt;xs:selector xpath=&amp;quot;.//mstns:dt_DecisionMotion&amp;quot; /&amp;gt;&#10;        &amp;lt;xs:field xpath=&amp;quot;mstns:DecisionID&amp;quot; /&amp;gt;&#10;      &amp;lt;/xs:keyref&amp;gt;&#10;      &amp;lt;xs:keyref name=&amp;quot;dt_Decisiondt_DecisionCase&amp;quot; refer=&amp;quot;DecisionDSKey1&amp;quot;&amp;gt;&#10;        &amp;lt;xs:selector xpath=&amp;quot;.//mstns:dt_DecisionCase&amp;quot; /&amp;gt;&#10;        &amp;lt;xs:field xpath=&amp;quot;mstns:DecisionID&amp;quot; /&amp;gt;&#10;      &amp;lt;/xs:keyref&amp;gt;&#10;    &amp;lt;/xs:element&amp;gt;&#10;  &amp;lt;/xs:schema&amp;gt;&#10;  &amp;lt;diffgr:diffgram xmlns:msdata=&amp;quot;urn:schemas-microsoft-com:xml-msdata&amp;quot; xmlns:diffgr=&amp;quot;urn:schemas-microsoft-com:xml-diffgram-v1&amp;quot;&amp;gt;&#10;    &amp;lt;DecisionDS xmlns=&amp;quot;http://www.tempuri.org/DecisionDS.xsd&amp;quot;&amp;gt;&#10;      &amp;lt;dt_Decision diffgr:id=&amp;quot;dt_Decision1&amp;quot; msdata:rowOrder=&amp;quot;0&amp;quot;&amp;gt;&#10;        &amp;lt;DecisionID&amp;gt;154394883&amp;lt;/DecisionID&amp;gt;&#10;        &amp;lt;DecisionName&amp;gt;פסק דין  שניתנה ע&amp;quot;י  גילה כנפי-שטייניץ&amp;lt;/DecisionName&amp;gt;&#10;        &amp;lt;DecisionStatusID&amp;gt;1&amp;lt;/DecisionStatusID&amp;gt;&#10;        &amp;lt;DecisionStatusChangeDate&amp;gt;2024-08-13T08:40:41.67+03:00&amp;lt;/DecisionStatusChangeDate&amp;gt;&#10;        &amp;lt;DecisionSignatureDate&amp;gt;2024-08-13T08:40:39.343+03:00&amp;lt;/DecisionSignatureDate&amp;gt;&#10;        &amp;lt;DecisionSignatureUserID&amp;gt;055475867@GOV.IL&amp;lt;/DecisionSignatureUserID&amp;gt;&#10;        &amp;lt;DecisionCreateDate&amp;gt;2024-08-12T11:10:59.473+03:00&amp;lt;/DecisionCreateDate&amp;gt;&#10;        &amp;lt;DecisionChangeDate&amp;gt;2024-08-13T08:40:41.787+03:00&amp;lt;/DecisionChangeDate&amp;gt;&#10;        &amp;lt;DecisionChangeUserID&amp;gt;316122126@GOV.IL&amp;lt;/DecisionChangeUserID&amp;gt;&#10;        &amp;lt;DecisionDesc /&amp;gt;&#10;        &amp;lt;IsChosenDecision&amp;gt;false&amp;lt;/IsChosenDecision&amp;gt;&#10;        &amp;lt;IsDecisionImplementationTask&amp;gt;true&amp;lt;/IsDecisionImplementationTask&amp;gt;&#10;        &amp;lt;IsDecisionInProtocol&amp;gt;false&amp;lt;/IsDecisionInProtocol&amp;gt;&#10;        &amp;lt;DecisionTypeID&amp;gt;2&amp;lt;/DecisionTypeID&amp;gt;&#10;        &amp;lt;IsOnlyOneParty&amp;gt;false&amp;lt;/IsOnlyOneParty&amp;gt;&#10;        &amp;lt;IsCanceledDecision&amp;gt;false&amp;lt;/IsCanceledDecision&amp;gt;&#10;        &amp;lt;DocumentID&amp;gt;452537599&amp;lt;/DocumentID&amp;gt;&#10;        &amp;lt;PrivilegeID&amp;gt;1&amp;lt;/PrivilegeID&amp;gt;&#10;        &amp;lt;IsDecisionConverted&amp;gt;false&amp;lt;/IsDecisionConverted&amp;gt;&#10;        &amp;lt;IsOpenedToSecondSide&amp;gt;false&amp;lt;/IsOpenedToSecondSide&amp;gt;&#10;        &amp;lt;IsDecisionAppeled&amp;gt;false&amp;lt;/IsDecisionAppeled&amp;gt;&#10;        &amp;lt;DecisionWriterID&amp;gt;055475867@GOV.IL&amp;lt;/DecisionWriterID&amp;gt;&#10;        &amp;lt;IsInstruction&amp;gt;false&amp;lt;/IsInstruction&amp;gt;&#10;        &amp;lt;IsNeedAllSignatures&amp;gt;false&amp;lt;/IsNeedAllSignatures&amp;gt;&#10;        &amp;lt;DecisionAttributeID&amp;gt;1&amp;lt;/DecisionAttributeID&amp;gt;&#10;        &amp;lt;DecisionCreationUserID&amp;gt;211426127@GOV.IL&amp;lt;/DecisionCreationUserID&amp;gt;&#10;        &amp;lt;DecisionDisplayName&amp;gt;פסק דין  שניתנה ע&amp;quot;י  גילה כנפי-שטייניץ&amp;lt;/DecisionDisplayName&amp;gt;&#10;        &amp;lt;IsScanned&amp;gt;false&amp;lt;/IsScanned&amp;gt;&#10;        &amp;lt;DecisionSignatureUserName&amp;gt;גילה כנפי-שטייניץ&amp;lt;/DecisionSignatureUserName&amp;gt;&#10;        &amp;lt;ChangePrivilegeUserID&amp;gt;055475867@GOV.IL&amp;lt;/ChangePrivilegeUserID&amp;gt;&#10;        &amp;lt;PublishInWebUserID&amp;gt;055475867@GOV.IL&amp;lt;/PublishInWebUserID&amp;gt;&#10;        &amp;lt;NotificationTypeID&amp;gt;1&amp;lt;/NotificationTypeID&amp;gt;&#10;        &amp;lt;IsDecisionInNote&amp;gt;false&amp;lt;/IsDecisionInNote&amp;gt;&#10;        &amp;lt;IsDecisionUrgency&amp;gt;false&amp;lt;/IsDecisionUrgency&amp;gt;&#10;        &amp;lt;IsPublishSmallCensorVersion&amp;gt;false&amp;lt;/IsPublishSmallCensorVersion&amp;gt;&#10;        &amp;lt;IsIDCPublished&amp;gt;false&amp;lt;/IsIDCPublished&amp;gt;&#10;        &amp;lt;IsIDCPublishedForSummary&amp;gt;false&amp;lt;/IsIDCPublishedForSummary&amp;gt;&#10;        &amp;lt;DecisionNumberInCase&amp;gt;10&amp;lt;/DecisionNumberInCase&amp;gt;&#10;        &amp;lt;DecisionNote xml:space=&amp;quot;preserve&amp;quot;&amp;gt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amp;lt;/DecisionNote&amp;gt;&#10;        &amp;lt;DecisionMeetingDate&amp;gt;2024-08-12T00:00:00+03:00&amp;lt;/DecisionMeetingDate&amp;gt;&#10;        &amp;lt;IsViewInSiteChosenVerdict&amp;gt;false&amp;lt;/IsViewInSiteChosenVerdict&amp;gt;&#10;      &amp;lt;/dt_Decision&amp;gt;&#10;      &amp;lt;dt_DecisionCase diffgr:id=&amp;quot;dt_DecisionCase1&amp;quot; msdata:rowOrder=&amp;quot;0&amp;quot;&amp;gt;&#10;        &amp;lt;DecisionID&amp;gt;154394883&amp;lt;/DecisionID&amp;gt;&#10;        &amp;lt;CaseID&amp;gt;81830427&amp;lt;/CaseID&amp;gt;&#10;        &amp;lt;IsOriginal&amp;gt;false&amp;lt;/IsOriginal&amp;gt;&#10;        &amp;lt;IsDeleted&amp;gt;true&amp;lt;/IsDeleted&amp;gt;&#10;        &amp;lt;CaseLinkTypeID&amp;gt;3&amp;lt;/CaseLinkTypeID&amp;gt;&#10;        &amp;lt;CaseName&amp;gt;כרמלי (מעוכב ביצוע בתיק נוכחי ) נ&amp;#39; מדינת ישראל &amp;lt;/CaseName&amp;gt;&#10;        &amp;lt;CaseDisplayIdentifier&amp;gt;ע&amp;quot;פ 2109/24&amp;lt;/CaseDisplayIdentifier&amp;gt;&#10;      &amp;lt;/dt_DecisionCase&amp;gt;&#10;      &amp;lt;dt_DecisionCase diffgr:id=&amp;quot;dt_DecisionCase2&amp;quot; msdata:rowOrder=&amp;quot;1&amp;quot;&amp;gt;&#10;        &amp;lt;DecisionID&amp;gt;154394883&amp;lt;/DecisionID&amp;gt;&#10;        &amp;lt;CaseID&amp;gt;81821116&amp;lt;/CaseID&amp;gt;&#10;        &amp;lt;IsOriginal&amp;gt;true&amp;lt;/IsOriginal&amp;gt;&#10;        &amp;lt;IsDeleted&amp;gt;false&amp;lt;/IsDeleted&amp;gt;&#10;        &amp;lt;CaseName&amp;gt;אור משטי (אסיר) נ&amp;#39; מדינת ישראל &amp;lt;/CaseName&amp;gt;&#10;        &amp;lt;CaseDisplayIdentifier&amp;gt;ע&amp;quot;פ 2067/23&amp;lt;/CaseDisplayIdentifier&amp;gt;&#10;      &amp;lt;/dt_DecisionCase&amp;gt;&#10;      &amp;lt;dt_DecisionJudgePanel diffgr:id=&amp;quot;dt_DecisionJudgePanel1&amp;quot; msdata:rowOrder=&amp;quot;0&amp;quot;&amp;gt;&#10;        &amp;lt;DecisionID&amp;gt;154394883&amp;lt;/DecisionID&amp;gt;&#10;        &amp;lt;JudgeID&amp;gt;053565529@GOV.IL&amp;lt;/JudgeID&amp;gt;&#10;        &amp;lt;OrdinalNumber&amp;gt;1&amp;lt;/OrdinalNumber&amp;gt;&#10;      &amp;lt;/dt_DecisionJudgePanel&amp;gt;&#10;      &amp;lt;dt_DecisionJudgePanel diffgr:id=&amp;quot;dt_DecisionJudgePanel2&amp;quot; msdata:rowOrder=&amp;quot;1&amp;quot;&amp;gt;&#10;        &amp;lt;DecisionID&amp;gt;154394883&amp;lt;/DecisionID&amp;gt;&#10;        &amp;lt;JudgeID&amp;gt;016581688@GOV.IL&amp;lt;/JudgeID&amp;gt;&#10;        &amp;lt;OrdinalNumber&amp;gt;2&amp;lt;/OrdinalNumber&amp;gt;&#10;      &amp;lt;/dt_DecisionJudgePanel&amp;gt;&#10;      &amp;lt;dt_DecisionJudgePanel diffgr:id=&amp;quot;dt_DecisionJudgePanel3&amp;quot; msdata:rowOrder=&amp;quot;2&amp;quot;&amp;gt;&#10;        &amp;lt;DecisionID&amp;gt;154394883&amp;lt;/DecisionID&amp;gt;&#10;        &amp;lt;JudgeID&amp;gt;055475867@GOV.IL&amp;lt;/JudgeID&amp;gt;&#10;        &amp;lt;OrdinalNumber&amp;gt;3&amp;lt;/OrdinalNumber&amp;gt;&#10;      &amp;lt;/dt_DecisionJudgePanel&amp;gt;&#10;    &amp;lt;/DecisionDS&amp;gt;&#10;  &amp;lt;/diffgr:diffgram&amp;gt;&#10;&amp;lt;/DecisionDS&amp;gt;"/>
    <w:docVar w:name="DecisionID" w:val="154394883"/>
    <w:docVar w:name="docID" w:val="452537599"/>
    <w:docVar w:name="judgeUPN" w:val="055475867@GOV.IL"/>
    <w:docVar w:name="MyInfo" w:val="This document was extracted from Nevo's site"/>
    <w:docVar w:name="NGCS.TemplateCaseInterestID" w:val="10714"/>
    <w:docVar w:name="NGCS.TemplateCaseTypeID" w:val="10013"/>
    <w:docVar w:name="NGCS.TemplateCourtID" w:val="11"/>
    <w:docVar w:name="NGCS.TemplateProceedingID" w:val="2"/>
    <w:docVar w:name="noteDocID" w:val="452537599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mbria" w:hAnsi="Cambria" w:eastAsia="Times New Roman" w:cs="Times New Roman"/>
      <w:color w:val="365F91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mbria" w:hAnsi="Cambria" w:eastAsia="Times New Roman" w:cs="Times New Roman"/>
      <w:color w:val="365F91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mbria" w:hAnsi="Cambria" w:eastAsia="Times New Roman" w:cs="Times New Roman"/>
      <w:color w:val="365F91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Times New Roman" w:cs="Times New Roman"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Times New Roman" w:cs="Times New Roman"/>
      <w:i/>
      <w:iCs/>
      <w:color w:val="243F6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Times New Roman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LineNumber">
    <w:name w:val="line number"/>
    <w:rPr/>
  </w:style>
  <w:style w:type="character" w:styleId="PageNumber">
    <w:name w:val="page number"/>
    <w:rPr/>
  </w:style>
  <w:style w:type="character" w:styleId="PlaceholderText">
    <w:name w:val="Placeholder Text"/>
    <w:qFormat/>
    <w:rPr>
      <w:color w:val="808080"/>
    </w:rPr>
  </w:style>
  <w:style w:type="character" w:styleId="CharChar26">
    <w:name w:val=" Char Char26"/>
    <w:qFormat/>
    <w:rPr>
      <w:rFonts w:cs="David"/>
      <w:sz w:val="24"/>
      <w:szCs w:val="24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32">
    <w:name w:val=" Char Char32"/>
    <w:qFormat/>
    <w:rPr>
      <w:rFonts w:cs="David"/>
      <w:b/>
      <w:bCs/>
      <w:szCs w:val="24"/>
    </w:rPr>
  </w:style>
  <w:style w:type="character" w:styleId="FollowedHyperlink">
    <w:name w:val="FollowedHyperlink"/>
    <w:rPr>
      <w:color w:val="800080"/>
      <w:u w:val="single"/>
    </w:rPr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nsolas" w:hAnsi="Consolas" w:cs="Consolas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Variable">
    <w:name w:val="HTML Variable"/>
    <w:qFormat/>
    <w:rPr>
      <w:i/>
      <w:iCs/>
    </w:rPr>
  </w:style>
  <w:style w:type="character" w:styleId="CharChar24">
    <w:name w:val=" Char Char24"/>
    <w:qFormat/>
    <w:rPr>
      <w:rFonts w:ascii="Consolas" w:hAnsi="Consolas" w:cs="David"/>
    </w:rPr>
  </w:style>
  <w:style w:type="character" w:styleId="Hyperlink">
    <w:name w:val="Hyperlink"/>
    <w:rPr>
      <w:color w:val="0000FF"/>
      <w:u w:val="single"/>
    </w:rPr>
  </w:style>
  <w:style w:type="character" w:styleId="CharChar23">
    <w:name w:val=" Char Char23"/>
    <w:qFormat/>
    <w:rPr>
      <w:rFonts w:cs="David"/>
      <w:sz w:val="24"/>
      <w:szCs w:val="24"/>
    </w:rPr>
  </w:style>
  <w:style w:type="character" w:styleId="CharChar22">
    <w:name w:val=" Char Char22"/>
    <w:qFormat/>
    <w:rPr>
      <w:rFonts w:cs="David"/>
      <w:sz w:val="24"/>
      <w:szCs w:val="24"/>
    </w:rPr>
  </w:style>
  <w:style w:type="character" w:styleId="CharChar21">
    <w:name w:val=" Char Char21"/>
    <w:qFormat/>
    <w:rPr>
      <w:rFonts w:cs="David"/>
      <w:sz w:val="24"/>
      <w:szCs w:val="24"/>
    </w:rPr>
  </w:style>
  <w:style w:type="character" w:styleId="CharChar20">
    <w:name w:val=" Char Char20"/>
    <w:qFormat/>
    <w:rPr>
      <w:rFonts w:cs="David"/>
      <w:sz w:val="16"/>
      <w:szCs w:val="16"/>
    </w:rPr>
  </w:style>
  <w:style w:type="character" w:styleId="HTMLSample">
    <w:name w:val="HTML Sample"/>
    <w:qFormat/>
    <w:rPr>
      <w:rFonts w:ascii="Consolas" w:hAnsi="Consolas" w:cs="Consolas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IntenseEmphasis">
    <w:name w:val="Intense Emphasis"/>
    <w:qFormat/>
    <w:rPr>
      <w:i/>
      <w:iCs/>
      <w:color w:val="4F81BD"/>
    </w:rPr>
  </w:style>
  <w:style w:type="character" w:styleId="SubtleEmphasis">
    <w:name w:val="Subtle Emphasis"/>
    <w:qFormat/>
    <w:rPr>
      <w:i/>
      <w:iCs/>
      <w:color w:val="404040"/>
    </w:rPr>
  </w:style>
  <w:style w:type="character" w:styleId="IntenseReference">
    <w:name w:val="Intense Reference"/>
    <w:qFormat/>
    <w:rPr>
      <w:b/>
      <w:bCs/>
      <w:smallCaps/>
      <w:color w:val="4F81BD"/>
      <w:spacing w:val="5"/>
    </w:rPr>
  </w:style>
  <w:style w:type="character" w:styleId="EndnoteCharacters">
    <w:name w:val="Endnote Characters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SubtleReference">
    <w:name w:val="Subtle Reference"/>
    <w:qFormat/>
    <w:rPr>
      <w:smallCaps/>
      <w:color w:val="5A5A5A"/>
    </w:rPr>
  </w:style>
  <w:style w:type="character" w:styleId="Strong">
    <w:name w:val="Strong"/>
    <w:qFormat/>
    <w:rPr>
      <w:b/>
      <w:bCs/>
    </w:rPr>
  </w:style>
  <w:style w:type="character" w:styleId="CharChar19">
    <w:name w:val=" Char Char19"/>
    <w:qFormat/>
    <w:rPr>
      <w:rFonts w:cs="David"/>
      <w:sz w:val="24"/>
      <w:szCs w:val="24"/>
    </w:rPr>
  </w:style>
  <w:style w:type="character" w:styleId="CharChar18">
    <w:name w:val=" Char Char18"/>
    <w:qFormat/>
    <w:rPr>
      <w:rFonts w:cs="David"/>
      <w:sz w:val="24"/>
      <w:szCs w:val="24"/>
    </w:rPr>
  </w:style>
  <w:style w:type="character" w:styleId="CharChar17">
    <w:name w:val=" Char Char17"/>
    <w:qFormat/>
    <w:rPr>
      <w:rFonts w:cs="David"/>
    </w:rPr>
  </w:style>
  <w:style w:type="character" w:styleId="CharChar16">
    <w:name w:val=" Char Char16"/>
    <w:qFormat/>
    <w:rPr>
      <w:rFonts w:cs="David"/>
    </w:rPr>
  </w:style>
  <w:style w:type="character" w:styleId="CharChar15">
    <w:name w:val=" Char Char15"/>
    <w:qFormat/>
    <w:rPr>
      <w:rFonts w:ascii="Consolas" w:hAnsi="Consolas" w:cs="David"/>
    </w:rPr>
  </w:style>
  <w:style w:type="character" w:styleId="CharChar14">
    <w:name w:val=" Char Char14"/>
    <w:qFormat/>
    <w:rPr>
      <w:rFonts w:ascii="Consolas" w:hAnsi="Consolas" w:cs="David"/>
      <w:sz w:val="21"/>
      <w:szCs w:val="21"/>
    </w:rPr>
  </w:style>
  <w:style w:type="character" w:styleId="BookTitle">
    <w:name w:val="Book Title"/>
    <w:qFormat/>
    <w:rPr>
      <w:b/>
      <w:bCs/>
      <w:i/>
      <w:iCs/>
      <w:spacing w:val="5"/>
    </w:rPr>
  </w:style>
  <w:style w:type="character" w:styleId="CharChar34">
    <w:name w:val=" Char Char34"/>
    <w:qFormat/>
    <w:rPr>
      <w:rFonts w:ascii="Cambria" w:hAnsi="Cambria" w:eastAsia="Times New Roman" w:cs="Times New Roman"/>
      <w:color w:val="365F91"/>
      <w:sz w:val="32"/>
      <w:szCs w:val="32"/>
    </w:rPr>
  </w:style>
  <w:style w:type="character" w:styleId="CharChar33">
    <w:name w:val=" Char Char33"/>
    <w:qFormat/>
    <w:rPr>
      <w:rFonts w:ascii="Cambria" w:hAnsi="Cambria" w:eastAsia="Times New Roman" w:cs="Times New Roman"/>
      <w:color w:val="365F91"/>
      <w:sz w:val="26"/>
      <w:szCs w:val="26"/>
    </w:rPr>
  </w:style>
  <w:style w:type="character" w:styleId="CharChar31">
    <w:name w:val=" Char Char31"/>
    <w:qFormat/>
    <w:rPr>
      <w:rFonts w:ascii="Cambria" w:hAnsi="Cambria" w:eastAsia="Times New Roman" w:cs="Times New Roman"/>
      <w:color w:val="365F91"/>
      <w:sz w:val="24"/>
      <w:szCs w:val="24"/>
    </w:rPr>
  </w:style>
  <w:style w:type="character" w:styleId="CharChar30">
    <w:name w:val=" Char Char30"/>
    <w:qFormat/>
    <w:rPr>
      <w:rFonts w:ascii="Cambria" w:hAnsi="Cambria" w:eastAsia="Times New Roman" w:cs="Times New Roman"/>
      <w:color w:val="243F60"/>
      <w:sz w:val="24"/>
      <w:szCs w:val="24"/>
    </w:rPr>
  </w:style>
  <w:style w:type="character" w:styleId="CharChar29">
    <w:name w:val=" Char Char29"/>
    <w:qFormat/>
    <w:rPr>
      <w:rFonts w:ascii="Cambria" w:hAnsi="Cambria" w:eastAsia="Times New Roman" w:cs="Times New Roman"/>
      <w:i/>
      <w:iCs/>
      <w:color w:val="243F60"/>
      <w:sz w:val="24"/>
      <w:szCs w:val="24"/>
    </w:rPr>
  </w:style>
  <w:style w:type="character" w:styleId="CharChar28">
    <w:name w:val=" Char Char28"/>
    <w:qFormat/>
    <w:rPr>
      <w:rFonts w:ascii="Cambria" w:hAnsi="Cambria" w:eastAsia="Times New Roman" w:cs="Times New Roman"/>
      <w:color w:val="272727"/>
      <w:sz w:val="21"/>
      <w:szCs w:val="21"/>
    </w:rPr>
  </w:style>
  <w:style w:type="character" w:styleId="CharChar27">
    <w:name w:val=" Char Char27"/>
    <w:qFormat/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CharChar13">
    <w:name w:val=" Char Char13"/>
    <w:qFormat/>
    <w:rPr>
      <w:rFonts w:cs="David"/>
      <w:sz w:val="24"/>
      <w:szCs w:val="24"/>
    </w:rPr>
  </w:style>
  <w:style w:type="character" w:styleId="CharChar12">
    <w:name w:val=" Char Char12"/>
    <w:qFormat/>
    <w:rPr>
      <w:rFonts w:ascii="Cambria" w:hAnsi="Cambria" w:eastAsia="Times New Roman" w:cs="Times New Roman"/>
      <w:spacing w:val="-10"/>
      <w:kern w:val="2"/>
      <w:sz w:val="56"/>
      <w:szCs w:val="56"/>
    </w:rPr>
  </w:style>
  <w:style w:type="character" w:styleId="CharChar11">
    <w:name w:val=" Char Char11"/>
    <w:qFormat/>
    <w:rPr>
      <w:rFonts w:ascii="Calibri" w:hAnsi="Calibri" w:eastAsia="Times New Roman" w:cs="Arial"/>
      <w:color w:val="5A5A5A"/>
      <w:spacing w:val="15"/>
      <w:sz w:val="22"/>
      <w:szCs w:val="22"/>
    </w:rPr>
  </w:style>
  <w:style w:type="character" w:styleId="CharChar10">
    <w:name w:val=" Char Char10"/>
    <w:qFormat/>
    <w:rPr>
      <w:rFonts w:ascii="Cambria" w:hAnsi="Cambria" w:eastAsia="Times New Roman" w:cs="Times New Roman"/>
      <w:sz w:val="24"/>
      <w:szCs w:val="24"/>
      <w:shd w:fill="CCCCCC" w:val="clear"/>
    </w:rPr>
  </w:style>
  <w:style w:type="character" w:styleId="CharChar9">
    <w:name w:val=" Char Char9"/>
    <w:qFormat/>
    <w:rPr>
      <w:rFonts w:cs="David"/>
      <w:sz w:val="24"/>
      <w:szCs w:val="24"/>
    </w:rPr>
  </w:style>
  <w:style w:type="character" w:styleId="CharChar8">
    <w:name w:val=" Char Char8"/>
    <w:qFormat/>
    <w:rPr>
      <w:rFonts w:cs="David"/>
      <w:sz w:val="24"/>
      <w:szCs w:val="24"/>
    </w:rPr>
  </w:style>
  <w:style w:type="character" w:styleId="CharChar7">
    <w:name w:val=" Char Char7"/>
    <w:qFormat/>
    <w:rPr>
      <w:rFonts w:cs="David"/>
      <w:sz w:val="16"/>
      <w:szCs w:val="16"/>
    </w:rPr>
  </w:style>
  <w:style w:type="character" w:styleId="CharChar6">
    <w:name w:val=" Char Char6"/>
    <w:qFormat/>
    <w:rPr>
      <w:rFonts w:cs="David"/>
      <w:sz w:val="24"/>
      <w:szCs w:val="24"/>
    </w:rPr>
  </w:style>
  <w:style w:type="character" w:styleId="CharChar5">
    <w:name w:val=" Char Char5"/>
    <w:qFormat/>
    <w:rPr>
      <w:rFonts w:cs="David"/>
      <w:sz w:val="24"/>
      <w:szCs w:val="24"/>
    </w:rPr>
  </w:style>
  <w:style w:type="character" w:styleId="CharChar4">
    <w:name w:val=" Char Char4"/>
    <w:qFormat/>
    <w:rPr>
      <w:rFonts w:cs="David"/>
      <w:i/>
      <w:iCs/>
      <w:sz w:val="24"/>
      <w:szCs w:val="24"/>
    </w:rPr>
  </w:style>
  <w:style w:type="character" w:styleId="HTMLTypewriter">
    <w:name w:val="HTML Typewriter"/>
    <w:qFormat/>
    <w:rPr>
      <w:rFonts w:ascii="Consolas" w:hAnsi="Consolas" w:cs="Consolas"/>
      <w:sz w:val="20"/>
      <w:szCs w:val="20"/>
    </w:rPr>
  </w:style>
  <w:style w:type="character" w:styleId="CharChar3">
    <w:name w:val=" Char Char3"/>
    <w:qFormat/>
    <w:rPr>
      <w:rFonts w:ascii="Tahoma" w:hAnsi="Tahoma" w:cs="Tahoma"/>
      <w:sz w:val="16"/>
      <w:szCs w:val="16"/>
    </w:rPr>
  </w:style>
  <w:style w:type="character" w:styleId="HTMLKeyboard">
    <w:name w:val="HTML Keyboard"/>
    <w:qFormat/>
    <w:rPr>
      <w:rFonts w:ascii="Consolas" w:hAnsi="Consolas" w:cs="Consolas"/>
      <w:sz w:val="20"/>
      <w:szCs w:val="20"/>
    </w:rPr>
  </w:style>
  <w:style w:type="character" w:styleId="CharChar25">
    <w:name w:val=" Char Char25"/>
    <w:qFormat/>
    <w:rPr>
      <w:sz w:val="24"/>
      <w:szCs w:val="24"/>
    </w:rPr>
  </w:style>
  <w:style w:type="character" w:styleId="CharChar2">
    <w:name w:val=" Char Char2"/>
    <w:qFormat/>
    <w:rPr>
      <w:rFonts w:cs="David"/>
      <w:b/>
      <w:bCs/>
      <w:sz w:val="24"/>
      <w:szCs w:val="24"/>
    </w:rPr>
  </w:style>
  <w:style w:type="character" w:styleId="CharChar1">
    <w:name w:val=" Char Char1"/>
    <w:qFormat/>
    <w:rPr>
      <w:rFonts w:cs="David"/>
      <w:sz w:val="24"/>
      <w:szCs w:val="24"/>
    </w:rPr>
  </w:style>
  <w:style w:type="character" w:styleId="QuoteChar">
    <w:name w:val="Quote Char"/>
    <w:qFormat/>
    <w:rPr>
      <w:rFonts w:cs="David"/>
      <w:i/>
      <w:iCs/>
      <w:color w:val="404040"/>
      <w:sz w:val="24"/>
      <w:szCs w:val="24"/>
    </w:rPr>
  </w:style>
  <w:style w:type="character" w:styleId="IntenseQuoteChar">
    <w:name w:val="Intense Quote Char"/>
    <w:qFormat/>
    <w:rPr>
      <w:rFonts w:cs="David"/>
      <w:i/>
      <w:iCs/>
      <w:color w:val="4F81BD"/>
      <w:sz w:val="24"/>
      <w:szCs w:val="24"/>
    </w:rPr>
  </w:style>
  <w:style w:type="character" w:styleId="HTMLAcronym">
    <w:name w:val="HTML Acronym"/>
    <w:qFormat/>
    <w:rPr/>
  </w:style>
  <w:style w:type="character" w:styleId="CharChar">
    <w:name w:val=" Char Char"/>
    <w:qFormat/>
    <w:rPr>
      <w:rFonts w:cs="David"/>
      <w:sz w:val="24"/>
      <w:szCs w:val="24"/>
    </w:rPr>
  </w:style>
  <w:style w:type="paragraph" w:styleId="Heading">
    <w:name w:val="Heading"/>
    <w:basedOn w:val="Normal"/>
    <w:next w:val="Normal"/>
    <w:qFormat/>
    <w:pPr>
      <w:spacing w:before="0" w:after="0"/>
      <w:contextualSpacing/>
    </w:pPr>
    <w:rPr>
      <w:rFonts w:ascii="Cambria" w:hAnsi="Cambria" w:eastAsia="Times New Roman" w:cs="Times New Roman"/>
      <w:spacing w:val="-10"/>
      <w:kern w:val="2"/>
      <w:sz w:val="56"/>
      <w:szCs w:val="56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5">
    <w:name w:val="סעיפים"/>
    <w:basedOn w:val="Normal"/>
    <w:qFormat/>
    <w:pPr>
      <w:spacing w:lineRule="auto" w:line="360"/>
      <w:jc w:val="both"/>
    </w:pPr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4" w:end="1276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2"/>
      </w:numPr>
    </w:pPr>
    <w:rPr>
      <w:rFonts w:ascii="Garamond" w:hAnsi="Garamond" w:cs="Garamond"/>
      <w:sz w:val="24"/>
    </w:rPr>
  </w:style>
  <w:style w:type="paragraph" w:styleId="HTMLPreformatted">
    <w:name w:val="HTML Preformatted"/>
    <w:basedOn w:val="Normal"/>
    <w:qFormat/>
    <w:pPr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pPr>
      <w:ind w:hanging="240" w:start="240" w:end="0"/>
    </w:pPr>
    <w:rPr/>
  </w:style>
  <w:style w:type="paragraph" w:styleId="Index2">
    <w:name w:val="index 2"/>
    <w:basedOn w:val="Normal"/>
    <w:next w:val="Normal"/>
    <w:pPr>
      <w:ind w:hanging="240" w:start="480" w:end="0"/>
    </w:pPr>
    <w:rPr/>
  </w:style>
  <w:style w:type="paragraph" w:styleId="Index3">
    <w:name w:val="index 3"/>
    <w:basedOn w:val="Normal"/>
    <w:next w:val="Normal"/>
    <w:pPr>
      <w:ind w:hanging="240" w:start="720" w:end="0"/>
    </w:pPr>
    <w:rPr/>
  </w:style>
  <w:style w:type="paragraph" w:styleId="Index4">
    <w:name w:val="Index 4"/>
    <w:basedOn w:val="Normal"/>
    <w:next w:val="Normal"/>
    <w:qFormat/>
    <w:pPr>
      <w:ind w:hanging="240" w:start="960" w:end="0"/>
    </w:pPr>
    <w:rPr/>
  </w:style>
  <w:style w:type="paragraph" w:styleId="Index5">
    <w:name w:val="Index 5"/>
    <w:basedOn w:val="Normal"/>
    <w:next w:val="Normal"/>
    <w:qFormat/>
    <w:pPr>
      <w:ind w:hanging="240" w:start="1200" w:end="0"/>
    </w:pPr>
    <w:rPr/>
  </w:style>
  <w:style w:type="paragraph" w:styleId="Index6">
    <w:name w:val="Index 6"/>
    <w:basedOn w:val="Normal"/>
    <w:next w:val="Normal"/>
    <w:qFormat/>
    <w:pPr>
      <w:ind w:hanging="240" w:start="1440" w:end="0"/>
    </w:pPr>
    <w:rPr/>
  </w:style>
  <w:style w:type="paragraph" w:styleId="Index7">
    <w:name w:val="Index 7"/>
    <w:basedOn w:val="Normal"/>
    <w:next w:val="Normal"/>
    <w:qFormat/>
    <w:pPr>
      <w:ind w:hanging="240" w:start="1680" w:end="0"/>
    </w:pPr>
    <w:rPr/>
  </w:style>
  <w:style w:type="paragraph" w:styleId="Index8">
    <w:name w:val="Index 8"/>
    <w:basedOn w:val="Normal"/>
    <w:next w:val="Normal"/>
    <w:qFormat/>
    <w:pPr>
      <w:ind w:hanging="240" w:start="1920" w:end="0"/>
    </w:pPr>
    <w:rPr/>
  </w:style>
  <w:style w:type="paragraph" w:styleId="Index9">
    <w:name w:val="Index 9"/>
    <w:basedOn w:val="Normal"/>
    <w:next w:val="Normal"/>
    <w:qFormat/>
    <w:pPr>
      <w:ind w:hanging="240" w:start="2160" w:end="0"/>
    </w:pPr>
    <w:rPr/>
  </w:style>
  <w:style w:type="paragraph" w:styleId="NormalWeb">
    <w:name w:val="Normal (Web)"/>
    <w:basedOn w:val="Normal"/>
    <w:qFormat/>
    <w:pPr/>
    <w:rPr>
      <w:rFonts w:cs="Times New Roman"/>
    </w:rPr>
  </w:style>
  <w:style w:type="paragraph" w:styleId="TOC1">
    <w:name w:val="toc 1"/>
    <w:basedOn w:val="Normal"/>
    <w:next w:val="Normal"/>
    <w:pPr>
      <w:spacing w:before="0" w:after="100"/>
    </w:pPr>
    <w:rPr/>
  </w:style>
  <w:style w:type="paragraph" w:styleId="TOC2">
    <w:name w:val="toc 2"/>
    <w:basedOn w:val="Normal"/>
    <w:next w:val="Normal"/>
    <w:pPr>
      <w:spacing w:before="0" w:after="100"/>
      <w:ind w:hanging="0" w:start="240" w:end="0"/>
    </w:pPr>
    <w:rPr/>
  </w:style>
  <w:style w:type="paragraph" w:styleId="TOC3">
    <w:name w:val="toc 3"/>
    <w:basedOn w:val="Normal"/>
    <w:next w:val="Normal"/>
    <w:pPr>
      <w:spacing w:before="0" w:after="100"/>
      <w:ind w:hanging="0" w:start="480" w:end="0"/>
    </w:pPr>
    <w:rPr/>
  </w:style>
  <w:style w:type="paragraph" w:styleId="TOC4">
    <w:name w:val="toc 4"/>
    <w:basedOn w:val="Normal"/>
    <w:next w:val="Normal"/>
    <w:pPr>
      <w:spacing w:before="0" w:after="100"/>
      <w:ind w:hanging="0" w:start="720" w:end="0"/>
    </w:pPr>
    <w:rPr/>
  </w:style>
  <w:style w:type="paragraph" w:styleId="TOC5">
    <w:name w:val="toc 5"/>
    <w:basedOn w:val="Normal"/>
    <w:next w:val="Normal"/>
    <w:pPr>
      <w:spacing w:before="0" w:after="100"/>
      <w:ind w:hanging="0" w:start="960" w:end="0"/>
    </w:pPr>
    <w:rPr/>
  </w:style>
  <w:style w:type="paragraph" w:styleId="TOC6">
    <w:name w:val="toc 6"/>
    <w:basedOn w:val="Normal"/>
    <w:next w:val="Normal"/>
    <w:pPr>
      <w:spacing w:before="0" w:after="100"/>
      <w:ind w:hanging="0" w:start="1200" w:end="0"/>
    </w:pPr>
    <w:rPr/>
  </w:style>
  <w:style w:type="paragraph" w:styleId="TOC7">
    <w:name w:val="toc 7"/>
    <w:basedOn w:val="Normal"/>
    <w:next w:val="Normal"/>
    <w:pPr>
      <w:spacing w:before="0" w:after="100"/>
      <w:ind w:hanging="0" w:start="1440" w:end="0"/>
    </w:pPr>
    <w:rPr/>
  </w:style>
  <w:style w:type="paragraph" w:styleId="TOC8">
    <w:name w:val="toc 8"/>
    <w:basedOn w:val="Normal"/>
    <w:next w:val="Normal"/>
    <w:pPr>
      <w:spacing w:before="0" w:after="100"/>
      <w:ind w:hanging="0" w:start="1680" w:end="0"/>
    </w:pPr>
    <w:rPr/>
  </w:style>
  <w:style w:type="paragraph" w:styleId="TOC9">
    <w:name w:val="toc 9"/>
    <w:basedOn w:val="Normal"/>
    <w:next w:val="Normal"/>
    <w:pPr>
      <w:spacing w:before="0" w:after="100"/>
      <w:ind w:hanging="0" w:start="1920" w:end="0"/>
    </w:pPr>
    <w:rPr/>
  </w:style>
  <w:style w:type="paragraph" w:styleId="Bibliography">
    <w:name w:val="Bibliography"/>
    <w:basedOn w:val="Normal"/>
    <w:next w:val="Normal"/>
    <w:qFormat/>
    <w:pPr/>
    <w:rPr/>
  </w:style>
  <w:style w:type="paragraph" w:styleId="Salutation">
    <w:name w:val="Salutation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Continue">
    <w:name w:val="List Continue"/>
    <w:basedOn w:val="Normal"/>
    <w:qFormat/>
    <w:pPr>
      <w:spacing w:before="0" w:after="120"/>
      <w:ind w:hanging="0" w:start="283" w:end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hanging="0" w:start="566" w:end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849" w:end="0"/>
      <w:contextualSpacing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132" w:end="0"/>
      <w:contextualSpacing/>
    </w:pPr>
    <w:rPr/>
  </w:style>
  <w:style w:type="paragraph" w:styleId="ListContinue5">
    <w:name w:val="List Continue 5"/>
    <w:basedOn w:val="Normal"/>
    <w:qFormat/>
    <w:pPr>
      <w:spacing w:before="0" w:after="120"/>
      <w:ind w:hanging="0" w:start="1415" w:end="0"/>
      <w:contextualSpacing/>
    </w:pPr>
    <w:rPr/>
  </w:style>
  <w:style w:type="paragraph" w:styleId="Signature">
    <w:name w:val="Signature"/>
    <w:basedOn w:val="Normal"/>
    <w:pPr>
      <w:ind w:hanging="0" w:start="4252" w:end="0"/>
    </w:pPr>
    <w:rPr/>
  </w:style>
  <w:style w:type="paragraph" w:styleId="E-mailSignature">
    <w:name w:val="E-mail Signature"/>
    <w:basedOn w:val="Normal"/>
    <w:qFormat/>
    <w:pPr/>
    <w:rPr/>
  </w:style>
  <w:style w:type="paragraph" w:styleId="BlockText">
    <w:name w:val="Block Text"/>
    <w:basedOn w:val="Normal"/>
    <w:qFormat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hanging="0" w:start="1152" w:end="1152"/>
    </w:pPr>
    <w:rPr>
      <w:rFonts w:ascii="Calibri" w:hAnsi="Calibri" w:eastAsia="Times New Roman" w:cs="Arial"/>
      <w:i/>
      <w:iCs/>
      <w:color w:val="4F81BD"/>
    </w:rPr>
  </w:style>
  <w:style w:type="paragraph" w:styleId="EndnoteText">
    <w:name w:val="endnote text"/>
    <w:basedOn w:val="Normal"/>
    <w:pPr/>
    <w:rPr>
      <w:sz w:val="20"/>
      <w:szCs w:val="20"/>
    </w:rPr>
  </w:style>
  <w:style w:type="paragraph" w:styleId="FootnoteText">
    <w:name w:val="footnote text"/>
    <w:basedOn w:val="Normal"/>
    <w:pPr/>
    <w:rPr>
      <w:sz w:val="20"/>
      <w:szCs w:val="20"/>
    </w:rPr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1"/>
      <w:ind w:hanging="0" w:start="0" w:end="0"/>
      <w:jc w:val="start"/>
    </w:pPr>
    <w:rPr>
      <w:rFonts w:ascii="Consolas" w:hAnsi="Consolas" w:eastAsia="Times New Roman" w:cs="David"/>
      <w:color w:val="auto"/>
      <w:sz w:val="20"/>
      <w:szCs w:val="20"/>
      <w:lang w:val="en-US" w:bidi="he-IL" w:eastAsia="zh-CN"/>
    </w:rPr>
  </w:style>
  <w:style w:type="paragraph" w:styleId="PlainText">
    <w:name w:val="Plain Text"/>
    <w:basedOn w:val="Normal"/>
    <w:qFormat/>
    <w:pPr/>
    <w:rPr>
      <w:rFonts w:ascii="Consolas" w:hAnsi="Consolas" w:cs="Consolas"/>
      <w:sz w:val="21"/>
      <w:szCs w:val="21"/>
    </w:rPr>
  </w:style>
  <w:style w:type="paragraph" w:styleId="IndexHeading">
    <w:name w:val="index heading"/>
    <w:basedOn w:val="Normal"/>
    <w:next w:val="Index1"/>
    <w:pPr/>
    <w:rPr>
      <w:rFonts w:ascii="Cambria" w:hAnsi="Cambria" w:eastAsia="Times New Roman" w:cs="Times New Roman"/>
      <w:b/>
      <w:bCs/>
    </w:rPr>
  </w:style>
  <w:style w:type="paragraph" w:styleId="NoteHeading">
    <w:name w:val="Note Heading"/>
    <w:basedOn w:val="Normal"/>
    <w:next w:val="Normal"/>
    <w:qFormat/>
    <w:pPr/>
    <w:rPr/>
  </w:style>
  <w:style w:type="paragraph" w:styleId="Subtitle">
    <w:name w:val="Subtitle"/>
    <w:basedOn w:val="Normal"/>
    <w:next w:val="Normal"/>
    <w:qFormat/>
    <w:pPr>
      <w:spacing w:before="0" w:after="160"/>
    </w:pPr>
    <w:rPr>
      <w:rFonts w:ascii="Calibri" w:hAnsi="Calibri" w:eastAsia="Times New Roman" w:cs="Arial"/>
      <w:color w:val="5A5A5A"/>
      <w:spacing w:val="15"/>
      <w:sz w:val="22"/>
      <w:szCs w:val="22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134" w:start="1134" w:end="0"/>
    </w:pPr>
    <w:rPr>
      <w:rFonts w:ascii="Cambria" w:hAnsi="Cambria" w:eastAsia="Times New Roman" w:cs="Times New Roman"/>
    </w:rPr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Cambria" w:hAnsi="Cambria" w:eastAsia="Times New Roman" w:cs="Times New Roman"/>
      <w:b/>
      <w:bCs/>
    </w:rPr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  <w:ind w:hanging="0" w:start="0"/>
      <w:outlineLvl w:val="9"/>
    </w:pPr>
    <w:rPr/>
  </w:style>
  <w:style w:type="paragraph" w:styleId="BodyTextIndent">
    <w:name w:val="Body Text Indent"/>
    <w:basedOn w:val="Normal"/>
    <w:pPr>
      <w:spacing w:before="0" w:after="120"/>
      <w:ind w:hanging="0" w:start="283" w:end="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283" w:end="0"/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283" w:end="0"/>
    </w:pPr>
    <w:rPr>
      <w:sz w:val="16"/>
      <w:szCs w:val="16"/>
    </w:rPr>
  </w:style>
  <w:style w:type="paragraph" w:styleId="NormalIndent">
    <w:name w:val="Normal Indent"/>
    <w:basedOn w:val="Normal"/>
    <w:qFormat/>
    <w:pPr>
      <w:ind w:hanging="0" w:start="720" w:end="0"/>
    </w:pPr>
    <w:rPr/>
  </w:style>
  <w:style w:type="paragraph" w:styleId="BodyTextFirstIndent">
    <w:name w:val="Body Text First Indent"/>
    <w:basedOn w:val="BodyText"/>
    <w:qFormat/>
    <w:pPr>
      <w:spacing w:before="0" w:after="0"/>
      <w:ind w:firstLine="360" w:start="0" w:end="0"/>
    </w:pPr>
    <w:rPr/>
  </w:style>
  <w:style w:type="paragraph" w:styleId="BodyTextFirstIndent2">
    <w:name w:val="Body Text First Indent 2"/>
    <w:basedOn w:val="BodyTextIndent"/>
    <w:qFormat/>
    <w:pPr>
      <w:spacing w:before="0" w:after="0"/>
      <w:ind w:firstLine="360" w:start="360" w:end="0"/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EnvelopeAddress">
    <w:name w:val="envelope address"/>
    <w:basedOn w:val="Normal"/>
    <w:pPr>
      <w:ind w:hanging="0" w:start="2880" w:end="0"/>
    </w:pPr>
    <w:rPr>
      <w:rFonts w:ascii="Cambria" w:hAnsi="Cambria" w:eastAsia="Times New Roman" w:cs="Times New Roman"/>
    </w:rPr>
  </w:style>
  <w:style w:type="paragraph" w:styleId="EnvelopeReturn">
    <w:name w:val="envelope return"/>
    <w:basedOn w:val="Normal"/>
    <w:pPr/>
    <w:rPr>
      <w:rFonts w:ascii="Cambria" w:hAnsi="Cambria" w:eastAsia="Times New Roman" w:cs="Times New Roman"/>
      <w:sz w:val="20"/>
      <w:szCs w:val="20"/>
    </w:rPr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CommentSubject">
    <w:name w:val="Comment Subject"/>
    <w:basedOn w:val="CommentText"/>
    <w:next w:val="CommentText"/>
    <w:qFormat/>
    <w:pPr/>
    <w:rPr>
      <w:rFonts w:cs="David"/>
      <w:b/>
      <w:bCs/>
      <w:sz w:val="20"/>
      <w:szCs w:val="20"/>
    </w:rPr>
  </w:style>
  <w:style w:type="paragraph" w:styleId="Closing">
    <w:name w:val="Closing"/>
    <w:basedOn w:val="Normal"/>
    <w:qFormat/>
    <w:pPr>
      <w:ind w:hanging="0" w:start="4252" w:end="0"/>
    </w:pPr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Quote">
    <w:name w:val="Quote"/>
    <w:basedOn w:val="Normal"/>
    <w:next w:val="Normal"/>
    <w:qFormat/>
    <w:pPr>
      <w:spacing w:before="200" w:after="160"/>
      <w:ind w:hanging="0" w:start="864" w:end="864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4F81BD"/>
        <w:bottom w:val="single" w:sz="4" w:space="10" w:color="4F81BD"/>
      </w:pBdr>
      <w:spacing w:before="360" w:after="360"/>
      <w:ind w:hanging="0" w:start="864" w:end="864"/>
      <w:jc w:val="center"/>
    </w:pPr>
    <w:rPr>
      <w:i/>
      <w:iCs/>
      <w:color w:val="4F81BD"/>
    </w:rPr>
  </w:style>
  <w:style w:type="paragraph" w:styleId="ListBullet2">
    <w:name w:val="List Bullet 2"/>
    <w:basedOn w:val="Normal"/>
    <w:pPr>
      <w:spacing w:before="0" w:after="0"/>
      <w:ind w:hanging="283" w:start="566" w:end="0"/>
      <w:contextualSpacing/>
    </w:pPr>
    <w:rPr/>
  </w:style>
  <w:style w:type="paragraph" w:styleId="ListBullet3">
    <w:name w:val="List Bullet 3"/>
    <w:basedOn w:val="Normal"/>
    <w:pPr>
      <w:spacing w:before="0" w:after="0"/>
      <w:ind w:hanging="283" w:start="849" w:end="0"/>
      <w:contextualSpacing/>
    </w:pPr>
    <w:rPr/>
  </w:style>
  <w:style w:type="paragraph" w:styleId="ListBullet4">
    <w:name w:val="List Bullet 4"/>
    <w:basedOn w:val="Normal"/>
    <w:pPr>
      <w:spacing w:before="0" w:after="0"/>
      <w:ind w:hanging="283" w:start="1132" w:end="0"/>
      <w:contextualSpacing/>
    </w:pPr>
    <w:rPr/>
  </w:style>
  <w:style w:type="paragraph" w:styleId="ListBullet5">
    <w:name w:val="List Bullet 5"/>
    <w:basedOn w:val="Normal"/>
    <w:pPr>
      <w:spacing w:before="0" w:after="0"/>
      <w:ind w:hanging="283" w:start="1415" w:end="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  <w:spacing w:before="0" w:after="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  <w:spacing w:before="0" w:after="0"/>
      <w:contextualSpacing/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  <w:spacing w:before="0" w:after="0"/>
      <w:contextualSpacing/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  <w:spacing w:before="0" w:after="0"/>
      <w:contextualSpacing/>
    </w:pPr>
    <w:rPr/>
  </w:style>
  <w:style w:type="paragraph" w:styleId="ListBullet21">
    <w:name w:val="List Bullet 21"/>
    <w:basedOn w:val="Normal"/>
    <w:qFormat/>
    <w:pPr>
      <w:numPr>
        <w:ilvl w:val="0"/>
        <w:numId w:val="9"/>
      </w:numPr>
      <w:spacing w:before="0" w:after="0"/>
      <w:contextualSpacing/>
    </w:pPr>
    <w:rPr/>
  </w:style>
  <w:style w:type="paragraph" w:styleId="ListBullet31">
    <w:name w:val="List Bullet 31"/>
    <w:basedOn w:val="Normal"/>
    <w:qFormat/>
    <w:pPr>
      <w:numPr>
        <w:ilvl w:val="0"/>
        <w:numId w:val="8"/>
      </w:numPr>
      <w:spacing w:before="0" w:after="0"/>
      <w:contextualSpacing/>
    </w:pPr>
    <w:rPr/>
  </w:style>
  <w:style w:type="paragraph" w:styleId="ListBullet41">
    <w:name w:val="List Bullet 41"/>
    <w:basedOn w:val="Normal"/>
    <w:qFormat/>
    <w:pPr>
      <w:numPr>
        <w:ilvl w:val="0"/>
        <w:numId w:val="7"/>
      </w:numPr>
      <w:spacing w:before="0" w:after="0"/>
      <w:contextualSpacing/>
    </w:pPr>
    <w:rPr/>
  </w:style>
  <w:style w:type="paragraph" w:styleId="ListBullet51">
    <w:name w:val="List Bullet 51"/>
    <w:basedOn w:val="Normal"/>
    <w:qFormat/>
    <w:pPr>
      <w:numPr>
        <w:ilvl w:val="0"/>
        <w:numId w:val="6"/>
      </w:numPr>
      <w:spacing w:before="0" w:after="0"/>
      <w:contextualSpacing/>
    </w:pPr>
    <w:rPr/>
  </w:style>
  <w:style w:type="paragraph" w:styleId="TableofFigures">
    <w:name w:val="Table of Figures"/>
    <w:basedOn w:val="Normal"/>
    <w:next w:val="Normal"/>
    <w:qFormat/>
    <w:pPr/>
    <w:rPr/>
  </w:style>
  <w:style w:type="paragraph" w:styleId="TableofAuthorities">
    <w:name w:val="Table of Authorities"/>
    <w:basedOn w:val="Normal"/>
    <w:next w:val="Normal"/>
    <w:qFormat/>
    <w:pPr>
      <w:ind w:hanging="240" w:start="240" w:end="0"/>
    </w:pPr>
    <w:rPr/>
  </w:style>
  <w:style w:type="paragraph" w:styleId="Date">
    <w:name w:val="Date"/>
    <w:basedOn w:val="Normal"/>
    <w:next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769607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40i.a.1" TargetMode="External"/><Relationship Id="rId6" Type="http://schemas.openxmlformats.org/officeDocument/2006/relationships/hyperlink" Target="http://www.nevo.co.il/law/70301/144f" TargetMode="External"/><Relationship Id="rId7" Type="http://schemas.openxmlformats.org/officeDocument/2006/relationships/hyperlink" Target="http://www.nevo.co.il/law/70301/333" TargetMode="External"/><Relationship Id="rId8" Type="http://schemas.openxmlformats.org/officeDocument/2006/relationships/hyperlink" Target="http://www.nevo.co.il/law/70301/335.a.2" TargetMode="External"/><Relationship Id="rId9" Type="http://schemas.openxmlformats.org/officeDocument/2006/relationships/hyperlink" Target="http://www.nevo.co.il/law/70301/413e" TargetMode="External"/><Relationship Id="rId10" Type="http://schemas.openxmlformats.org/officeDocument/2006/relationships/hyperlink" Target="http://www.nevo.co.il/case/27696079" TargetMode="External"/><Relationship Id="rId11" Type="http://schemas.openxmlformats.org/officeDocument/2006/relationships/hyperlink" Target="http://www.nevo.co.il/law/70301/333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35.a.2" TargetMode="External"/><Relationship Id="rId14" Type="http://schemas.openxmlformats.org/officeDocument/2006/relationships/hyperlink" Target="http://www.nevo.co.il/law/70301/29" TargetMode="External"/><Relationship Id="rId15" Type="http://schemas.openxmlformats.org/officeDocument/2006/relationships/hyperlink" Target="http://www.nevo.co.il/law/70301/413e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/144f" TargetMode="External"/><Relationship Id="rId18" Type="http://schemas.openxmlformats.org/officeDocument/2006/relationships/hyperlink" Target="http://www.nevo.co.il/case/27696079" TargetMode="External"/><Relationship Id="rId19" Type="http://schemas.openxmlformats.org/officeDocument/2006/relationships/hyperlink" Target="http://www.nevo.co.il/case/28889052" TargetMode="External"/><Relationship Id="rId20" Type="http://schemas.openxmlformats.org/officeDocument/2006/relationships/hyperlink" Target="http://www.nevo.co.il/case/28296934" TargetMode="External"/><Relationship Id="rId21" Type="http://schemas.openxmlformats.org/officeDocument/2006/relationships/hyperlink" Target="http://www.nevo.co.il/case/28752891" TargetMode="External"/><Relationship Id="rId22" Type="http://schemas.openxmlformats.org/officeDocument/2006/relationships/hyperlink" Target="http://www.nevo.co.il/case/25524774" TargetMode="External"/><Relationship Id="rId23" Type="http://schemas.openxmlformats.org/officeDocument/2006/relationships/hyperlink" Target="http://www.nevo.co.il/law/70301/144f" TargetMode="External"/><Relationship Id="rId24" Type="http://schemas.openxmlformats.org/officeDocument/2006/relationships/hyperlink" Target="http://www.nevo.co.il/case/5823680" TargetMode="External"/><Relationship Id="rId25" Type="http://schemas.openxmlformats.org/officeDocument/2006/relationships/hyperlink" Target="http://www.nevo.co.il/case/28681545" TargetMode="External"/><Relationship Id="rId26" Type="http://schemas.openxmlformats.org/officeDocument/2006/relationships/hyperlink" Target="http://www.nevo.co.il/case/28266103" TargetMode="External"/><Relationship Id="rId27" Type="http://schemas.openxmlformats.org/officeDocument/2006/relationships/hyperlink" Target="http://www.nevo.co.il/case/28229994" TargetMode="External"/><Relationship Id="rId28" Type="http://schemas.openxmlformats.org/officeDocument/2006/relationships/hyperlink" Target="http://www.nevo.co.il/law/70301/40i.a.1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2024-08-14T10:51:00Z</dcterms:created>
  <dc:creator>h4</dc:creator>
  <dc:description/>
  <cp:keywords/>
  <dc:language>en-IL</dc:language>
  <cp:lastModifiedBy>orly</cp:lastModifiedBy>
  <dcterms:modified xsi:type="dcterms:W3CDTF">2024-08-14T10:51:00Z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אור משטי;אוראל כרמל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27696079:3;28889052;28296934;28752891;25524774;5823680;28681545;28266103;28229994</vt:lpwstr>
  </property>
  <property fmtid="{D5CDD505-2E9C-101B-9397-08002B2CF9AE}" pid="9" name="CITY">
    <vt:lpwstr/>
  </property>
  <property fmtid="{D5CDD505-2E9C-101B-9397-08002B2CF9AE}" pid="10" name="DATE">
    <vt:lpwstr>20240813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יוסף אלרון;אלכס שטיין;גילה כנפי שטייניץ</vt:lpwstr>
  </property>
  <property fmtid="{D5CDD505-2E9C-101B-9397-08002B2CF9AE}" pid="14" name="LAWLISTTMP1">
    <vt:lpwstr>70301/333;335.a.2;029:2;413e;144f:2;040i.a.1</vt:lpwstr>
  </property>
  <property fmtid="{D5CDD505-2E9C-101B-9397-08002B2CF9AE}" pid="15" name="LAWYER">
    <vt:lpwstr>עדי קידר;קארין מרידור;אושרה פטל-רוזנברג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</vt:lpwstr>
  </property>
  <property fmtid="{D5CDD505-2E9C-101B-9397-08002B2CF9AE}" pid="48" name="NOSE31">
    <vt:lpwstr>מדיניות ענישה: עבירות אלימות על רקע גזעני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אלימות על רקע לאומני‏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;16899</vt:lpwstr>
  </property>
  <property fmtid="{D5CDD505-2E9C-101B-9397-08002B2CF9AE}" pid="59" name="PADIDATE">
    <vt:lpwstr>20240814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</vt:lpwstr>
  </property>
  <property fmtid="{D5CDD505-2E9C-101B-9397-08002B2CF9AE}" pid="64" name="PROCNUM">
    <vt:lpwstr>2067;2109</vt:lpwstr>
  </property>
  <property fmtid="{D5CDD505-2E9C-101B-9397-08002B2CF9AE}" pid="65" name="PROCYEAR">
    <vt:lpwstr>23;24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410120240813</vt:lpwstr>
  </property>
  <property fmtid="{D5CDD505-2E9C-101B-9397-08002B2CF9AE}" pid="69" name="TYPE_N_DATE">
    <vt:lpwstr>41020240813</vt:lpwstr>
  </property>
  <property fmtid="{D5CDD505-2E9C-101B-9397-08002B2CF9AE}" pid="70" name="VOLUME">
    <vt:lpwstr/>
  </property>
  <property fmtid="{D5CDD505-2E9C-101B-9397-08002B2CF9AE}" pid="71" name="WORDNUMPAGES">
    <vt:lpwstr>16</vt:lpwstr>
  </property>
</Properties>
</file>