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2068/18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כד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05.03.2018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28095-04-17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bookmarkEnd w:id="3"/>
      <w:r>
        <w:rPr>
          <w:rtl w:val="true"/>
        </w:rPr>
        <w:t>ים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אטינגר</w:t>
      </w:r>
      <w:r>
        <w:rPr>
          <w:rtl w:val="true"/>
        </w:rPr>
        <w:t xml:space="preserve">;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before="0" w:after="120"/>
        <w:ind w:end="0"/>
        <w:jc w:val="both"/>
        <w:textAlignment w:val="auto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End w:id="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האכסניה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פרשנית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נעולה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שיחפוץ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האכסניה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>.</w:t>
      </w:r>
      <w:bookmarkStart w:id="5" w:name="ABSTRACT_END"/>
      <w:bookmarkEnd w:id="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6" w:name="PsakDin"/>
            <w:bookmarkStart w:id="7" w:name="BeginProtocol"/>
            <w:bookmarkStart w:id="8" w:name="secretary"/>
            <w:bookmarkEnd w:id="6"/>
            <w:bookmarkEnd w:id="7"/>
            <w:bookmarkEnd w:id="8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9" w:name="Writer_Name"/>
      <w:bookmarkEnd w:id="9"/>
      <w:r>
        <w:rPr>
          <w:rFonts w:cs="Times New Roman" w:ascii="Times New Roman" w:hAnsi="Times New Roman"/>
          <w:rtl w:val="true"/>
        </w:rPr>
        <w:tab/>
      </w:r>
      <w:r>
        <w:rPr>
          <w:rFonts w:ascii="Garamond" w:hAnsi="Garamond" w:cs="Garamond"/>
          <w:sz w:val="28"/>
          <w:sz w:val="28"/>
          <w:rtl w:val="true"/>
        </w:rPr>
        <w:t xml:space="preserve">ערעור על החלטת בית המשפט המחוזי בבאר שבע </w:t>
      </w:r>
      <w:r>
        <w:rPr>
          <w:rFonts w:cs="Garamond" w:ascii="Garamond" w:hAnsi="Garamond"/>
          <w:sz w:val="28"/>
          <w:rtl w:val="true"/>
        </w:rPr>
        <w:t>(</w:t>
      </w:r>
      <w:r>
        <w:rPr>
          <w:rFonts w:ascii="Garamond" w:hAnsi="Garamond" w:cs="Garamond"/>
          <w:sz w:val="28"/>
          <w:sz w:val="28"/>
          <w:rtl w:val="true"/>
        </w:rPr>
        <w:t xml:space="preserve">השופט </w:t>
      </w:r>
      <w:r>
        <w:rPr>
          <w:rFonts w:ascii="Garamond" w:hAnsi="Garamond" w:cs="Miriam"/>
          <w:sz w:val="24"/>
          <w:sz w:val="24"/>
          <w:szCs w:val="24"/>
          <w:rtl w:val="true"/>
        </w:rPr>
        <w:t>ד</w:t>
      </w:r>
      <w:r>
        <w:rPr>
          <w:rFonts w:cs="Miriam" w:ascii="Garamond" w:hAnsi="Garamond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sz w:val="24"/>
          <w:sz w:val="24"/>
          <w:szCs w:val="24"/>
          <w:rtl w:val="true"/>
        </w:rPr>
        <w:t>בן</w:t>
      </w:r>
      <w:r>
        <w:rPr>
          <w:rFonts w:ascii="Garamond" w:hAnsi="Garamond" w:eastAsia="Garamond" w:cs="Garamond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sz w:val="24"/>
          <w:sz w:val="24"/>
          <w:szCs w:val="24"/>
          <w:rtl w:val="true"/>
        </w:rPr>
        <w:t>טולילה</w:t>
      </w:r>
      <w:r>
        <w:rPr>
          <w:rFonts w:cs="Garamond" w:ascii="Garamond" w:hAnsi="Garamond"/>
          <w:sz w:val="28"/>
          <w:rtl w:val="true"/>
        </w:rPr>
        <w:t xml:space="preserve">) </w:t>
      </w:r>
      <w:r>
        <w:rPr>
          <w:rFonts w:ascii="Garamond" w:hAnsi="Garamond" w:cs="Garamond"/>
          <w:sz w:val="28"/>
          <w:sz w:val="28"/>
          <w:rtl w:val="true"/>
        </w:rPr>
        <w:t xml:space="preserve">מיום </w:t>
      </w:r>
      <w:r>
        <w:rPr>
          <w:rFonts w:cs="Garamond" w:ascii="Garamond" w:hAnsi="Garamond"/>
          <w:sz w:val="28"/>
        </w:rPr>
        <w:t>5.3.2018</w:t>
      </w:r>
      <w:r>
        <w:rPr>
          <w:rFonts w:cs="Garamond" w:ascii="Garamond" w:hAnsi="Garamond"/>
          <w:sz w:val="28"/>
          <w:rtl w:val="true"/>
        </w:rPr>
        <w:t xml:space="preserve"> </w:t>
      </w:r>
      <w:r>
        <w:rPr>
          <w:rFonts w:ascii="Garamond" w:hAnsi="Garamond" w:cs="Garamond"/>
          <w:sz w:val="28"/>
          <w:sz w:val="28"/>
          <w:rtl w:val="true"/>
        </w:rPr>
        <w:t>שלא לפסול עצמו מלדון בעניינם של המערערים</w:t>
      </w:r>
      <w:r>
        <w:rPr>
          <w:rFonts w:cs="Garamond" w:ascii="Garamond" w:hAnsi="Garamond"/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נגד המערערים </w:t>
      </w:r>
      <w:r>
        <w:rPr>
          <w:rtl w:val="true"/>
        </w:rPr>
        <w:t>–</w:t>
      </w:r>
      <w:r>
        <w:rPr>
          <w:rtl w:val="true"/>
        </w:rPr>
        <w:t xml:space="preserve"> חבר מועצת העיר אשדוד </w:t>
      </w:r>
      <w:r>
        <w:rPr>
          <w:rtl w:val="true"/>
        </w:rPr>
        <w:t>(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וחברה</w:t>
      </w:r>
      <w:r>
        <w:rPr>
          <w:rtl w:val="true"/>
        </w:rPr>
        <w:t xml:space="preserve"> שבה יש לו אחזקות </w:t>
      </w:r>
      <w:r>
        <w:rPr>
          <w:rtl w:val="true"/>
        </w:rPr>
        <w:t>–</w:t>
      </w:r>
      <w:r>
        <w:rPr>
          <w:rtl w:val="true"/>
        </w:rPr>
        <w:t xml:space="preserve"> וכן נגד נאשמים נוספים</w:t>
      </w:r>
      <w:r>
        <w:rPr>
          <w:rtl w:val="true"/>
        </w:rPr>
        <w:t xml:space="preserve">, </w:t>
      </w:r>
      <w:r>
        <w:rPr>
          <w:rtl w:val="true"/>
        </w:rPr>
        <w:t>הוגש כתב אישום שייחס להם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ביצוע עבירות שוחד והלבנת הון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כפרו במיוחס להם בכתב האישום וביום </w:t>
      </w:r>
      <w:r>
        <w:rPr/>
        <w:t>20.11.2017</w:t>
      </w:r>
      <w:r>
        <w:rPr>
          <w:rtl w:val="true"/>
        </w:rPr>
        <w:t xml:space="preserve"> </w:t>
      </w:r>
      <w:r>
        <w:rPr>
          <w:rtl w:val="true"/>
        </w:rPr>
        <w:t xml:space="preserve">הודיעו הצדדים לבית המשפט </w:t>
      </w:r>
      <w:r>
        <w:rPr>
          <w:rtl w:val="true"/>
        </w:rPr>
        <w:t>כי הגיעו</w:t>
      </w:r>
      <w:r>
        <w:rPr>
          <w:rtl w:val="true"/>
        </w:rPr>
        <w:t xml:space="preserve"> להסדר טיעון חלקי</w:t>
      </w:r>
      <w:r>
        <w:rPr>
          <w:rtl w:val="true"/>
        </w:rPr>
        <w:t xml:space="preserve"> ולפיו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משפטם של הנאשמים </w:t>
      </w:r>
      <w:r>
        <w:rPr>
          <w:rFonts w:cs="Century" w:ascii="Century" w:hAnsi="Century"/>
        </w:rPr>
        <w:t>2,3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יופרד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נגד הנאשמים </w:t>
      </w:r>
      <w:r>
        <w:rPr>
          <w:rFonts w:cs="Century" w:ascii="Century" w:hAnsi="Century"/>
        </w:rPr>
        <w:t>2-3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יוגש כתב אישום 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הנאשמים יודו בעובדות כתב האישום </w:t>
      </w:r>
      <w:r>
        <w:rPr>
          <w:rFonts w:ascii="Century" w:hAnsi="Century" w:cs="Century"/>
          <w:rtl w:val="true"/>
        </w:rPr>
        <w:t xml:space="preserve">המתוקן </w:t>
      </w:r>
      <w:r>
        <w:rPr>
          <w:rFonts w:ascii="Century" w:hAnsi="Century" w:cs="Century"/>
          <w:rtl w:val="true"/>
        </w:rPr>
        <w:t xml:space="preserve">אך יטענו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 xml:space="preserve">יש לזכותם </w:t>
      </w:r>
      <w:r>
        <w:rPr>
          <w:rFonts w:ascii="Century" w:hAnsi="Century" w:cs="Century"/>
          <w:rtl w:val="true"/>
        </w:rPr>
        <w:t xml:space="preserve">על סמך ההגנה של טעות במצב </w:t>
      </w:r>
      <w:r>
        <w:rPr>
          <w:rFonts w:ascii="Century" w:hAnsi="Century" w:cs="Century"/>
          <w:rtl w:val="true"/>
        </w:rPr>
        <w:t>משפטי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סמך יעוץ משפטי שהתקבל מעו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cs="Century" w:ascii="Century" w:hAnsi="Century"/>
          <w:rtl w:val="true"/>
        </w:rPr>
        <w:t>[...].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הנאשמים מודים כי מעשי</w:t>
      </w:r>
      <w:r>
        <w:rPr>
          <w:rFonts w:ascii="Century" w:hAnsi="Century" w:cs="Century"/>
          <w:rtl w:val="true"/>
        </w:rPr>
        <w:t xml:space="preserve">ו היו אסורים וכן כי אלמלא </w:t>
      </w:r>
      <w:r>
        <w:rPr>
          <w:rFonts w:ascii="Century" w:hAnsi="Century" w:cs="Century"/>
          <w:rtl w:val="true"/>
        </w:rPr>
        <w:t xml:space="preserve">היו מסתמכים על </w:t>
      </w:r>
      <w:r>
        <w:rPr>
          <w:rFonts w:ascii="Century" w:hAnsi="Century" w:cs="Century"/>
          <w:rtl w:val="true"/>
        </w:rPr>
        <w:t>עצתו</w:t>
      </w:r>
      <w:r>
        <w:rPr>
          <w:rFonts w:ascii="Century" w:hAnsi="Century" w:cs="Century"/>
          <w:rtl w:val="true"/>
        </w:rPr>
        <w:t xml:space="preserve"> של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הם היו מקימים את העבירות המיוחסות להם בכתב האישום</w:t>
      </w:r>
      <w:r>
        <w:rPr>
          <w:rFonts w:cs="Century" w:ascii="Century" w:hAnsi="Century"/>
          <w:rtl w:val="true"/>
        </w:rPr>
        <w:t>".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יסוד ההסדר הוגש נגד המערערים כתב אישום מתוקן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הורה על הפרדת הדיון כאמור וקבע את </w:t>
      </w:r>
      <w:r>
        <w:rPr>
          <w:rtl w:val="true"/>
        </w:rPr>
        <w:t>התיק לשמיעת ראיות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כל הנוגע</w:t>
      </w:r>
      <w:r>
        <w:rPr>
          <w:rtl w:val="true"/>
        </w:rPr>
        <w:t xml:space="preserve"> לטענת ההסתמכות על </w:t>
      </w:r>
      <w:r>
        <w:rPr>
          <w:rtl w:val="true"/>
        </w:rPr>
        <w:t>עצת</w:t>
      </w:r>
      <w:r>
        <w:rPr>
          <w:rtl w:val="true"/>
        </w:rPr>
        <w:t xml:space="preserve"> עורך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בדיון שנערך ביום </w:t>
      </w:r>
      <w:r>
        <w:rPr/>
        <w:t>7.1.2018</w:t>
      </w:r>
      <w:r>
        <w:rPr>
          <w:rtl w:val="true"/>
        </w:rPr>
        <w:t xml:space="preserve"> </w:t>
      </w:r>
      <w:r>
        <w:rPr>
          <w:rtl w:val="true"/>
        </w:rPr>
        <w:t>התגלעה בין הצדדים מחלוקת ביחס לחומר הראיות שתוכל המשיבה להגיש לבית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ומשכך סוכם כי הצדדים יפעלו </w:t>
      </w:r>
      <w:r>
        <w:rPr>
          <w:rtl w:val="true"/>
        </w:rPr>
        <w:t>"</w:t>
      </w:r>
      <w:r>
        <w:rPr>
          <w:rtl w:val="true"/>
        </w:rPr>
        <w:t>כפי שפועלים בחקירה נגדית</w:t>
      </w:r>
      <w:r>
        <w:rPr>
          <w:rtl w:val="true"/>
        </w:rPr>
        <w:t xml:space="preserve">". </w:t>
      </w:r>
      <w:r>
        <w:rPr>
          <w:rtl w:val="true"/>
        </w:rPr>
        <w:t>בשלב זה החלה עדותו של המערער ובמהלכה טענה המשיבה כי דבריו חורגים מן העובדות המוסכמות שפורטו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ועל כן עתרה לביטולו של הסדר הטיעון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בהחלטתו מיום </w:t>
      </w:r>
      <w:r>
        <w:rPr/>
        <w:t>14.2.2018</w:t>
      </w:r>
      <w:r>
        <w:rPr>
          <w:rtl w:val="true"/>
        </w:rPr>
        <w:t xml:space="preserve"> </w:t>
      </w:r>
      <w:r>
        <w:rPr>
          <w:rtl w:val="true"/>
        </w:rPr>
        <w:t>קיבל בית המשפט את בקשת המשיבה</w:t>
      </w:r>
      <w:r>
        <w:rPr>
          <w:rtl w:val="true"/>
        </w:rPr>
        <w:t xml:space="preserve">, </w:t>
      </w:r>
      <w:r>
        <w:rPr>
          <w:rtl w:val="true"/>
        </w:rPr>
        <w:t>חרף התנגדות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tl w:val="true"/>
        </w:rPr>
        <w:t>די בכך שהצדדים שגיבשו את ההסכמה הדיונית חלוקים</w:t>
      </w:r>
      <w:r>
        <w:rPr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על הבסיס העובדתי המוסכם שעל בסיסו אמור בית המשפט להעריך את גרסתו של הנאשם</w:t>
      </w:r>
      <w:r>
        <w:rPr>
          <w:rtl w:val="true"/>
        </w:rPr>
        <w:t xml:space="preserve">, </w:t>
      </w:r>
      <w:r>
        <w:rPr>
          <w:rtl w:val="true"/>
        </w:rPr>
        <w:t>וליתן את הכרעת הדין</w:t>
      </w:r>
      <w:r>
        <w:rPr>
          <w:rtl w:val="true"/>
        </w:rPr>
        <w:t xml:space="preserve">, </w:t>
      </w:r>
      <w:r>
        <w:rPr>
          <w:rtl w:val="true"/>
        </w:rPr>
        <w:t>כדי להביא לביטול הסדר הדיוני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 במקור</w:t>
      </w:r>
      <w:r>
        <w:rPr>
          <w:rtl w:val="true"/>
        </w:rPr>
        <w:t xml:space="preserve">]". </w:t>
      </w:r>
      <w:r>
        <w:rPr>
          <w:rtl w:val="true"/>
        </w:rPr>
        <w:t>הוטעם כי במקרה דנן המחלוקת בין הצדדים היא ראייתית ועובדתית כאחד</w:t>
      </w:r>
      <w:r>
        <w:rPr>
          <w:rtl w:val="true"/>
        </w:rPr>
        <w:t xml:space="preserve">, </w:t>
      </w:r>
      <w:r>
        <w:rPr>
          <w:rtl w:val="true"/>
        </w:rPr>
        <w:t>וכי ייתכן כי ההסדר שנחתם בין הצדדים לא היה מפורט מספיק באופן שהסיר את כל המחלוקות ביניהם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נקבע כי בית המשפט אינו אמור להפוך את עצמו לצד להסדר</w:t>
      </w:r>
      <w:r>
        <w:rPr>
          <w:rtl w:val="true"/>
        </w:rPr>
        <w:t xml:space="preserve">, </w:t>
      </w:r>
      <w:r>
        <w:rPr>
          <w:rtl w:val="true"/>
        </w:rPr>
        <w:t xml:space="preserve">ולגשר על אותם </w:t>
      </w:r>
      <w:r>
        <w:rPr>
          <w:rtl w:val="true"/>
        </w:rPr>
        <w:t>"</w:t>
      </w:r>
      <w:r>
        <w:rPr>
          <w:rtl w:val="true"/>
        </w:rPr>
        <w:t>חללים</w:t>
      </w:r>
      <w:r>
        <w:rPr>
          <w:rtl w:val="true"/>
        </w:rPr>
        <w:t xml:space="preserve">". </w:t>
      </w:r>
      <w:r>
        <w:rPr>
          <w:rtl w:val="true"/>
        </w:rPr>
        <w:t>בצד אלה</w:t>
      </w:r>
      <w:r>
        <w:rPr>
          <w:rtl w:val="true"/>
        </w:rPr>
        <w:t xml:space="preserve">, </w:t>
      </w:r>
      <w:r>
        <w:rPr>
          <w:rtl w:val="true"/>
        </w:rPr>
        <w:t xml:space="preserve">הדגיש בית המשפט כי </w:t>
      </w:r>
      <w:r>
        <w:rPr>
          <w:rtl w:val="true"/>
        </w:rPr>
        <w:t xml:space="preserve">ביטול </w:t>
      </w:r>
      <w:r>
        <w:rPr>
          <w:rtl w:val="true"/>
        </w:rPr>
        <w:t xml:space="preserve">ההסדר </w:t>
      </w:r>
      <w:r>
        <w:rPr>
          <w:rtl w:val="true"/>
        </w:rPr>
        <w:t xml:space="preserve">לא יביא לפגיעה בזכות מזכויותיו של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 ביטולו של ההסדר יאפשר לו לטעון את טענותיו באופן חופשי</w:t>
      </w:r>
      <w:r>
        <w:rPr>
          <w:rtl w:val="true"/>
        </w:rPr>
        <w:t>, "</w:t>
      </w:r>
      <w:r>
        <w:rPr>
          <w:rtl w:val="true"/>
        </w:rPr>
        <w:t>במילותיו הוא</w:t>
      </w:r>
      <w:r>
        <w:rPr>
          <w:rtl w:val="true"/>
        </w:rPr>
        <w:t xml:space="preserve">, </w:t>
      </w:r>
      <w:r>
        <w:rPr>
          <w:rtl w:val="true"/>
        </w:rPr>
        <w:t>ללא כל מגבלה או פרשנות</w:t>
      </w:r>
      <w:r>
        <w:rPr>
          <w:rtl w:val="true"/>
        </w:rPr>
        <w:t xml:space="preserve">". </w:t>
      </w:r>
      <w:r>
        <w:rPr>
          <w:rtl w:val="true"/>
        </w:rPr>
        <w:t>עוד הוסף</w:t>
      </w:r>
      <w:r>
        <w:rPr>
          <w:rtl w:val="true"/>
        </w:rPr>
        <w:t xml:space="preserve">, </w:t>
      </w:r>
      <w:r>
        <w:rPr>
          <w:rtl w:val="true"/>
        </w:rPr>
        <w:t>כי הצדדים לא היו חלוקים כי המערער חזר בו במהלך עדותו מהודאתו בנוגע לאחד מפרטי האישום</w:t>
      </w:r>
      <w:r>
        <w:rPr>
          <w:rtl w:val="true"/>
        </w:rPr>
        <w:t xml:space="preserve">, </w:t>
      </w:r>
      <w:r>
        <w:rPr>
          <w:rtl w:val="true"/>
        </w:rPr>
        <w:t>וכי לא נטען על ידי המערער כי הואיל ומדובר באישום המצוי בשולי הדברים ניתן להורות על ביטול חלקי של ההסדר רק באשר לאישום זה</w:t>
      </w:r>
      <w:r>
        <w:rPr>
          <w:rtl w:val="true"/>
        </w:rPr>
        <w:t xml:space="preserve">. </w:t>
      </w:r>
      <w:r>
        <w:rPr>
          <w:rtl w:val="true"/>
        </w:rPr>
        <w:t>בנסיבות אלו הורה בית המשפט כי עניינו של המערער יישמע יחד עם עניינם של יתר הנאשמים על בסיס כתב האישום המקורי</w:t>
      </w:r>
      <w:r>
        <w:rPr>
          <w:rtl w:val="true"/>
        </w:rPr>
        <w:t xml:space="preserve">, </w:t>
      </w:r>
      <w:r>
        <w:rPr>
          <w:rtl w:val="true"/>
        </w:rPr>
        <w:t>וכי כפירתו המפורטת תשמש אותו בהמשך הדרך</w:t>
      </w:r>
      <w:r>
        <w:rPr>
          <w:rtl w:val="true"/>
        </w:rPr>
        <w:t xml:space="preserve">, </w:t>
      </w:r>
      <w:r>
        <w:rPr>
          <w:rtl w:val="true"/>
        </w:rPr>
        <w:t>אלא אם ירצה לשנות מתשובתו לכתב האישום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Fonts w:cs="Garamond" w:ascii="Garamond" w:hAnsi="Garamond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רקע זה הגיש המערער בקשה לפסילת המותב</w:t>
      </w:r>
      <w:r>
        <w:rPr>
          <w:rtl w:val="true"/>
        </w:rPr>
        <w:t xml:space="preserve">. </w:t>
      </w:r>
      <w:r>
        <w:rPr>
          <w:rtl w:val="true"/>
        </w:rPr>
        <w:t xml:space="preserve">זו נדחתה בהחלטה מיום </w:t>
      </w:r>
      <w:r>
        <w:rPr/>
        <w:t>5.3.2018</w:t>
      </w:r>
      <w:r>
        <w:rPr>
          <w:rtl w:val="true"/>
        </w:rPr>
        <w:t xml:space="preserve"> </w:t>
      </w:r>
      <w:r>
        <w:rPr>
          <w:rtl w:val="true"/>
        </w:rPr>
        <w:t>משנקבע כי הנסיבות דנן אינן מקימות חשש ממשי למשוא פנים ואף לא קרוב לכך</w:t>
      </w:r>
      <w:r>
        <w:rPr>
          <w:rtl w:val="true"/>
        </w:rPr>
        <w:t xml:space="preserve">. </w:t>
      </w:r>
      <w:r>
        <w:rPr>
          <w:rtl w:val="true"/>
        </w:rPr>
        <w:t>בפתח הדברים עמד בית המשפט על ייחודן של הנסיבות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ועל הקושי לאתר מקרים בעלי מאפיינים זהים או דומים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סבר בית המשפט כי יש להקיש לענייננו ממקרים קרובים שבהם מודה הנאשם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ואף מורשע בעקבות כך</w:t>
      </w:r>
      <w:r>
        <w:rPr>
          <w:rtl w:val="true"/>
        </w:rPr>
        <w:t xml:space="preserve">, </w:t>
      </w:r>
      <w:r>
        <w:rPr>
          <w:rtl w:val="true"/>
        </w:rPr>
        <w:t>ולאחר מכן הודאתו מובטלת או ממקרים שבהם מחזירה ערכאת הערעור את ההליך לבירור מחודש בפני הערכאה הדיונית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 אף במקרים מסוג זה אין מניעה כי אותו המותב ידון מחדש בעניינו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 xml:space="preserve">בענייננו הדברים אמורים </w:t>
      </w:r>
      <w:r>
        <w:rPr>
          <w:rtl w:val="true"/>
        </w:rPr>
        <w:t>'</w:t>
      </w:r>
      <w:r>
        <w:rPr>
          <w:rtl w:val="true"/>
        </w:rPr>
        <w:t>מקל וחומר</w:t>
      </w:r>
      <w:r>
        <w:rPr>
          <w:rtl w:val="true"/>
        </w:rPr>
        <w:t xml:space="preserve">' </w:t>
      </w:r>
      <w:r>
        <w:rPr>
          <w:rtl w:val="true"/>
        </w:rPr>
        <w:t xml:space="preserve">שכן </w:t>
      </w:r>
      <w:r>
        <w:rPr>
          <w:rtl w:val="true"/>
        </w:rPr>
        <w:t xml:space="preserve">[...] </w:t>
      </w:r>
      <w:r>
        <w:rPr>
          <w:rtl w:val="true"/>
        </w:rPr>
        <w:t xml:space="preserve">הנאשם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שבפני לא הורשע אלא העיד ודבק בכפירתו כפי שעשה טרם גיבושו של ההסכם</w:t>
      </w:r>
      <w:r>
        <w:rPr>
          <w:rtl w:val="true"/>
        </w:rPr>
        <w:t xml:space="preserve">". </w:t>
      </w:r>
      <w:r>
        <w:rPr>
          <w:rtl w:val="true"/>
        </w:rPr>
        <w:t>לכך הוסיף בית המשפט כי לא גיבש כל עמדה ביחס למערער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דעתו לא </w:t>
      </w:r>
      <w:r>
        <w:rPr>
          <w:rtl w:val="true"/>
        </w:rPr>
        <w:t>"</w:t>
      </w:r>
      <w:r>
        <w:rPr>
          <w:rtl w:val="true"/>
        </w:rPr>
        <w:t>ננעלה</w:t>
      </w:r>
      <w:r>
        <w:rPr>
          <w:rtl w:val="true"/>
        </w:rPr>
        <w:t xml:space="preserve">" </w:t>
      </w:r>
      <w:r>
        <w:rPr>
          <w:rtl w:val="true"/>
        </w:rPr>
        <w:t>וממילא גם לא נקבע כל ממצא מהימנות</w:t>
      </w:r>
      <w:r>
        <w:rPr>
          <w:rtl w:val="true"/>
        </w:rPr>
        <w:t xml:space="preserve">. </w:t>
      </w:r>
      <w:r>
        <w:rPr>
          <w:rtl w:val="true"/>
        </w:rPr>
        <w:t>בית המשפט הוסיף והדגיש כי כאמור בהחלטה בדבר ביטול ההסדר</w:t>
      </w:r>
      <w:r>
        <w:rPr>
          <w:rtl w:val="true"/>
        </w:rPr>
        <w:t xml:space="preserve">, </w:t>
      </w:r>
      <w:r>
        <w:rPr>
          <w:rtl w:val="true"/>
        </w:rPr>
        <w:t>לא יהיה בפרטים שמסר בעדותו כדי לפגוע בכל דרך בהגנתו</w:t>
      </w:r>
      <w:r>
        <w:rPr>
          <w:rtl w:val="true"/>
        </w:rPr>
        <w:t xml:space="preserve">, </w:t>
      </w:r>
      <w:r>
        <w:rPr>
          <w:rtl w:val="true"/>
        </w:rPr>
        <w:t>כי לא ייקבע כל ממצא על בסיס עדות חלקית זאת</w:t>
      </w:r>
      <w:r>
        <w:rPr>
          <w:rtl w:val="true"/>
        </w:rPr>
        <w:t xml:space="preserve">; </w:t>
      </w:r>
      <w:r>
        <w:rPr>
          <w:rtl w:val="true"/>
        </w:rPr>
        <w:t xml:space="preserve">וכי ממילא התרשמות בית המשפט הייתה כי המערער חש </w:t>
      </w:r>
      <w:r>
        <w:rPr>
          <w:rtl w:val="true"/>
        </w:rPr>
        <w:t>"</w:t>
      </w:r>
      <w:r>
        <w:rPr>
          <w:rtl w:val="true"/>
        </w:rPr>
        <w:t>כפוף ומוגבל</w:t>
      </w:r>
      <w:r>
        <w:rPr>
          <w:rtl w:val="true"/>
        </w:rPr>
        <w:t xml:space="preserve">" </w:t>
      </w:r>
      <w:r>
        <w:rPr>
          <w:rtl w:val="true"/>
        </w:rPr>
        <w:t>למסגרת העובדתית שעליה הוסכם בכתב האישום המתוקן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Fonts w:cs="Garamond" w:ascii="Garamond" w:hAnsi="Garamond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הערעור שלפניי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 xml:space="preserve">לוז טענות המערערים הוא כי ביטול הסדר הטיעון על סמך קיום מחלוקת </w:t>
      </w:r>
      <w:r>
        <w:rPr>
          <w:rtl w:val="true"/>
        </w:rPr>
        <w:t>"</w:t>
      </w:r>
      <w:r>
        <w:rPr>
          <w:rtl w:val="true"/>
        </w:rPr>
        <w:t>פרשנית</w:t>
      </w:r>
      <w:r>
        <w:rPr>
          <w:rtl w:val="true"/>
        </w:rPr>
        <w:t xml:space="preserve">" </w:t>
      </w:r>
      <w:r>
        <w:rPr>
          <w:rtl w:val="true"/>
        </w:rPr>
        <w:t>בין הצדדים באשר לתכנו</w:t>
      </w:r>
      <w:r>
        <w:rPr>
          <w:rtl w:val="true"/>
        </w:rPr>
        <w:t xml:space="preserve">, </w:t>
      </w:r>
      <w:r>
        <w:rPr>
          <w:rtl w:val="true"/>
        </w:rPr>
        <w:t>מקפח את הגנתם וכי הפגיעה בזכויותיהם מתעצמת בשל כך שהמשך הדיון בתיק יתקיים בפני אותו המותב</w:t>
      </w:r>
      <w:r>
        <w:rPr>
          <w:rtl w:val="true"/>
        </w:rPr>
        <w:t xml:space="preserve">. </w:t>
      </w:r>
      <w:r>
        <w:rPr>
          <w:rtl w:val="true"/>
        </w:rPr>
        <w:t>נטען כי המערערים הודו במסגרת ההסדר בדברים שהכחישו קודם לכן</w:t>
      </w:r>
      <w:r>
        <w:rPr>
          <w:rtl w:val="true"/>
        </w:rPr>
        <w:t xml:space="preserve">, </w:t>
      </w:r>
      <w:r>
        <w:rPr>
          <w:rtl w:val="true"/>
        </w:rPr>
        <w:t xml:space="preserve">וכי עדות המערער ניתנה </w:t>
      </w:r>
      <w:r>
        <w:rPr>
          <w:rtl w:val="true"/>
        </w:rPr>
        <w:t>–</w:t>
      </w:r>
      <w:r>
        <w:rPr>
          <w:rtl w:val="true"/>
        </w:rPr>
        <w:t xml:space="preserve"> בהסתמך על ההסדר האמור </w:t>
      </w:r>
      <w:r>
        <w:rPr>
          <w:rtl w:val="true"/>
        </w:rPr>
        <w:t>–</w:t>
      </w:r>
      <w:r>
        <w:rPr>
          <w:rtl w:val="true"/>
        </w:rPr>
        <w:t xml:space="preserve"> מבלי שקדמה לה שמיעת ראיות התביעה</w:t>
      </w:r>
      <w:r>
        <w:rPr>
          <w:rtl w:val="true"/>
        </w:rPr>
        <w:t xml:space="preserve">. </w:t>
      </w:r>
      <w:r>
        <w:rPr>
          <w:rtl w:val="true"/>
        </w:rPr>
        <w:t xml:space="preserve">נטען כי בית המשפט לא קבע כי הוא יתעלם מעדות זו </w:t>
      </w:r>
      <w:r>
        <w:rPr>
          <w:rtl w:val="true"/>
        </w:rPr>
        <w:t>"</w:t>
      </w:r>
      <w:r>
        <w:rPr>
          <w:rtl w:val="true"/>
        </w:rPr>
        <w:t>ולא ברור האם בסמכותו לקבוע כך</w:t>
      </w:r>
      <w:r>
        <w:rPr>
          <w:rtl w:val="true"/>
        </w:rPr>
        <w:t xml:space="preserve">". </w:t>
      </w:r>
      <w:r>
        <w:rPr>
          <w:rtl w:val="true"/>
        </w:rPr>
        <w:t>עוד נטען כי במצב זה המערערים נאלצים להמשיך ולהתדיין על סמך הודאה שמסרו כנגד ויתורים שעשתה המשיבה במסגרת ההסדר</w:t>
      </w:r>
      <w:r>
        <w:rPr>
          <w:rtl w:val="true"/>
        </w:rPr>
        <w:t xml:space="preserve">, </w:t>
      </w:r>
      <w:r>
        <w:rPr>
          <w:rtl w:val="true"/>
        </w:rPr>
        <w:t>ועדות המערער ממשיכה להיות חלק מפרוטוקול הדיונים בפני אותו המותב שהיה מעורב בפרטי המשא ומתן בין הצדדים טרם גיבושו של הסדר הטיעון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המערערים מדגישים כי </w:t>
      </w:r>
      <w:r>
        <w:rPr>
          <w:rtl w:val="true"/>
        </w:rPr>
        <w:t>–</w:t>
      </w:r>
      <w:r>
        <w:rPr>
          <w:rtl w:val="true"/>
        </w:rPr>
        <w:t xml:space="preserve"> בניגוד לקביעת בית משפט קמא </w:t>
      </w:r>
      <w:r>
        <w:rPr>
          <w:rtl w:val="true"/>
        </w:rPr>
        <w:t>–</w:t>
      </w:r>
      <w:r>
        <w:rPr>
          <w:rtl w:val="true"/>
        </w:rPr>
        <w:t xml:space="preserve"> אין מקום להקיש לנסיבות המקרה דנן ממצבים שבהם חוזר נאשם מהודאתו</w:t>
      </w:r>
      <w:r>
        <w:rPr>
          <w:rtl w:val="true"/>
        </w:rPr>
        <w:t xml:space="preserve">, </w:t>
      </w:r>
      <w:r>
        <w:rPr>
          <w:rtl w:val="true"/>
        </w:rPr>
        <w:t>שכן בניגוד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של נאשם בפני בית המשפט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כבענייננו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מקום שבו נאשם אך מודה במסגרת הסדר טיעון ההודאה אינה חלק מחומר הראיות בתיק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היא חלק מהפרוצדורה המשפטית המגדירה את גבולות המחלוקת בין הצדדים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 בעוד שנאשם שחוזר בו מהודאתו ברשות בית המשפט יכול לצפות כי השופט יבחן בנפש חפצה את גרסתו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זה המצב כאשר נאשם הודה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נרשמה בפרוטוקול מבלי שהוא חזר ב</w:t>
      </w:r>
      <w:r>
        <w:rPr>
          <w:rtl w:val="true"/>
        </w:rPr>
        <w:t>ו ממנה</w:t>
      </w:r>
      <w:r>
        <w:rPr>
          <w:rtl w:val="true"/>
        </w:rPr>
        <w:t xml:space="preserve">. </w:t>
      </w:r>
      <w:r>
        <w:rPr>
          <w:rtl w:val="true"/>
        </w:rPr>
        <w:t>נטען כי אין אף להקיש ממקרים שבהם התיק הוחזר לבירור מחדש בפני הערכאה הדיונית על ידי ערכאת הערעור</w:t>
      </w:r>
      <w:r>
        <w:rPr>
          <w:rtl w:val="true"/>
        </w:rPr>
        <w:t xml:space="preserve">, </w:t>
      </w:r>
      <w:r>
        <w:rPr>
          <w:rtl w:val="true"/>
        </w:rPr>
        <w:t>וכי בנסיבות דנן הותרת עניינו של המערער בפני המותב תביא לסרבול דיוני ולא תחסוך בזמן שיפוטי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Fonts w:cs="Garamond" w:ascii="Garamond" w:hAnsi="Garamond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לאחר שעיינתי בערעור ובנספחיו באתי לידי מסקנה כי דינו להידחות</w:t>
      </w:r>
      <w:r>
        <w:rPr>
          <w:rtl w:val="true"/>
        </w:rPr>
        <w:t xml:space="preserve">. </w:t>
      </w:r>
      <w:r>
        <w:rPr>
          <w:rtl w:val="true"/>
        </w:rPr>
        <w:t>בפתח הדברים אציין כי אין מקום לדון במסגרת הערעור דנן בטענות המופנות כלפי ההחלטה בעניין ביטול הסדר הטיעון</w:t>
      </w:r>
      <w:r>
        <w:rPr>
          <w:rtl w:val="true"/>
        </w:rPr>
        <w:t xml:space="preserve">. </w:t>
      </w:r>
      <w:r>
        <w:rPr>
          <w:rtl w:val="true"/>
        </w:rPr>
        <w:t xml:space="preserve">עוד אציין כי נקודת המוצא לדיון בערעור היא כי השופט היושב בדין הינו שופט מקצועי </w:t>
      </w:r>
      <w:r>
        <w:rPr>
          <w:rtl w:val="true"/>
        </w:rPr>
        <w:t>(</w:t>
      </w:r>
      <w:hyperlink r:id="rId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318/18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10.1.2018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על רקע הנחת מוצא זו כבר נפסק כי העובדה שבית המשפט נחשף למידע שאינו קביל</w:t>
      </w:r>
      <w:r>
        <w:rPr>
          <w:rtl w:val="true"/>
        </w:rPr>
        <w:t xml:space="preserve">, </w:t>
      </w:r>
      <w:r>
        <w:rPr>
          <w:rtl w:val="true"/>
        </w:rPr>
        <w:t xml:space="preserve">היא לבדה אין בה כדי להביא </w:t>
      </w:r>
      <w:r>
        <w:rPr>
          <w:rFonts w:ascii="Century" w:hAnsi="Century" w:cs="Century"/>
          <w:sz w:val="22"/>
          <w:sz w:val="22"/>
          <w:rtl w:val="true"/>
        </w:rPr>
        <w:t xml:space="preserve">לפסילתו </w:t>
      </w:r>
      <w:r>
        <w:rPr>
          <w:rFonts w:cs="Century" w:ascii="Century" w:hAnsi="Century"/>
          <w:sz w:val="22"/>
          <w:rtl w:val="true"/>
        </w:rPr>
        <w:t>(</w:t>
      </w:r>
      <w:hyperlink r:id="rId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640/18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24.1.2018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8821/07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23.12.2007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הוא הדין</w:t>
      </w:r>
      <w:r>
        <w:rPr>
          <w:rtl w:val="true"/>
        </w:rPr>
        <w:t xml:space="preserve"> ביחס לחשיפתו של בית המשפט להרשעות קודמות של נאשם </w:t>
      </w:r>
      <w:bookmarkStart w:id="10" w:name="Text1"/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10826/08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בבייב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bookmarkEnd w:id="10"/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26.1.2009</w:t>
      </w:r>
      <w:r>
        <w:rPr>
          <w:rtl w:val="true"/>
        </w:rPr>
        <w:t xml:space="preserve">)); </w:t>
      </w:r>
      <w:r>
        <w:rPr>
          <w:rtl w:val="true"/>
        </w:rPr>
        <w:t xml:space="preserve">להודאת נאשם אם חזר בו מהודאתו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30.1.2012</w:t>
      </w:r>
      <w:r>
        <w:rPr>
          <w:rtl w:val="true"/>
        </w:rPr>
        <w:t xml:space="preserve">)); </w:t>
      </w:r>
      <w:r>
        <w:rPr>
          <w:rtl w:val="true"/>
        </w:rPr>
        <w:t xml:space="preserve">ולהסדר טיעון שנדחה אך בית המשפט כבר נחשף לפרטיו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1884/13</w:t>
        </w:r>
      </w:hyperlink>
      <w:r>
        <w:rPr>
          <w:rtl w:val="true"/>
        </w:rPr>
        <w:t xml:space="preserve"> ‏</w:t>
      </w:r>
      <w:r>
        <w:rPr>
          <w:rFonts w:cs="Miriam"/>
          <w:b/>
          <w:b/>
          <w:spacing w:val="0"/>
          <w:szCs w:val="24"/>
          <w:rtl w:val="true"/>
        </w:rPr>
        <w:t>סלע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12.3.2013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המקרה דנן בית המשפט הדגיש כי לא יהיה בביטולו של הסדר הטיעון כדי לפגוע בדרך כלשהי בהגנת המערערים</w:t>
      </w:r>
      <w:r>
        <w:rPr>
          <w:rtl w:val="true"/>
        </w:rPr>
        <w:t xml:space="preserve">, </w:t>
      </w:r>
      <w:r>
        <w:rPr>
          <w:rtl w:val="true"/>
        </w:rPr>
        <w:t>וכי לא ייקבע כל ממצא על בסיס עדותו החלקית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הוסיף וציין כי דעתו אינה </w:t>
      </w:r>
      <w:r>
        <w:rPr>
          <w:rtl w:val="true"/>
        </w:rPr>
        <w:t>"</w:t>
      </w:r>
      <w:r>
        <w:rPr>
          <w:rtl w:val="true"/>
        </w:rPr>
        <w:t>נעולה</w:t>
      </w:r>
      <w:r>
        <w:rPr>
          <w:rtl w:val="true"/>
        </w:rPr>
        <w:t xml:space="preserve">", </w:t>
      </w:r>
      <w:r>
        <w:rPr>
          <w:rtl w:val="true"/>
        </w:rPr>
        <w:t>וכי טרם נקבע כל ממצא מהימנות באשר למערער</w:t>
      </w:r>
      <w:r>
        <w:rPr>
          <w:rtl w:val="true"/>
        </w:rPr>
        <w:t xml:space="preserve">. </w:t>
      </w:r>
      <w:r>
        <w:rPr>
          <w:rtl w:val="true"/>
        </w:rPr>
        <w:t>עוד הדגיש בית המשפט כי המערער רשאי לשנות את תשובתו לכתב האישום ככל שיחפוץ בכך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סבורה כי עלה בידי המערערים להצביע על חשש ממשי לקיומו של משוא פנים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דומה כי המערערים מבקשים לערער על ההחלטה בעניין ביטול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וברי כי בקשת פסלות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כל שכן ערעור על ההחלטה שניתנה בגדרה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אינם האכסניה המתאימה לכך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z w:val="28"/>
          <w:lang w:eastAsia="he-IL"/>
        </w:rPr>
      </w:pPr>
      <w:r>
        <w:rPr>
          <w:rFonts w:cs="Garamond" w:ascii="Garamond" w:hAnsi="Garamond"/>
          <w:sz w:val="28"/>
          <w:rtl w:val="true"/>
          <w:lang w:eastAsia="he-IL"/>
        </w:rPr>
      </w:r>
    </w:p>
    <w:p>
      <w:pPr>
        <w:pStyle w:val="Ruller42"/>
        <w:ind w:end="0"/>
        <w:jc w:val="both"/>
        <w:rPr>
          <w:rFonts w:ascii="Garamond" w:hAnsi="Garamond" w:cs="Garamond"/>
          <w:sz w:val="28"/>
          <w:lang w:eastAsia="he-IL"/>
        </w:rPr>
      </w:pPr>
      <w:r>
        <w:rPr>
          <w:rFonts w:cs="Garamond" w:ascii="Garamond" w:hAnsi="Garamond"/>
          <w:sz w:val="28"/>
          <w:rtl w:val="true"/>
          <w:lang w:eastAsia="he-IL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23.3.2018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  <w:bookmarkStart w:id="11" w:name="Start_Write"/>
      <w:bookmarkStart w:id="12" w:name="Start_Write"/>
      <w:bookmarkEnd w:id="12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18020680</w:t>
      </w:r>
      <w:r>
        <w:rPr>
          <w:sz w:val="16"/>
          <w:rtl w:val="true"/>
        </w:rPr>
        <w:t>_</w:t>
      </w:r>
      <w:r>
        <w:rPr>
          <w:sz w:val="16"/>
        </w:rPr>
        <w:t>V01.doc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54678313-2068/18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2068/18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יצחק דרי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eastAsia="Calibri" w:cs="FrankRuehl"/>
      <w:spacing w:val="10"/>
      <w:sz w:val="24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  <w:textAlignment w:val="auto"/>
    </w:pPr>
    <w:rPr>
      <w:rFonts w:ascii="Garamond" w:hAnsi="Garamond" w:eastAsia="Calibri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39547" TargetMode="External"/><Relationship Id="rId3" Type="http://schemas.openxmlformats.org/officeDocument/2006/relationships/hyperlink" Target="http://www.nevo.co.il/case/23543175" TargetMode="External"/><Relationship Id="rId4" Type="http://schemas.openxmlformats.org/officeDocument/2006/relationships/hyperlink" Target="http://www.nevo.co.il/case/23579032" TargetMode="External"/><Relationship Id="rId5" Type="http://schemas.openxmlformats.org/officeDocument/2006/relationships/hyperlink" Target="http://www.nevo.co.il/case/6138604" TargetMode="External"/><Relationship Id="rId6" Type="http://schemas.openxmlformats.org/officeDocument/2006/relationships/hyperlink" Target="http://www.nevo.co.il/case/6175306" TargetMode="External"/><Relationship Id="rId7" Type="http://schemas.openxmlformats.org/officeDocument/2006/relationships/hyperlink" Target="http://www.nevo.co.il/case/5573440" TargetMode="External"/><Relationship Id="rId8" Type="http://schemas.openxmlformats.org/officeDocument/2006/relationships/hyperlink" Target="http://www.nevo.co.il/case/6780639" TargetMode="External"/><Relationship Id="rId9" Type="http://schemas.openxmlformats.org/officeDocument/2006/relationships/hyperlink" Target="http://www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2018-05-24T11:22:00Z</dcterms:created>
  <dc:creator> </dc:creator>
  <dc:description/>
  <cp:keywords/>
  <dc:language>en-IL</dc:language>
  <cp:lastModifiedBy>orly</cp:lastModifiedBy>
  <cp:lastPrinted>2018-03-22T15:11:00Z</cp:lastPrinted>
  <dcterms:modified xsi:type="dcterms:W3CDTF">2018-05-24T11:22:00Z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יצחק דרי;כד-גל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22539547;23543175;23579032;6138604;6175306;5573440;6780639</vt:lpwstr>
  </property>
  <property fmtid="{D5CDD505-2E9C-101B-9397-08002B2CF9AE}" pid="9" name="CITY">
    <vt:lpwstr/>
  </property>
  <property fmtid="{D5CDD505-2E9C-101B-9397-08002B2CF9AE}" pid="10" name="DATE">
    <vt:lpwstr>20180323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YER">
    <vt:lpwstr>קרן שפירא אטינגר;רון שפירא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בתי-משפט</vt:lpwstr>
  </property>
  <property fmtid="{D5CDD505-2E9C-101B-9397-08002B2CF9AE}" pid="26" name="NOSE110">
    <vt:lpwstr/>
  </property>
  <property fmtid="{D5CDD505-2E9C-101B-9397-08002B2CF9AE}" pid="27" name="NOSE12">
    <vt:lpwstr>בתי-משפט</vt:lpwstr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14;14</vt:lpwstr>
  </property>
  <property fmtid="{D5CDD505-2E9C-101B-9397-08002B2CF9AE}" pid="36" name="NOSE21">
    <vt:lpwstr>שופטים</vt:lpwstr>
  </property>
  <property fmtid="{D5CDD505-2E9C-101B-9397-08002B2CF9AE}" pid="37" name="NOSE210">
    <vt:lpwstr/>
  </property>
  <property fmtid="{D5CDD505-2E9C-101B-9397-08002B2CF9AE}" pid="38" name="NOSE22">
    <vt:lpwstr>פסלות שופט</vt:lpwstr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341;336</vt:lpwstr>
  </property>
  <property fmtid="{D5CDD505-2E9C-101B-9397-08002B2CF9AE}" pid="47" name="NOSE31">
    <vt:lpwstr>פסילה</vt:lpwstr>
  </property>
  <property fmtid="{D5CDD505-2E9C-101B-9397-08002B2CF9AE}" pid="48" name="NOSE310">
    <vt:lpwstr/>
  </property>
  <property fmtid="{D5CDD505-2E9C-101B-9397-08002B2CF9AE}" pid="49" name="NOSE32">
    <vt:lpwstr>עילות הפסלות</vt:lpwstr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2803;17180</vt:lpwstr>
  </property>
  <property fmtid="{D5CDD505-2E9C-101B-9397-08002B2CF9AE}" pid="58" name="PADIDATE">
    <vt:lpwstr>20180404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2068</vt:lpwstr>
  </property>
  <property fmtid="{D5CDD505-2E9C-101B-9397-08002B2CF9AE}" pid="64" name="PROCYEAR">
    <vt:lpwstr>18</vt:lpwstr>
  </property>
  <property fmtid="{D5CDD505-2E9C-101B-9397-08002B2CF9AE}" pid="65" name="PSAKDIN">
    <vt:lpwstr>החלטה</vt:lpwstr>
  </property>
  <property fmtid="{D5CDD505-2E9C-101B-9397-08002B2CF9AE}" pid="66" name="TYPE">
    <vt:lpwstr>1</vt:lpwstr>
  </property>
  <property fmtid="{D5CDD505-2E9C-101B-9397-08002B2CF9AE}" pid="67" name="TYPE_ABS_DATE">
    <vt:lpwstr>410120180323</vt:lpwstr>
  </property>
  <property fmtid="{D5CDD505-2E9C-101B-9397-08002B2CF9AE}" pid="68" name="TYPE_N_DATE">
    <vt:lpwstr>41020180323</vt:lpwstr>
  </property>
  <property fmtid="{D5CDD505-2E9C-101B-9397-08002B2CF9AE}" pid="69" name="VOLUME">
    <vt:lpwstr/>
  </property>
  <property fmtid="{D5CDD505-2E9C-101B-9397-08002B2CF9AE}" pid="70" name="WORDNUMPAGES">
    <vt:lpwstr>5</vt:lpwstr>
  </property>
</Properties>
</file>