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leNumber1"/>
        <w:ind w:end="0"/>
        <w:jc w:val="center"/>
        <w:rPr>
          <w:sz w:val="28"/>
        </w:rPr>
      </w:pP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</w:p>
    <w:p>
      <w:pPr>
        <w:pStyle w:val="Normal"/>
        <w:ind w:end="0"/>
        <w:jc w:val="center"/>
        <w:rPr>
          <w:rFonts w:cs="Miriam"/>
          <w:b/>
          <w:bCs/>
          <w:sz w:val="28"/>
        </w:rPr>
      </w:pPr>
      <w:r>
        <w:rPr>
          <w:rFonts w:cs="Miriam"/>
          <w:b/>
          <w:bCs/>
          <w:sz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2074/23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ערפאת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רפאיעה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עזבון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המנוחה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אנסבכר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15148-03-19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20.12.2022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פריבס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22.1.2024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סואעד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קטן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7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10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טיפול בחולי נפש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170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170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הסעד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טיפול באנשים עם מוגבלות שכלית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התפתחותית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1969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הן המומחים מטעם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עורכי חוות הדעת והן אלה אשר בדקו את המערער בדיקות שגרתיות רבות במסגרת שירות בתי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 תשתית יסודית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יציבה ואיתנה לכך שהמערער אכן כשיר לעמוד לדין ואינו חולה במחלת 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 דעתו של המומחה מטעם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שגובשה בזמנים קצרים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נועד עם המערער פעמיים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 עוררה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ולוּ ספק סביר בקביעה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אחריות פלילית – כשירות לעמוד לדין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מומחים – הסתמכות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 עליהם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דין וגזר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הערעור טענה בדבר העדר כשירותו של המערער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על פי הודאתו במעשי אינוס ורצח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טרור של רצח בכוונה 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חריגות בחומרתן של הנערה אורי אנסבכר 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השופטות 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 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הכלל המושרש שלפיו ערכאת הערעור תמעט להתערב בממצאי עובדה ומהימנות שנקבעו בידי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 גם בגדרן של חוות דעת פסיכיאטריות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הסוגיה העיקרית הטעונה 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סוגית כשירותו הדיונית של המערער בשלב העמדה לדין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כוחו של המערער טוען כי בניגוד לקביעת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לקבוע כי המערער הצליח לעורר ספק סביר באשר לכשירותו זו ולהורות על הפסקת ההליכים נגדו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נקודת המוצא להפסקת הליכים מחמת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כשירות לעמוד לדין מוסדרת 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170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סדר הדין הפלילי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שנאשם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ובענייננו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יבוא בגדרי הסעיף צריכים להתקיים שני תנאים 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האחד – כי אינו מסוגל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בעזרת מבחנים שנקבעו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והתנאי השני והאחרון – כי חוסר המסוגלות נובע מהיותו חולה נפש או מוגבל שכלית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העדר מסוגלות לעמוד לדין משמעו חוסר יכולת לעקוב באופן מושכל אחר ההליך הפלילי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להבינו וליטול בו חלק פעיל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להשיב לשאלות באופן קוהרנטי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נדרש בהרחבה לשורה של חוות דעת פסיכיאטריות ועדויות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לרבות אלו שבחנו את מצבו של המערער לאורך תקופת מעצרו ובמשך זמן ממושך ושהצביעו באופן מובהק על 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תמונה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עדכנית ביחס למצבו הנפשי של המערער לאחר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 לאחר שהתרשם באופן בלתי אמצעי מהמומחים הרבים שהעידו בפניו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ואימץ את ממצאיהם ומסקנותיהם לפיהן המערער כשיר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העדיף את חוות הדעת מטעם הפסיכיאטר המחוזי על פני חוות הדעת מטעם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חווה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היחידה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אינו כשיר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>).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במסקנה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עסקינן בבדיקות שבוצעו למערער לאורך תקופה ארוכה מאוד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במהלכה נבדק על ידי מומחים רבים מתחום הפסיכיאטריה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איש מהמומחים שבדקו את המערער לא הגיע למסקנה כי הלה נמצא במצב פסיכוטי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מתקיים בו צירוף סימפטומים המובילים למסקנה כי הוא חולה בנפשו וכי אינו כשיר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איש מהמומחים לא שוכנע ההיפך וחזר בו 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המומחה מטעם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פגש בו פעמיים בלבד וזאת לפרקי זמן קצרים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בכך כדי להשליך על חולשת חוות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נדרש להעריך את מהימנותה של חוות דעת וקביעת משקלה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לבחון את התשתית העובדתית המצויה ביסודה ואת מידת מקצועיותו של ההליך שהוביל לחיבורה של חוות הדעת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בדיקה של מומחה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לפרקי זמן של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דקות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מאפשרת בחינה מעמיקה ויסודית של מצבו 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הנבדק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עוד יש לציין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השאלה אם לפטור אדם מאחריות פלילית בשל תחולת הסייג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אי כשירות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סוגיה משפטית ואינה סוגיה רפואית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 דעת פסיכיאטריות משמשות כלי בידי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כדי להגיע להכרעה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בהן כדי להחליף את שיקול דעתו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יש סתירה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חווה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תפקידו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אינו מתמצה רק בהכרעה </w:t>
      </w:r>
      <w:r>
        <w:rPr>
          <w:rFonts w:ascii="Times New Roman" w:hAnsi="Times New Roman" w:cs="Times New Roman"/>
          <w:spacing w:val="0"/>
          <w:szCs w:val="26"/>
          <w:rtl w:val="true"/>
        </w:rPr>
        <w:t>בינהן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בגיבוש מסקנה כוללת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המתיישבת עם התמונה הראייתית כולה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הלימה בין חוות הדעת לבין המארג 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הערכאה הדיונית להתרשם באופן בלתי אמצעי מהנאשם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מניעיו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הסבריו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מחומר הראיות שהונח לפניה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מהמומחים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ממסקנות המומחים הנבחנות באספקלריה של דרישות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 להשוות בין חוות הדעת ולהבחין בין נימוקים בעלי אחיזה בחומר הראיות לבין נימוקים שאינם אלא השערות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יש לשקול בין היתר גם את רמתם המקצועית של המומחים אשר חיברו א</w:t>
      </w:r>
      <w:r>
        <w:rPr>
          <w:rFonts w:ascii="Times New Roman" w:hAnsi="Times New Roman" w:cs="Times New Roman"/>
          <w:spacing w:val="0"/>
          <w:szCs w:val="26"/>
          <w:rtl w:val="true"/>
        </w:rPr>
        <w:t>ת חווה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זאת את טיב הכשרתם והיקף ניסיונם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נדרש לחוות הדעת של המומחים שנבחנו לעומקן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 מהכרעתו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בחן לעומק את תוצאות הבדיקות השונות שנערכו למערער לאורך תקופה ארוכה על ידי מספר מומחים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שמועסקים כפסיכיאטריים עצמאיים בשירות בתי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נתן משקל להתנהגויות שניצפו אצל המערער במהלך ההליך המשפטי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שיש בהן כדי להוות תימוכין לכך שהלה מבין את ההליך המתנהל נגדו וכשיר לעמוד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ביקש המערער לשוחח עם אימו בטרם הודה בעובדות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השיב לשאלות שנשאל באופן ענייני בהמשך הדיון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זיהה את הצוותים המשפטיים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נחקר בשפתו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מתורגמנית ולא זו אלא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התרשם מעדויות לעניין התנהגותו של המערער לאורך תקופה ארוכה ופרקי זמן ממושכים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לחוות דעת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המומחה מטעם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שגובשה בזמנים קצרים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עת נועד עם המערער פעמיים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הן המומחים מטעם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עורכי חוות הדעת והן אלה אשר בדקו את המערער בדיקות שגרתיות רבות במסגרת שירות בתי הסוהר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 תשתית יסודית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יציבה ואיתנה לכך שהמערער אכן כשיר לעמוד לדין ואינו חולה במחלת 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 דעתו של המומחה מטעם המערער לא עוררה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ולוּ ספק סביר בקביעה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1049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על פי שהצדדים לא טענו לעניין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מאחר שהרצח בוצע ביום </w:t>
      </w:r>
      <w:r>
        <w:rPr>
          <w:rFonts w:cs="Times New Roman" w:ascii="Times New Roman" w:hAnsi="Times New Roman"/>
          <w:spacing w:val="0"/>
          <w:szCs w:val="26"/>
        </w:rPr>
        <w:t>7.2.2019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לפני יום התחילה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וטרם ניתן פסק דין חלוט בעניינה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לבחון את השפעת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זה נקבע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הרפורמה אינה בגדר דין מקל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בעניינו של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כן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ליישמה במקרה שלפנינו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מעשיו נכללים בבירור בשתיים מבין הנסיבות המחמירות הקבועות </w:t>
      </w:r>
      <w:hyperlink r:id="rId2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הנסיבה הקבועה </w:t>
      </w:r>
      <w:hyperlink r:id="rId2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קטן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שלפיה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נעשה באכזריות מיוחדת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תוך התעללות גופנית או נפשית בקורבן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נסיבה המחמירה הקבועה </w:t>
      </w:r>
      <w:hyperlink r:id="rId2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301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שלפיו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 הוא מעשה טרור כהגדרתו ב</w:t>
      </w:r>
      <w:hyperlink r:id="rId3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המאבק בטרור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התשע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ו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-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2016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כן לא נמצא להחיל בענייננו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פתח המילוט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שלפיו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אף הוראות סעיף קטן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התקיימה נסיבה מחמירה כאמור באותו סעיף קטן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מצא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מנימוקים מיוחדים שיירשמו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מתקיימות נסיבות מיוחדות שבשלהן המעשה אינו מבטא דרגת אשמה חמורה במיוחד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רשאי הוא להרשיע את הנאשם בעבירה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שפגע בערכים המוגנים ביותר לאדם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רחוק שנות אור מלהימנות עם אותם מקרים חריגים ביותר המצדיקים שימוש בסעיף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ind w:end="0"/>
        <w:jc w:val="end"/>
        <w:rPr>
          <w:rFonts w:cs="Miriam"/>
          <w:b/>
          <w:bCs/>
          <w:color w:val="000000"/>
          <w:sz w:val="24"/>
          <w:szCs w:val="24"/>
          <w:u w:val="single"/>
        </w:rPr>
      </w:pPr>
      <w:r>
        <w:rPr>
          <w:rFonts w:cs="Miriam"/>
          <w:b/>
          <w:bCs/>
          <w:color w:val="000000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הורשע </w:t>
      </w:r>
      <w:r>
        <w:rPr>
          <w:rtl w:val="true"/>
        </w:rPr>
        <w:t xml:space="preserve">על פי הודאתו במעשי אינוס ורצח בנסיבות חריגות בחומרתן </w:t>
      </w:r>
      <w:r>
        <w:rPr>
          <w:rtl w:val="true"/>
        </w:rPr>
        <w:t xml:space="preserve">של </w:t>
      </w:r>
      <w:r>
        <w:rPr>
          <w:rtl w:val="true"/>
        </w:rPr>
        <w:t>הנערה אורי אנסבכר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המנוחה</w:t>
      </w:r>
      <w:r>
        <w:rPr>
          <w:rtl w:val="true"/>
        </w:rPr>
        <w:t xml:space="preserve">) </w:t>
      </w:r>
      <w:r>
        <w:rPr>
          <w:rtl w:val="true"/>
        </w:rPr>
        <w:t xml:space="preserve">בהיותה כבת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מתנדבת </w:t>
      </w:r>
      <w:r>
        <w:rPr>
          <w:rtl w:val="true"/>
        </w:rPr>
        <w:t>בשירות לאומי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במוקד הערעור טענה בדבר</w:t>
      </w:r>
      <w:r>
        <w:rPr>
          <w:rtl w:val="true"/>
        </w:rPr>
        <w:t xml:space="preserve"> העדר כשירות</w:t>
      </w:r>
      <w:r>
        <w:rPr>
          <w:rtl w:val="true"/>
        </w:rPr>
        <w:t>ו של המערער</w:t>
      </w:r>
      <w:r>
        <w:rPr>
          <w:rtl w:val="true"/>
        </w:rPr>
        <w:t xml:space="preserve"> לעמוד לדין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הערעור מופנה כלפי הכרעת הדין וגזר הדין של בית המשפט המחוזי בירושלים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15148-03-19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מהימים </w:t>
      </w:r>
      <w:r>
        <w:rPr/>
        <w:t>20.12.2022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29.1.2023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 xml:space="preserve">שניתנו על ידי סגן הנשיא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רומנוב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פריבס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color w:val="C00000"/>
          <w:spacing w:val="0"/>
          <w:szCs w:val="24"/>
        </w:rPr>
      </w:pPr>
      <w:r>
        <w:rPr>
          <w:rFonts w:cs="Miriam" w:ascii="Century" w:hAnsi="Century"/>
          <w:b/>
          <w:color w:val="C00000"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5302" w:leader="none"/>
        </w:tabs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על פי העובדות המתוארות ב</w:t>
      </w:r>
      <w:r>
        <w:rPr>
          <w:rtl w:val="true"/>
        </w:rPr>
        <w:t>כתב האישום בו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המנוחה שירתה כבת שירות לאומי במרכז </w:t>
      </w:r>
      <w:r>
        <w:rPr>
          <w:rtl w:val="true"/>
        </w:rPr>
        <w:t>"</w:t>
      </w:r>
      <w:r>
        <w:rPr>
          <w:rtl w:val="true"/>
        </w:rPr>
        <w:t>יעלים</w:t>
      </w:r>
      <w:r>
        <w:rPr>
          <w:rtl w:val="true"/>
        </w:rPr>
        <w:t xml:space="preserve">" </w:t>
      </w:r>
      <w:r>
        <w:rPr>
          <w:rtl w:val="true"/>
        </w:rPr>
        <w:t>לילדים ונוער בסיכון באזור עין יעל בירושלים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תושב חברון</w:t>
      </w:r>
      <w:r>
        <w:rPr>
          <w:rtl w:val="true"/>
        </w:rPr>
        <w:t xml:space="preserve">, </w:t>
      </w:r>
      <w:r>
        <w:rPr>
          <w:rtl w:val="true"/>
        </w:rPr>
        <w:t xml:space="preserve">נכנס לישראל ביום </w:t>
      </w:r>
      <w:r>
        <w:rPr/>
        <w:t>7.2.19</w:t>
      </w:r>
      <w:r>
        <w:rPr>
          <w:rtl w:val="true"/>
        </w:rPr>
        <w:t xml:space="preserve"> </w:t>
      </w:r>
      <w:r>
        <w:rPr>
          <w:rtl w:val="true"/>
        </w:rPr>
        <w:t xml:space="preserve">ללא </w:t>
      </w:r>
      <w:r>
        <w:rPr>
          <w:rtl w:val="true"/>
        </w:rPr>
        <w:t>היתר</w:t>
      </w:r>
      <w:r>
        <w:rPr>
          <w:rtl w:val="true"/>
        </w:rPr>
        <w:t xml:space="preserve"> כניסה לישראל</w:t>
      </w:r>
      <w:r>
        <w:rPr>
          <w:rtl w:val="true"/>
        </w:rPr>
        <w:t xml:space="preserve">, </w:t>
      </w:r>
      <w:r>
        <w:rPr>
          <w:rtl w:val="true"/>
        </w:rPr>
        <w:t xml:space="preserve">והגיע ליער </w:t>
      </w:r>
      <w:r>
        <w:rPr>
          <w:rtl w:val="true"/>
        </w:rPr>
        <w:t xml:space="preserve">באזור עין יעל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היער</w:t>
      </w:r>
      <w:r>
        <w:rPr>
          <w:rtl w:val="true"/>
        </w:rPr>
        <w:t xml:space="preserve">), </w:t>
      </w:r>
      <w:r>
        <w:rPr>
          <w:rtl w:val="true"/>
        </w:rPr>
        <w:t xml:space="preserve">מאות מטרים דרומית מערבית למרכז </w:t>
      </w:r>
      <w:r>
        <w:rPr>
          <w:rtl w:val="true"/>
        </w:rPr>
        <w:t>"</w:t>
      </w:r>
      <w:r>
        <w:rPr>
          <w:rtl w:val="true"/>
        </w:rPr>
        <w:t>יעלים</w:t>
      </w:r>
      <w:r>
        <w:rPr>
          <w:rtl w:val="true"/>
        </w:rPr>
        <w:t xml:space="preserve">", </w:t>
      </w:r>
      <w:r>
        <w:rPr>
          <w:rtl w:val="true"/>
        </w:rPr>
        <w:t xml:space="preserve">כשברשותו סכין קפיצית מתקבעת שאורך להבה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הסכין</w:t>
      </w:r>
      <w:r>
        <w:rPr>
          <w:rtl w:val="true"/>
        </w:rPr>
        <w:t xml:space="preserve">), </w:t>
      </w:r>
      <w:r>
        <w:rPr>
          <w:rtl w:val="true"/>
        </w:rPr>
        <w:t>כיפה</w:t>
      </w:r>
      <w:r>
        <w:rPr>
          <w:rtl w:val="true"/>
        </w:rPr>
        <w:t xml:space="preserve">, </w:t>
      </w:r>
      <w:r>
        <w:rPr>
          <w:rtl w:val="true"/>
        </w:rPr>
        <w:t>טלפון סלולארי</w:t>
      </w:r>
      <w:r>
        <w:rPr>
          <w:rtl w:val="true"/>
        </w:rPr>
        <w:t xml:space="preserve">, </w:t>
      </w:r>
      <w:r>
        <w:rPr>
          <w:rtl w:val="true"/>
        </w:rPr>
        <w:t>אוזניות וחפצים נוספים</w:t>
      </w:r>
      <w:r>
        <w:rPr>
          <w:rtl w:val="true"/>
        </w:rPr>
        <w:t xml:space="preserve">. </w:t>
      </w:r>
      <w:r>
        <w:rPr>
          <w:rtl w:val="true"/>
        </w:rPr>
        <w:t>המנוחה צעדה ביער</w:t>
      </w:r>
      <w:r>
        <w:rPr>
          <w:rtl w:val="true"/>
        </w:rPr>
        <w:t xml:space="preserve">, </w:t>
      </w:r>
      <w:r>
        <w:rPr>
          <w:rtl w:val="true"/>
        </w:rPr>
        <w:t>בשטח פתוח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כשהיא מרכיבה אוזניות המחוברות לטלפון נייד ומחזיקה עט וצרור דפים שהתכוונה לכתוב בהם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המערער הבחין בה כשהתיישבה על סלע במרחק עשרות מטרים בודדים ממנו</w:t>
      </w:r>
      <w:r>
        <w:rPr>
          <w:rtl w:val="true"/>
        </w:rPr>
        <w:t xml:space="preserve">, </w:t>
      </w:r>
      <w:r>
        <w:rPr>
          <w:rtl w:val="true"/>
        </w:rPr>
        <w:t>משהבחין בה</w:t>
      </w:r>
      <w:r>
        <w:rPr>
          <w:rtl w:val="true"/>
        </w:rPr>
        <w:t xml:space="preserve"> גמלה בליבו ההחלטה להמיתה בשל היותה יהודייה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מש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האוזניות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ומשהחלה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18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מוסתר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וברגלים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הצוואר</w:t>
      </w:r>
      <w:r>
        <w:rPr>
          <w:rtl w:val="true"/>
        </w:rPr>
        <w:t xml:space="preserve">, </w:t>
      </w:r>
      <w:r>
        <w:rPr>
          <w:rtl w:val="true"/>
        </w:rPr>
        <w:t>לאחריהן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ברשותה</w:t>
      </w:r>
      <w:r>
        <w:rPr>
          <w:rtl w:val="true"/>
        </w:rPr>
        <w:t xml:space="preserve">, </w:t>
      </w:r>
      <w:r>
        <w:rPr>
          <w:rtl w:val="true"/>
        </w:rPr>
        <w:t>ניפץ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כרטיס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מ</w:t>
      </w:r>
      <w:r>
        <w:rPr>
          <w:rtl w:val="true"/>
        </w:rPr>
        <w:t>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אמנע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והאכזריים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שפשוף</w:t>
      </w:r>
      <w:r>
        <w:rPr>
          <w:rtl w:val="true"/>
        </w:rPr>
        <w:t xml:space="preserve">, </w:t>
      </w:r>
      <w:r>
        <w:rPr>
          <w:rtl w:val="true"/>
        </w:rPr>
        <w:t>קרעים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הימנית</w:t>
      </w:r>
      <w:r>
        <w:rPr>
          <w:rtl w:val="true"/>
        </w:rPr>
        <w:t xml:space="preserve">,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הידיים</w:t>
      </w:r>
      <w:r>
        <w:rPr>
          <w:rtl w:val="true"/>
        </w:rPr>
        <w:t xml:space="preserve">, </w:t>
      </w:r>
      <w:r>
        <w:rPr>
          <w:rtl w:val="true"/>
        </w:rPr>
        <w:t>כעשרה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בבטן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ובגב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והקרקפת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Style w:val="Hyperlink"/>
          <w:color w:val="000000"/>
          <w:u w:val="non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בטרור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-</w:t>
      </w:r>
      <w:r>
        <w:rPr/>
        <w:t>195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</w:p>
    <w:p>
      <w:pPr>
        <w:pStyle w:val="Ruller41"/>
        <w:keepNext w:val="true"/>
        <w:keepLines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keepNext w:val="true"/>
        <w:keepLines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keepNext w:val="true"/>
        <w:keepLines/>
        <w:ind w:end="0"/>
        <w:jc w:val="both"/>
        <w:rPr>
          <w:rFonts w:ascii="Century" w:hAnsi="Century" w:cs="Miriam"/>
          <w:b/>
          <w:color w:val="C00000"/>
          <w:spacing w:val="0"/>
          <w:szCs w:val="24"/>
        </w:rPr>
      </w:pPr>
      <w:r>
        <w:rPr>
          <w:rFonts w:cs="Miriam" w:ascii="Century" w:hAnsi="Century"/>
          <w:b/>
          <w:color w:val="C00000"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מהפסיכיאטר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5.5.2019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שוורצמן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ידע להבחין בין מותר לאסור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ביטויים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פסיכוטיים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בעבר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לאחר </w:t>
      </w:r>
      <w:r>
        <w:rPr>
          <w:rtl w:val="true"/>
        </w:rPr>
        <w:t>שמיעת עדי תביעה</w:t>
      </w:r>
      <w:r>
        <w:rPr>
          <w:rtl w:val="true"/>
        </w:rPr>
        <w:t xml:space="preserve"> לא מעטים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 xml:space="preserve">והורשע </w:t>
      </w:r>
      <w:r>
        <w:rPr>
          <w:rtl w:val="true"/>
        </w:rPr>
        <w:t>במיוחס לו בכתב האישום</w:t>
      </w:r>
      <w:r>
        <w:rPr>
          <w:rtl w:val="true"/>
        </w:rPr>
        <w:t xml:space="preserve">, </w:t>
      </w:r>
      <w:r>
        <w:rPr>
          <w:rtl w:val="true"/>
        </w:rPr>
        <w:t>וזאת לאחר ש</w:t>
      </w:r>
      <w:r>
        <w:rPr>
          <w:rFonts w:ascii="Century" w:hAnsi="Century" w:cs="Century"/>
          <w:rtl w:val="true"/>
        </w:rPr>
        <w:t>אי</w:t>
      </w:r>
      <w:r>
        <w:rPr>
          <w:rFonts w:ascii="Century" w:hAnsi="Century" w:cs="Century"/>
          <w:rtl w:val="true"/>
        </w:rPr>
        <w:t>שר את דברי סנגורו לפיהם הוקרא לו כתב האישום ו</w:t>
      </w:r>
      <w:r>
        <w:rPr>
          <w:rFonts w:ascii="Century" w:hAnsi="Century" w:cs="Century"/>
          <w:rtl w:val="true"/>
        </w:rPr>
        <w:t xml:space="preserve">הוא </w:t>
      </w:r>
      <w:r>
        <w:rPr>
          <w:rFonts w:ascii="Century" w:hAnsi="Century" w:cs="Century"/>
          <w:rtl w:val="true"/>
        </w:rPr>
        <w:t>הבין את תוכנו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מפרוטוקול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וידא עם המערער כי אכן הבין את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באמצעות מתורגמנית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באמצעות אב בית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דובר השפה הערבית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הבהיר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>לא היתה מחלוקת באשר למצבו הנפשי של המערער בעת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נטען לחוסר כשירות או ליקוי במועד ביצועם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כדברי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תוקפים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אנחנו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...".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שורות </w:t>
      </w:r>
      <w:r>
        <w:rPr>
          <w:rFonts w:cs="Century" w:ascii="Century" w:hAnsi="Century"/>
          <w:sz w:val="22"/>
        </w:rPr>
        <w:t>8-6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בעמ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cs="Century" w:ascii="Century" w:hAnsi="Century"/>
          <w:sz w:val="22"/>
        </w:rPr>
        <w:t>239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לפרוטוקול ישיבה מיום </w:t>
      </w:r>
      <w:r>
        <w:rPr>
          <w:rFonts w:cs="Century" w:ascii="Century" w:hAnsi="Century"/>
          <w:sz w:val="22"/>
        </w:rPr>
        <w:t>21.6.2022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כפי שיפורט בהמשך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21.12.2020</w:t>
      </w:r>
      <w:r>
        <w:rPr>
          <w:rtl w:val="true"/>
        </w:rPr>
        <w:t xml:space="preserve"> </w:t>
      </w:r>
      <w:r>
        <w:rPr>
          <w:rtl w:val="true"/>
        </w:rPr>
        <w:t xml:space="preserve">הוגשה מטעם המערער חוות דעת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tl w:val="true"/>
        </w:rPr>
        <w:t xml:space="preserve"> ולפיה</w:t>
      </w:r>
      <w:r>
        <w:rPr>
          <w:rtl w:val="true"/>
        </w:rPr>
        <w:t xml:space="preserve"> המערער</w:t>
      </w:r>
      <w:r>
        <w:rPr>
          <w:rtl w:val="true"/>
        </w:rPr>
        <w:t xml:space="preserve"> אינו כשיר לעמוד לדין</w:t>
      </w:r>
      <w:r>
        <w:rPr>
          <w:rtl w:val="true"/>
        </w:rPr>
        <w:t xml:space="preserve"> וכי לא ניתן להעריך את מצבו בעת ביצוע המעשים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התקבלו שלוש </w:t>
      </w:r>
      <w:r>
        <w:rPr>
          <w:rFonts w:ascii="Century" w:hAnsi="Century" w:cs="Century"/>
          <w:rtl w:val="true"/>
        </w:rPr>
        <w:t>חוות דעת בעניינו של המערער מטעם הפסיכיאטר המחוזי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חוות דעתו של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י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שוורצמן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מתאריך </w:t>
      </w:r>
      <w:r>
        <w:rPr>
          <w:rFonts w:cs="Century" w:ascii="Century" w:hAnsi="Century"/>
        </w:rPr>
        <w:t>5.5.2019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שבוצעה כשלושה חודשים לאחר האירוע ומצאה כאמור את המערער כשיר לעמוד לדין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חוות דעת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מוסא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cs="Century" w:ascii="Century" w:hAnsi="Century"/>
        </w:rPr>
        <w:t>9.2.2021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 הומלץ לבחון את מצבו הנפשי של המערער בתנאי הסתכלות 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וחוות דעת של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יעקב נחמקין</w:t>
      </w:r>
      <w:r>
        <w:rPr>
          <w:rFonts w:ascii="Century" w:hAnsi="Century" w:cs="Century"/>
          <w:rtl w:val="true"/>
        </w:rPr>
        <w:t xml:space="preserve"> מתאריך </w:t>
      </w:r>
      <w:r>
        <w:rPr>
          <w:rFonts w:cs="Century" w:ascii="Century" w:hAnsi="Century"/>
        </w:rPr>
        <w:t>18.3.2021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שנערכה בסיומה של תקופת ההסתכלות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 xml:space="preserve">לאחר </w:t>
      </w:r>
      <w:r>
        <w:rPr>
          <w:rtl w:val="true"/>
        </w:rPr>
        <w:t>שמיעת עדויות המומחים</w:t>
      </w:r>
      <w:r>
        <w:rPr>
          <w:rtl w:val="true"/>
        </w:rPr>
        <w:t xml:space="preserve"> שבדקו את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נפסק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tl w:val="true"/>
        </w:rPr>
        <w:t xml:space="preserve"> כי 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וכי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לכשירותו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יש ממש בטיעוני המשיבה באשר למשקל המועט שיש לחוות דעתו של 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 שהוגשה מטעם המערער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 פגש במערער פעמיים בלבד</w:t>
      </w:r>
      <w:r>
        <w:rPr>
          <w:rtl w:val="true"/>
        </w:rPr>
        <w:t xml:space="preserve">, </w:t>
      </w:r>
      <w:r>
        <w:rPr>
          <w:rtl w:val="true"/>
        </w:rPr>
        <w:t>בפעם הראשונה לכ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דקות בלבד</w:t>
      </w:r>
      <w:r>
        <w:rPr>
          <w:rtl w:val="true"/>
        </w:rPr>
        <w:t xml:space="preserve"> כאשר </w:t>
      </w:r>
      <w:r>
        <w:rPr>
          <w:rtl w:val="true"/>
        </w:rPr>
        <w:t>המערער לא גילה עניין בשיחה</w:t>
      </w:r>
      <w:r>
        <w:rPr>
          <w:rtl w:val="true"/>
        </w:rPr>
        <w:t xml:space="preserve">, </w:t>
      </w:r>
      <w:r>
        <w:rPr>
          <w:rtl w:val="true"/>
        </w:rPr>
        <w:t>ופעם נוספת</w:t>
      </w:r>
      <w:r>
        <w:rPr>
          <w:rtl w:val="true"/>
        </w:rPr>
        <w:t xml:space="preserve">, </w:t>
      </w:r>
      <w:r>
        <w:rPr>
          <w:rtl w:val="true"/>
        </w:rPr>
        <w:t>לכ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191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ab/>
        <w:t xml:space="preserve">  </w:t>
      </w:r>
      <w:r>
        <w:rPr>
          <w:rtl w:val="true"/>
        </w:rPr>
        <w:t>עוד נ</w:t>
      </w:r>
      <w:r>
        <w:rPr>
          <w:rtl w:val="true"/>
        </w:rPr>
        <w:t>כתב</w:t>
      </w:r>
      <w:r>
        <w:rPr>
          <w:rtl w:val="true"/>
        </w:rPr>
        <w:t xml:space="preserve"> כי 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 נחשף ל</w:t>
      </w:r>
      <w:r>
        <w:rPr>
          <w:rtl w:val="true"/>
        </w:rPr>
        <w:t>סממנים</w:t>
      </w:r>
      <w:r>
        <w:rPr>
          <w:rtl w:val="true"/>
        </w:rPr>
        <w:t xml:space="preserve"> שעלו מדוחות סוציאליים </w:t>
      </w:r>
      <w:r>
        <w:rPr>
          <w:rtl w:val="true"/>
        </w:rPr>
        <w:t>בשירות הביטחון הכללי</w:t>
      </w:r>
      <w:r>
        <w:rPr>
          <w:rtl w:val="true"/>
        </w:rPr>
        <w:t xml:space="preserve"> כגון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מותאם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ומכות</w:t>
      </w:r>
      <w:r>
        <w:rPr>
          <w:rtl w:val="true"/>
        </w:rPr>
        <w:t xml:space="preserve">", </w:t>
      </w:r>
      <w:r>
        <w:rPr>
          <w:rtl w:val="true"/>
        </w:rPr>
        <w:t>אך מדובר בס</w:t>
      </w:r>
      <w:r>
        <w:rPr>
          <w:rtl w:val="true"/>
        </w:rPr>
        <w:t>ממנים</w:t>
      </w:r>
      <w:r>
        <w:rPr>
          <w:rtl w:val="true"/>
        </w:rPr>
        <w:t xml:space="preserve"> שליליים היכולים להתאים להפרעות רבות</w:t>
      </w:r>
      <w:r>
        <w:rPr>
          <w:rtl w:val="true"/>
        </w:rPr>
        <w:t xml:space="preserve">, </w:t>
      </w:r>
      <w:r>
        <w:rPr>
          <w:rtl w:val="true"/>
        </w:rPr>
        <w:t>ואינם מהווים בסיס לאבחנה של סכיזופרניה</w:t>
      </w:r>
      <w:r>
        <w:rPr>
          <w:rtl w:val="true"/>
        </w:rPr>
        <w:t xml:space="preserve">, </w:t>
      </w:r>
      <w:r>
        <w:rPr>
          <w:rtl w:val="true"/>
        </w:rPr>
        <w:t>הנבנית על סימפטומים חיוביים לאורך זמן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cs="Arial TUR;Arial" w:ascii="Arial TUR;Arial" w:hAnsi="Arial TUR;Arial"/>
          <w:sz w:val="22"/>
        </w:rPr>
        <w:t>10</w:t>
      </w:r>
      <w:r>
        <w:rPr>
          <w:rFonts w:cs="Arial TUR;Arial" w:ascii="Arial TUR;Arial" w:hAnsi="Arial TUR;Arial"/>
          <w:sz w:val="22"/>
          <w:rtl w:val="true"/>
        </w:rPr>
        <w:t>.</w:t>
        <w:tab/>
      </w:r>
      <w:r>
        <w:rPr>
          <w:rFonts w:ascii="Arial TUR;Arial" w:hAnsi="Arial TUR;Arial" w:cs="Arial TUR;Arial"/>
          <w:sz w:val="22"/>
          <w:sz w:val="22"/>
          <w:rtl w:val="true"/>
        </w:rPr>
        <w:t>אל מול זאת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בית</w:t>
      </w:r>
      <w:r>
        <w:rPr>
          <w:rtl w:val="true"/>
        </w:rPr>
        <w:t xml:space="preserve"> המשפט המחוזי התרשם כי המומחים מטעם המשיבה</w:t>
      </w:r>
      <w:r>
        <w:rPr>
          <w:rtl w:val="true"/>
        </w:rPr>
        <w:t xml:space="preserve">, </w:t>
      </w:r>
      <w:r>
        <w:rPr>
          <w:rtl w:val="true"/>
        </w:rPr>
        <w:t>הן עורכי חוות הדעת</w:t>
      </w:r>
      <w:r>
        <w:rPr>
          <w:rtl w:val="true"/>
        </w:rPr>
        <w:t xml:space="preserve">, </w:t>
      </w:r>
      <w:r>
        <w:rPr>
          <w:rtl w:val="true"/>
        </w:rPr>
        <w:t>הן אלה אשר בדקו את המערער כחלק מבדיקות שגרתיות במסגרת שירות בתי הסוהר</w:t>
      </w:r>
      <w:r>
        <w:rPr>
          <w:rtl w:val="true"/>
        </w:rPr>
        <w:t xml:space="preserve">, </w:t>
      </w:r>
      <w:r>
        <w:rPr>
          <w:rtl w:val="true"/>
        </w:rPr>
        <w:t>הציבו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spacing w:val="0"/>
          <w:sz w:val="22"/>
          <w:szCs w:val="24"/>
          <w:rtl w:val="true"/>
        </w:rPr>
        <w:t>"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תשתית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יסודית</w:t>
      </w:r>
      <w:r>
        <w:rPr>
          <w:rFonts w:cs="Miriam"/>
          <w:b/>
          <w:spacing w:val="0"/>
          <w:sz w:val="22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יציבה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ואיתנה</w:t>
      </w:r>
      <w:r>
        <w:rPr>
          <w:rtl w:val="true"/>
        </w:rPr>
        <w:t xml:space="preserve">" </w:t>
      </w:r>
      <w:r>
        <w:rPr>
          <w:rtl w:val="true"/>
        </w:rPr>
        <w:t>לכך שהמערער אכן כשיר לעמוד לדין ואינו חולה במחלת נפש</w:t>
      </w:r>
      <w:r>
        <w:rPr>
          <w:rtl w:val="true"/>
        </w:rPr>
        <w:t xml:space="preserve">. </w:t>
      </w:r>
      <w:r>
        <w:rPr>
          <w:rtl w:val="true"/>
        </w:rPr>
        <w:t>חוות דעתו של המומחה מטעם המערער לא עוררה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ולוּ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tl w:val="true"/>
        </w:rPr>
        <w:t xml:space="preserve"> בקביעה 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 xml:space="preserve">המשיבה ביקשה להטיל על המערער עונש מאסר עולם חובה בגין עבירת הרצח ולהחיל את הוראת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 המאבק בטרור</w:t>
      </w:r>
      <w:r>
        <w:rPr>
          <w:rtl w:val="true"/>
        </w:rPr>
        <w:t xml:space="preserve">, </w:t>
      </w:r>
      <w:r>
        <w:rPr>
          <w:rtl w:val="true"/>
        </w:rPr>
        <w:t xml:space="preserve">לעניין אפשרות קציבת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באשר ל</w:t>
      </w:r>
      <w:r>
        <w:rPr>
          <w:rtl w:val="true"/>
        </w:rPr>
        <w:t>עבירת האינוס</w:t>
      </w:r>
      <w:r>
        <w:rPr>
          <w:rtl w:val="true"/>
        </w:rPr>
        <w:t xml:space="preserve">, </w:t>
      </w:r>
      <w:r>
        <w:rPr>
          <w:rtl w:val="true"/>
        </w:rPr>
        <w:t xml:space="preserve">נתבקש בית </w:t>
      </w:r>
      <w:r>
        <w:rPr>
          <w:rtl w:val="true"/>
        </w:rPr>
        <w:t>המשפט להטיל</w:t>
      </w:r>
      <w:r>
        <w:rPr>
          <w:rtl w:val="true"/>
        </w:rPr>
        <w:t xml:space="preserve"> </w:t>
      </w:r>
      <w:r>
        <w:rPr>
          <w:rtl w:val="true"/>
        </w:rPr>
        <w:t>את העונש המרבי</w:t>
      </w:r>
      <w:r>
        <w:rPr>
          <w:rtl w:val="true"/>
        </w:rPr>
        <w:t xml:space="preserve"> של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במצטבר</w:t>
      </w:r>
      <w:r>
        <w:rPr>
          <w:rtl w:val="true"/>
        </w:rPr>
        <w:t xml:space="preserve"> לעונש מאסר העולם</w:t>
      </w:r>
      <w:r>
        <w:rPr>
          <w:rtl w:val="true"/>
        </w:rPr>
        <w:t xml:space="preserve">. </w:t>
      </w:r>
      <w:r>
        <w:rPr>
          <w:rtl w:val="true"/>
        </w:rPr>
        <w:t xml:space="preserve">עוד צוין העבר הפלילי של המערער </w:t>
      </w:r>
      <w:r>
        <w:rPr>
          <w:rtl w:val="true"/>
        </w:rPr>
        <w:t>(</w:t>
      </w:r>
      <w:r>
        <w:rPr>
          <w:rtl w:val="true"/>
        </w:rPr>
        <w:t>בעבירות א</w:t>
      </w:r>
      <w:r>
        <w:rPr>
          <w:rtl w:val="true"/>
        </w:rPr>
        <w:t>לימות וכניסה לישראל שלא כדין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נטען כי יש לגזור עליו עונש נוסף של שנת מאסר בפועל בגין עבירות הכניסה לישראל ולהפעיל מאסר מותנה בר הפעלה התלוי ועמוד נגדו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בנוסף נתבקש בית המשפט להטיל תשלום </w:t>
      </w:r>
      <w:r>
        <w:rPr>
          <w:rtl w:val="true"/>
        </w:rPr>
        <w:t>פיצוי מקסימלי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5302" w:leader="none"/>
        </w:tabs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5302" w:leader="none"/>
        </w:tabs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tl w:val="true"/>
        </w:rPr>
        <w:t xml:space="preserve"> התמקד</w:t>
      </w:r>
      <w:r>
        <w:rPr>
          <w:rtl w:val="true"/>
        </w:rPr>
        <w:t>ה</w:t>
      </w:r>
      <w:r>
        <w:rPr>
          <w:rtl w:val="true"/>
        </w:rPr>
        <w:t xml:space="preserve"> בשאלת העונש </w:t>
      </w:r>
      <w:r>
        <w:rPr>
          <w:rtl w:val="true"/>
        </w:rPr>
        <w:t xml:space="preserve">שיש להטיל בגין </w:t>
      </w:r>
      <w:r>
        <w:rPr>
          <w:rtl w:val="true"/>
        </w:rPr>
        <w:t>עבירת האינוס ו</w:t>
      </w:r>
      <w:r>
        <w:rPr>
          <w:rtl w:val="true"/>
        </w:rPr>
        <w:t>נ</w:t>
      </w:r>
      <w:r>
        <w:rPr>
          <w:rtl w:val="true"/>
        </w:rPr>
        <w:t xml:space="preserve">טען </w:t>
      </w:r>
      <w:r>
        <w:rPr>
          <w:rtl w:val="true"/>
        </w:rPr>
        <w:t>כי על עונש זה להיות לתקופה קצרה ואף היא בחופף לעונש מאסר העולם חובה</w:t>
      </w:r>
      <w:r>
        <w:rPr>
          <w:rtl w:val="true"/>
        </w:rPr>
        <w:t xml:space="preserve">; </w:t>
      </w:r>
      <w:r>
        <w:rPr>
          <w:rtl w:val="true"/>
        </w:rPr>
        <w:t>צוי</w:t>
      </w:r>
      <w:r>
        <w:rPr>
          <w:rtl w:val="true"/>
        </w:rPr>
        <w:t>ן כי הלה הודה בשלב מוקדם בעבירות המיוחסות לו</w:t>
      </w:r>
      <w:r>
        <w:rPr>
          <w:rtl w:val="true"/>
        </w:rPr>
        <w:t xml:space="preserve">, </w:t>
      </w:r>
      <w:r>
        <w:rPr>
          <w:rtl w:val="true"/>
        </w:rPr>
        <w:t>וכי לנוכח דלות המידע ושיתוף הפעולה עם המערער לא ניתן לדלות מידע מלא בעניין מצבו הנפשי בעת ביצוע המעשים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בגזר דינו </w:t>
      </w:r>
      <w:r>
        <w:rPr>
          <w:rtl w:val="true"/>
        </w:rPr>
        <w:t>בית המשפט המחוזי הדגיש כי מעשה הרצח נעשה כמעשה טרור המלמד על חומרתו המיוחדת</w:t>
      </w:r>
      <w:r>
        <w:rPr>
          <w:rtl w:val="true"/>
        </w:rPr>
        <w:t xml:space="preserve">, </w:t>
      </w:r>
      <w:r>
        <w:rPr>
          <w:rtl w:val="true"/>
        </w:rPr>
        <w:t xml:space="preserve">כעולה גם </w:t>
      </w:r>
      <w:r>
        <w:rPr>
          <w:rtl w:val="true"/>
        </w:rPr>
        <w:t>מחבלותיו החוזרות ונשנות של המערער</w:t>
      </w:r>
      <w:r>
        <w:rPr>
          <w:rtl w:val="true"/>
        </w:rPr>
        <w:t xml:space="preserve">, </w:t>
      </w:r>
      <w:r>
        <w:rPr>
          <w:rtl w:val="true"/>
        </w:rPr>
        <w:t>דבר המלמד על מעשיו האכזריים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כלשון גזר הדין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באורי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אכזריים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למשפחתה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ברוטאלית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בגין עבירת הרצח הושת על המערער עונש החובה הקבוע בחוק – מאסר עולם</w:t>
      </w:r>
      <w:r>
        <w:rPr>
          <w:rtl w:val="true"/>
        </w:rPr>
        <w:t xml:space="preserve">. </w:t>
      </w:r>
      <w:r>
        <w:rPr>
          <w:rtl w:val="true"/>
        </w:rPr>
        <w:t xml:space="preserve">בגין עבירת האינוס בנסיבות </w:t>
      </w:r>
      <w:r>
        <w:rPr>
          <w:rtl w:val="true"/>
        </w:rPr>
        <w:t>מחמירות</w:t>
      </w:r>
      <w:r>
        <w:rPr>
          <w:rtl w:val="true"/>
        </w:rPr>
        <w:t xml:space="preserve"> הוטל עליו העונש המרבי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 האכזריות והאלימות של המערער עובר לביצוע מעשה האינוס</w:t>
      </w:r>
      <w:r>
        <w:rPr>
          <w:rtl w:val="true"/>
        </w:rPr>
        <w:t xml:space="preserve">, </w:t>
      </w:r>
      <w:r>
        <w:rPr>
          <w:rtl w:val="true"/>
        </w:rPr>
        <w:t>במהלכו ואחריו – כאשר לא שעה לזעקותיה ולהתנגדותה של המנוחה ונהג בקור רוח לאחר הרצח</w:t>
      </w:r>
      <w:r>
        <w:rPr>
          <w:rtl w:val="true"/>
        </w:rPr>
        <w:t xml:space="preserve">. </w:t>
      </w:r>
      <w:r>
        <w:rPr>
          <w:rtl w:val="true"/>
        </w:rPr>
        <w:t>אשר לאופן ריצוי העונשים – במצטבר או בחופף נפסק כי אין מדובר ב</w:t>
      </w:r>
      <w:r>
        <w:rPr>
          <w:rtl w:val="true"/>
        </w:rPr>
        <w:t>"</w:t>
      </w:r>
      <w:r>
        <w:rPr>
          <w:rtl w:val="true"/>
        </w:rPr>
        <w:t>אותו מעשה</w:t>
      </w:r>
      <w:r>
        <w:rPr>
          <w:rtl w:val="true"/>
        </w:rPr>
        <w:t xml:space="preserve">" </w:t>
      </w:r>
      <w:r>
        <w:rPr>
          <w:rtl w:val="true"/>
        </w:rPr>
        <w:t xml:space="preserve">בהתאם </w:t>
      </w:r>
      <w:hyperlink r:id="rId44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המעשים שביצע המערער חמורים וחריגים בנסיבות ואופן ביצועם</w:t>
      </w:r>
      <w:r>
        <w:rPr>
          <w:rtl w:val="true"/>
        </w:rPr>
        <w:t xml:space="preserve">; </w:t>
      </w:r>
      <w:r>
        <w:rPr>
          <w:rtl w:val="true"/>
        </w:rPr>
        <w:t>כי המערער פגע בערכים חברתיים שונים</w:t>
      </w:r>
      <w:r>
        <w:rPr>
          <w:rtl w:val="true"/>
        </w:rPr>
        <w:t xml:space="preserve">; </w:t>
      </w:r>
      <w:r>
        <w:rPr>
          <w:rtl w:val="true"/>
        </w:rPr>
        <w:t>כאשר כל מעשה עומד בפני עצמו ובביצועם זה אחר זה</w:t>
      </w:r>
      <w:r>
        <w:rPr>
          <w:rtl w:val="true"/>
        </w:rPr>
        <w:t xml:space="preserve">, </w:t>
      </w:r>
      <w:r>
        <w:rPr>
          <w:rtl w:val="true"/>
        </w:rPr>
        <w:t>ומשכך יהא על המערער לרצות את העונשים באופן מצטבר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המערער נדון לעונש של מאסר עולם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 לעשר</w:t>
      </w:r>
      <w:r>
        <w:rPr>
          <w:rtl w:val="true"/>
        </w:rPr>
        <w:t>ים שנות מאסר שירוצו במצטבר</w:t>
      </w:r>
      <w:r>
        <w:rPr>
          <w:rtl w:val="true"/>
        </w:rPr>
        <w:t xml:space="preserve">. </w:t>
      </w:r>
      <w:r>
        <w:rPr>
          <w:rtl w:val="true"/>
        </w:rPr>
        <w:t xml:space="preserve">עוד הופעל עונש מאסר מותנה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שנגזר על המערער 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47479-03-11</w:t>
      </w:r>
      <w:r>
        <w:rPr>
          <w:rtl w:val="true"/>
        </w:rPr>
        <w:t xml:space="preserve">; </w:t>
      </w:r>
      <w:r>
        <w:rPr>
          <w:rtl w:val="true"/>
        </w:rPr>
        <w:t xml:space="preserve">וכן נגזר על המערער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הכניסה לישראל שלא כדין</w:t>
      </w:r>
      <w:r>
        <w:rPr>
          <w:rtl w:val="true"/>
        </w:rPr>
        <w:t xml:space="preserve">, </w:t>
      </w:r>
      <w:r>
        <w:rPr>
          <w:rtl w:val="true"/>
        </w:rPr>
        <w:t>ובסה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בחופף לעשרים שנות המאסר בגין עבירת האינוס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נגזר על המערער עונש מאסר מותנה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ובתנאי שלא יעבור עבירה מסוג פשע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; </w:t>
      </w:r>
      <w:r>
        <w:rPr>
          <w:rtl w:val="true"/>
        </w:rPr>
        <w:t xml:space="preserve">וכן נקבע שעליו לשלם פיצוי בסך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לעיזבון המנוחה</w:t>
      </w:r>
      <w:r>
        <w:rPr>
          <w:rtl w:val="true"/>
        </w:rPr>
        <w:t xml:space="preserve">, </w:t>
      </w:r>
      <w:r>
        <w:rPr>
          <w:rtl w:val="true"/>
        </w:rPr>
        <w:t xml:space="preserve">פיצוי נוסף בסך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אחד מהוריה</w:t>
      </w:r>
      <w:r>
        <w:rPr>
          <w:rtl w:val="true"/>
        </w:rPr>
        <w:t xml:space="preserve">, </w:t>
      </w:r>
      <w:r>
        <w:rPr>
          <w:rtl w:val="true"/>
        </w:rPr>
        <w:t>אחיותיה ואחיה של המנוחה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בליבת הערעור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סוגיית מסוגלותו וכשירותו של המערער לעמוד לדין בעת מתן הכרעת הדין</w:t>
      </w:r>
      <w:r>
        <w:rPr>
          <w:rtl w:val="true"/>
        </w:rPr>
        <w:t xml:space="preserve">. </w:t>
      </w:r>
      <w:r>
        <w:rPr>
          <w:rtl w:val="true"/>
        </w:rPr>
        <w:t xml:space="preserve">לטענת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זה האחרון</w:t>
      </w:r>
      <w:r>
        <w:rPr>
          <w:rtl w:val="true"/>
        </w:rPr>
        <w:t xml:space="preserve"> סובל ממחלת נפש ועקב מחלתו לא היה מסוגל לעמוד לדין</w:t>
      </w:r>
      <w:r>
        <w:rPr>
          <w:rtl w:val="true"/>
        </w:rPr>
        <w:t xml:space="preserve">; </w:t>
      </w:r>
      <w:r>
        <w:rPr>
          <w:rtl w:val="true"/>
        </w:rPr>
        <w:t>לא ניתן היה לטעון לעניין כשירות</w:t>
      </w:r>
      <w:r>
        <w:rPr>
          <w:rtl w:val="true"/>
        </w:rPr>
        <w:t xml:space="preserve"> </w:t>
      </w:r>
      <w:r>
        <w:rPr>
          <w:rtl w:val="true"/>
        </w:rPr>
        <w:t>המערער בעת ביצוע העבירות בהעדר נתונים בעניין 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נטען</w:t>
      </w:r>
      <w:r>
        <w:rPr>
          <w:rtl w:val="true"/>
        </w:rPr>
        <w:t xml:space="preserve"> בחוות הדעת שהוגשה מטעמו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 xml:space="preserve">יש לקבוע כי </w:t>
      </w:r>
      <w:r>
        <w:rPr>
          <w:rtl w:val="true"/>
        </w:rPr>
        <w:t>מ</w:t>
      </w:r>
      <w:r>
        <w:rPr>
          <w:rtl w:val="true"/>
        </w:rPr>
        <w:t>תעורר ספק סביר בשאלת כשירו</w:t>
      </w:r>
      <w:r>
        <w:rPr>
          <w:rtl w:val="true"/>
        </w:rPr>
        <w:t>תו של המערער לעמוד לדין</w:t>
      </w:r>
      <w:r>
        <w:rPr>
          <w:rtl w:val="true"/>
        </w:rPr>
        <w:t xml:space="preserve">, </w:t>
      </w:r>
      <w:r>
        <w:rPr>
          <w:rtl w:val="true"/>
        </w:rPr>
        <w:t xml:space="preserve">ומשכך </w:t>
      </w:r>
      <w:r>
        <w:rPr>
          <w:rtl w:val="true"/>
        </w:rPr>
        <w:t>להורות על ביטול הכרעת דינו ולהפסיק את ההליכים נגדו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בכך שלא נתן משקל לקביעתו של 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המומחה מטעמו</w:t>
      </w:r>
      <w:r>
        <w:rPr>
          <w:rtl w:val="true"/>
        </w:rPr>
        <w:t xml:space="preserve">, </w:t>
      </w:r>
      <w:r>
        <w:rPr>
          <w:rtl w:val="true"/>
        </w:rPr>
        <w:t>אשר התבסס על שלושה מקורות מידע</w:t>
      </w:r>
      <w:r>
        <w:rPr>
          <w:rtl w:val="true"/>
        </w:rPr>
        <w:t xml:space="preserve">, </w:t>
      </w:r>
      <w:r>
        <w:rPr>
          <w:rtl w:val="true"/>
        </w:rPr>
        <w:t>ובכלל זה על המפגש עמו</w:t>
      </w:r>
      <w:r>
        <w:rPr>
          <w:rtl w:val="true"/>
        </w:rPr>
        <w:t xml:space="preserve">, </w:t>
      </w:r>
      <w:r>
        <w:rPr>
          <w:rtl w:val="true"/>
        </w:rPr>
        <w:t>על מידע חיצוני מבני משפחתו ועל דוחות סוציאליים של שירות בתי הסוהר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היה נכון </w:t>
      </w:r>
      <w:r>
        <w:rPr>
          <w:rtl w:val="true"/>
        </w:rPr>
        <w:t>להעדיף את חוות דעת המומחה מטעמו</w:t>
      </w:r>
      <w:r>
        <w:rPr>
          <w:rtl w:val="true"/>
        </w:rPr>
        <w:t xml:space="preserve">, </w:t>
      </w:r>
      <w:r>
        <w:rPr>
          <w:rtl w:val="true"/>
        </w:rPr>
        <w:t>שאף נערכה בשפתו</w:t>
      </w:r>
      <w:r>
        <w:rPr>
          <w:rtl w:val="true"/>
        </w:rPr>
        <w:t xml:space="preserve">, </w:t>
      </w:r>
      <w:r>
        <w:rPr>
          <w:rtl w:val="true"/>
        </w:rPr>
        <w:t>וסייעה בקבלת מידע לגביו ואבחונו כסובל מהפרעת אישיות</w:t>
      </w:r>
      <w:r>
        <w:rPr>
          <w:rtl w:val="true"/>
        </w:rPr>
        <w:t xml:space="preserve">, </w:t>
      </w:r>
      <w:r>
        <w:rPr>
          <w:rtl w:val="true"/>
        </w:rPr>
        <w:t>שנמשכה והתפתחה לסכיזופרניה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המערער משיג על כך שבית המשפט המחוזי התבסס על בדיקות שבוצעו על ידי רופאי שירות בתי הסוהר ועדויותיהם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בדיקות אלה נועדו לצרכי שירות בתי הסוהר ולא למטרה משפטית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לבא</w:t>
      </w:r>
      <w:r>
        <w:rPr>
          <w:rtl w:val="true"/>
        </w:rPr>
        <w:t>-</w:t>
      </w:r>
      <w:r>
        <w:rPr>
          <w:rtl w:val="true"/>
        </w:rPr>
        <w:t>כוח המערער השגות באשר לחוות דעת המומחים האחרים שבאו בפני בית המשפט</w:t>
      </w:r>
      <w:r>
        <w:rPr>
          <w:rtl w:val="true"/>
        </w:rPr>
        <w:t xml:space="preserve">. </w:t>
      </w:r>
      <w:r>
        <w:rPr>
          <w:rtl w:val="true"/>
        </w:rPr>
        <w:t>כך נטען כי ב</w:t>
      </w:r>
      <w:r>
        <w:rPr>
          <w:rtl w:val="true"/>
        </w:rPr>
        <w:t>חוות הדעת שנערכה על</w:t>
      </w:r>
      <w:r>
        <w:rPr>
          <w:rtl w:val="true"/>
        </w:rPr>
        <w:t>-</w:t>
      </w:r>
      <w:r>
        <w:rPr>
          <w:rtl w:val="true"/>
        </w:rPr>
        <w:t>ידי ד</w:t>
      </w:r>
      <w:r>
        <w:rPr>
          <w:rtl w:val="true"/>
        </w:rPr>
        <w:t>"</w:t>
      </w:r>
      <w:r>
        <w:rPr>
          <w:rtl w:val="true"/>
        </w:rPr>
        <w:t xml:space="preserve">ר נחמקין לא </w:t>
      </w:r>
      <w:r>
        <w:rPr>
          <w:rtl w:val="true"/>
        </w:rPr>
        <w:t xml:space="preserve">ניתנה התייחסות </w:t>
      </w:r>
      <w:r>
        <w:rPr>
          <w:rtl w:val="true"/>
        </w:rPr>
        <w:t>לחוות דעת המומחה מטעמו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 xml:space="preserve">ואף לא התקבלה התייחסותו של הפסיכיאטר המחוזי ביחס </w:t>
      </w:r>
      <w:r>
        <w:rPr>
          <w:rtl w:val="true"/>
        </w:rPr>
        <w:t>אליה</w:t>
      </w:r>
      <w:r>
        <w:rPr>
          <w:rtl w:val="true"/>
        </w:rPr>
        <w:t xml:space="preserve">; </w:t>
      </w:r>
      <w:r>
        <w:rPr>
          <w:rtl w:val="true"/>
        </w:rPr>
        <w:t>כי ד</w:t>
      </w:r>
      <w:r>
        <w:rPr>
          <w:rtl w:val="true"/>
        </w:rPr>
        <w:t>"</w:t>
      </w:r>
      <w:r>
        <w:rPr>
          <w:rtl w:val="true"/>
        </w:rPr>
        <w:t xml:space="preserve">ר נחמקין אישר כי </w:t>
      </w:r>
      <w:r>
        <w:rPr>
          <w:rtl w:val="true"/>
        </w:rPr>
        <w:t>"</w:t>
      </w:r>
      <w:r>
        <w:rPr>
          <w:rtl w:val="true"/>
        </w:rPr>
        <w:t>אדם הזייתי יכול להיות לרגעים מסוימים ולתקופות מסוימות</w:t>
      </w:r>
      <w:r>
        <w:rPr>
          <w:rtl w:val="true"/>
        </w:rPr>
        <w:t xml:space="preserve">", </w:t>
      </w:r>
      <w:r>
        <w:rPr>
          <w:rtl w:val="true"/>
        </w:rPr>
        <w:t>ומשכך קיים ספק סביר ביחס לכשירותו לעמוד לדין</w:t>
      </w:r>
      <w:r>
        <w:rPr>
          <w:rtl w:val="true"/>
        </w:rPr>
        <w:t xml:space="preserve">; </w:t>
      </w:r>
      <w:r>
        <w:rPr>
          <w:rtl w:val="true"/>
        </w:rPr>
        <w:t>כי חוות הדעת של ד</w:t>
      </w:r>
      <w:r>
        <w:rPr>
          <w:rtl w:val="true"/>
        </w:rPr>
        <w:t>"</w:t>
      </w:r>
      <w:r>
        <w:rPr>
          <w:rtl w:val="true"/>
        </w:rPr>
        <w:t>ר נחמקין נערכה מבלי שהיו לפניו מסמכים רפואיים וסוציאליים של שירות בתי הסוהר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מבלי שידע על היותו של המערער בבידוד ומקבל טיפול תרופתי</w:t>
      </w:r>
      <w:r>
        <w:rPr>
          <w:rtl w:val="true"/>
        </w:rPr>
        <w:t xml:space="preserve">, </w:t>
      </w:r>
      <w:r>
        <w:rPr>
          <w:rtl w:val="true"/>
        </w:rPr>
        <w:t>לרבות התייחסות לסוגי התרופות שקיבל והאם המינון תואם למצבו</w:t>
      </w:r>
      <w:r>
        <w:rPr>
          <w:rtl w:val="true"/>
        </w:rPr>
        <w:t xml:space="preserve">, </w:t>
      </w:r>
      <w:r>
        <w:rPr>
          <w:rtl w:val="true"/>
        </w:rPr>
        <w:t>או שהיה בו כדי לשנות את דרך התנהגות המערער ותוצאות חוות הדעת בעניינו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כי הלה לא ידע להסביר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כיצד ניתן ללמוד ולהתייחס להתנהגות של נבדק בשעה שזה קשור בידיו וברגליו בכל תקופת ההסתכלות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 xml:space="preserve">כוח </w:t>
      </w:r>
      <w:r>
        <w:rPr>
          <w:rtl w:val="true"/>
        </w:rPr>
        <w:t>המערער מתייחס בטיעוניו גם לעדויות הרופאים מטעם שירות בתי הסוהר</w:t>
      </w:r>
      <w:r>
        <w:rPr>
          <w:rtl w:val="true"/>
        </w:rPr>
        <w:t xml:space="preserve">, </w:t>
      </w:r>
      <w:r>
        <w:rPr>
          <w:rtl w:val="true"/>
        </w:rPr>
        <w:t>שבדקו אותו בתקופת מעצרו ובהם ד</w:t>
      </w:r>
      <w:r>
        <w:rPr>
          <w:rtl w:val="true"/>
        </w:rPr>
        <w:t>"</w:t>
      </w:r>
      <w:r>
        <w:rPr>
          <w:rtl w:val="true"/>
        </w:rPr>
        <w:t>ר סעיד מוסא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רם </w:t>
      </w:r>
      <w:r>
        <w:rPr>
          <w:rtl w:val="true"/>
        </w:rPr>
        <w:t>כ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ג</w:t>
      </w:r>
      <w:r>
        <w:rPr>
          <w:rtl w:val="true"/>
        </w:rPr>
        <w:t>'</w:t>
      </w:r>
      <w:r>
        <w:rPr>
          <w:rtl w:val="true"/>
        </w:rPr>
        <w:t>וליה אלפבאום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ג</w:t>
      </w:r>
      <w:r>
        <w:rPr>
          <w:rtl w:val="true"/>
        </w:rPr>
        <w:t>'</w:t>
      </w:r>
      <w:r>
        <w:rPr>
          <w:rtl w:val="true"/>
        </w:rPr>
        <w:t>וזיף פרח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אולג שומייקו וד</w:t>
      </w:r>
      <w:r>
        <w:rPr>
          <w:rtl w:val="true"/>
        </w:rPr>
        <w:t>"</w:t>
      </w:r>
      <w:r>
        <w:rPr>
          <w:rtl w:val="true"/>
        </w:rPr>
        <w:t xml:space="preserve">ר נמרוד גריסרו כשהאחרון בדק את המערער במעצרו והעיד </w:t>
      </w:r>
      <w:r>
        <w:rPr>
          <w:rtl w:val="true"/>
        </w:rPr>
        <w:t>לבקשת ההגנה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נטען כי לא היה מקום להידרש לעדויותיהם ולבדיקותיהם</w:t>
      </w:r>
      <w:r>
        <w:rPr>
          <w:rtl w:val="true"/>
        </w:rPr>
        <w:t xml:space="preserve">, </w:t>
      </w:r>
      <w:r>
        <w:rPr>
          <w:rtl w:val="true"/>
        </w:rPr>
        <w:t>שעה שנקבע כי ההכרעה בנושא הכשירות תיקבע על יסוד חוות הדעת שהוגשו</w:t>
      </w:r>
      <w:r>
        <w:rPr>
          <w:rtl w:val="true"/>
        </w:rPr>
        <w:t xml:space="preserve">; </w:t>
      </w:r>
      <w:r>
        <w:rPr>
          <w:rtl w:val="true"/>
        </w:rPr>
        <w:t xml:space="preserve">כי בדיקות אלה בוצעו רק על מנת לבדוק אם </w:t>
      </w:r>
      <w:r>
        <w:rPr>
          <w:rtl w:val="true"/>
        </w:rPr>
        <w:t>משנבדק</w:t>
      </w:r>
      <w:r>
        <w:rPr>
          <w:rtl w:val="true"/>
        </w:rPr>
        <w:t xml:space="preserve"> הוא נזקק לטיפול או להשגחה – ולא על מנת לבצע אבחון פסיכיאטרי</w:t>
      </w:r>
      <w:r>
        <w:rPr>
          <w:rtl w:val="true"/>
        </w:rPr>
        <w:t xml:space="preserve">; </w:t>
      </w:r>
      <w:r>
        <w:rPr>
          <w:rtl w:val="true"/>
        </w:rPr>
        <w:t>וכי הסימפטומים שבהם הבחינו</w:t>
      </w:r>
      <w:r>
        <w:rPr>
          <w:rtl w:val="true"/>
        </w:rPr>
        <w:t xml:space="preserve">, </w:t>
      </w:r>
      <w:r>
        <w:rPr>
          <w:rtl w:val="true"/>
        </w:rPr>
        <w:t>שיש בהם כדי להצביע על מחלת נפש ממנה הוא סובל</w:t>
      </w:r>
      <w:r>
        <w:rPr>
          <w:rtl w:val="true"/>
        </w:rPr>
        <w:t xml:space="preserve">, </w:t>
      </w:r>
      <w:r>
        <w:rPr>
          <w:rtl w:val="true"/>
        </w:rPr>
        <w:t>לא הובאו בחשבון בשיקולי הפסיכיאטר המחוזי בעת עריכת חוות דעתו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עוד </w:t>
      </w:r>
      <w:r>
        <w:rPr>
          <w:rtl w:val="true"/>
        </w:rPr>
        <w:t>נטען</w:t>
      </w:r>
      <w:r>
        <w:rPr>
          <w:rtl w:val="true"/>
        </w:rPr>
        <w:t xml:space="preserve"> כי הטענה לפיה המערער לא שיתף פעולה באופן מגמתי ומנגד ידע לפנות ולבקש כשהיה זקוק לדבר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אינה נכונה</w:t>
      </w:r>
      <w:r>
        <w:rPr>
          <w:rtl w:val="true"/>
        </w:rPr>
        <w:t xml:space="preserve">, </w:t>
      </w:r>
      <w:r>
        <w:rPr>
          <w:rtl w:val="true"/>
        </w:rPr>
        <w:t>מה גם שהתנאים בהם היה לא איפשרו את קיומו של צו ההסתכלות באופן תקין</w:t>
      </w:r>
      <w:r>
        <w:rPr>
          <w:rtl w:val="true"/>
        </w:rPr>
        <w:t xml:space="preserve">, </w:t>
      </w:r>
      <w:r>
        <w:rPr>
          <w:rtl w:val="true"/>
        </w:rPr>
        <w:t>שכן לאורך כל תקופת האשפוז ל</w:t>
      </w:r>
      <w:r>
        <w:rPr>
          <w:rFonts w:ascii="FrankRuehl" w:hAnsi="FrankRuehl" w:cs="FrankRuehl"/>
          <w:rtl w:val="true"/>
        </w:rPr>
        <w:t>וּו</w:t>
      </w:r>
      <w:r>
        <w:rPr>
          <w:rtl w:val="true"/>
        </w:rPr>
        <w:t>ה בשלושה סוהרים משירות בתי</w:t>
      </w:r>
      <w:r>
        <w:rPr>
          <w:rtl w:val="true"/>
        </w:rPr>
        <w:t>-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המערער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המומחה מטעמו</w:t>
      </w:r>
      <w:r>
        <w:rPr>
          <w:rtl w:val="true"/>
        </w:rPr>
        <w:t xml:space="preserve">, </w:t>
      </w:r>
      <w:r>
        <w:rPr>
          <w:rtl w:val="true"/>
        </w:rPr>
        <w:t>הוא היחיד שהיה בידו מלוא המידע הדרוש לצורך אבחון מדעי ורפואי נכון</w:t>
      </w:r>
      <w:r>
        <w:rPr>
          <w:rtl w:val="true"/>
        </w:rPr>
        <w:t xml:space="preserve">, </w:t>
      </w:r>
      <w:r>
        <w:rPr>
          <w:rtl w:val="true"/>
        </w:rPr>
        <w:t>לרבות דוחות סוציאליים</w:t>
      </w:r>
      <w:r>
        <w:rPr>
          <w:rtl w:val="true"/>
        </w:rPr>
        <w:t xml:space="preserve">, </w:t>
      </w:r>
      <w:r>
        <w:rPr>
          <w:rtl w:val="true"/>
        </w:rPr>
        <w:t>מסמכים רפואיים ורקע משפחתי</w:t>
      </w:r>
      <w:r>
        <w:rPr>
          <w:rtl w:val="true"/>
        </w:rPr>
        <w:t xml:space="preserve">, </w:t>
      </w:r>
      <w:r>
        <w:rPr>
          <w:rtl w:val="true"/>
        </w:rPr>
        <w:t>וכן מידע על תרופות שקיבל לאורך תקופת מעצרו בשירות בתי הסוהר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יש להעדיף את האמור בחוות דעתו על פני דעתם של המומחים מטעם הפסיכיאטר 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מנגד טוענת המשיבה</w:t>
      </w:r>
      <w:r>
        <w:rPr>
          <w:rtl w:val="true"/>
        </w:rPr>
        <w:t xml:space="preserve">, </w:t>
      </w:r>
      <w:r>
        <w:rPr>
          <w:rtl w:val="true"/>
        </w:rPr>
        <w:t>כי בא</w:t>
      </w:r>
      <w:r>
        <w:rPr>
          <w:rtl w:val="true"/>
        </w:rPr>
        <w:t>-</w:t>
      </w:r>
      <w:r>
        <w:rPr>
          <w:rtl w:val="true"/>
        </w:rPr>
        <w:t>כוח המערער אינו מצביע על עילה כלשהי שתצדיק את התערבות ערכאת הערעור</w:t>
      </w:r>
      <w:r>
        <w:rPr>
          <w:rtl w:val="true"/>
        </w:rPr>
        <w:t xml:space="preserve">; </w:t>
      </w:r>
      <w:r>
        <w:rPr>
          <w:rtl w:val="true"/>
        </w:rPr>
        <w:t xml:space="preserve">לא התעורר ספק סביר באשר לכשירותו </w:t>
      </w:r>
      <w:r>
        <w:rPr>
          <w:rtl w:val="true"/>
        </w:rPr>
        <w:t xml:space="preserve">של המערער </w:t>
      </w:r>
      <w:r>
        <w:rPr>
          <w:rtl w:val="true"/>
        </w:rPr>
        <w:t>לעמוד לדין</w:t>
      </w:r>
      <w:r>
        <w:rPr>
          <w:rtl w:val="true"/>
        </w:rPr>
        <w:t xml:space="preserve">; </w:t>
      </w:r>
      <w:r>
        <w:rPr>
          <w:rtl w:val="true"/>
        </w:rPr>
        <w:t>אין מחלוקת שביצע את העבירות בהן הורשע ואחראי למעשיו בעת ביצועם</w:t>
      </w:r>
      <w:r>
        <w:rPr>
          <w:rtl w:val="true"/>
        </w:rPr>
        <w:t xml:space="preserve">; </w:t>
      </w:r>
      <w:r>
        <w:rPr>
          <w:rtl w:val="true"/>
        </w:rPr>
        <w:t>אין מקום להעלות מחדש את הטענות שנטענו בבית המשפט המחוזי ושעניינן קביעות עובדתיות ונושאים שבמומחיות</w:t>
      </w:r>
      <w:r>
        <w:rPr>
          <w:rtl w:val="true"/>
        </w:rPr>
        <w:t xml:space="preserve">; </w:t>
      </w:r>
      <w:r>
        <w:rPr>
          <w:rtl w:val="true"/>
        </w:rPr>
        <w:t>וכן כי בית המשפט המחוזי</w:t>
      </w:r>
      <w:r>
        <w:rPr>
          <w:rtl w:val="true"/>
        </w:rPr>
        <w:t xml:space="preserve"> נימק</w:t>
      </w:r>
      <w:r>
        <w:rPr>
          <w:rtl w:val="true"/>
        </w:rPr>
        <w:t xml:space="preserve"> בהרחבה מדוע ביכר את חוות דעתו של ד</w:t>
      </w:r>
      <w:r>
        <w:rPr>
          <w:rtl w:val="true"/>
        </w:rPr>
        <w:t>"</w:t>
      </w:r>
      <w:r>
        <w:rPr>
          <w:rtl w:val="true"/>
        </w:rPr>
        <w:t>ר נחמקין מטעם הפסיכיאטר המחוזי וכן את של הרופאים האחרים</w:t>
      </w:r>
      <w:r>
        <w:rPr>
          <w:rtl w:val="true"/>
        </w:rPr>
        <w:t xml:space="preserve">, </w:t>
      </w:r>
      <w:r>
        <w:rPr>
          <w:rtl w:val="true"/>
        </w:rPr>
        <w:t>שבדקו את המערער מטעם שירות בתי הסוהר</w:t>
      </w:r>
      <w:r>
        <w:rPr>
          <w:rtl w:val="true"/>
        </w:rPr>
        <w:t xml:space="preserve">, </w:t>
      </w:r>
      <w:r>
        <w:rPr>
          <w:rtl w:val="true"/>
        </w:rPr>
        <w:t>על פני זו של 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שהוגשה מטעם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נוסף על כך טוענת המשיבה</w:t>
      </w:r>
      <w:r>
        <w:rPr>
          <w:rtl w:val="true"/>
        </w:rPr>
        <w:t xml:space="preserve">, </w:t>
      </w:r>
      <w:r>
        <w:rPr>
          <w:rtl w:val="true"/>
        </w:rPr>
        <w:t>כי בכל החומר הרפואי שהוגש בעניינו של המערער ובבדיקות הרבות שנעשו לו</w:t>
      </w:r>
      <w:r>
        <w:rPr>
          <w:rtl w:val="true"/>
        </w:rPr>
        <w:t xml:space="preserve">, </w:t>
      </w:r>
      <w:r>
        <w:rPr>
          <w:rtl w:val="true"/>
        </w:rPr>
        <w:t>לא נמצאה עדות למחלת נפש</w:t>
      </w:r>
      <w:r>
        <w:rPr>
          <w:rtl w:val="true"/>
        </w:rPr>
        <w:t xml:space="preserve">, </w:t>
      </w:r>
      <w:r>
        <w:rPr>
          <w:rtl w:val="true"/>
        </w:rPr>
        <w:t>או לטיפול אנטי</w:t>
      </w:r>
      <w:r>
        <w:rPr>
          <w:rtl w:val="true"/>
        </w:rPr>
        <w:t>-</w:t>
      </w:r>
      <w:r>
        <w:rPr>
          <w:rtl w:val="true"/>
        </w:rPr>
        <w:t>פסיכוטי</w:t>
      </w:r>
      <w:r>
        <w:rPr>
          <w:rtl w:val="true"/>
        </w:rPr>
        <w:t xml:space="preserve">, </w:t>
      </w:r>
      <w:r>
        <w:rPr>
          <w:rtl w:val="true"/>
        </w:rPr>
        <w:t xml:space="preserve">ואף ההגנה לא טוענת כי המערער </w:t>
      </w:r>
      <w:r>
        <w:rPr>
          <w:rtl w:val="true"/>
        </w:rPr>
        <w:t>א</w:t>
      </w:r>
      <w:r>
        <w:rPr>
          <w:rtl w:val="true"/>
        </w:rPr>
        <w:t>ובחן בעברו כסובל ממחלת נפש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כך הפסיכיאטר המחוזי לא אבחן בעיה נפשית אצל המערער ולא המליץ על טיפול</w:t>
      </w:r>
      <w:r>
        <w:rPr>
          <w:rtl w:val="true"/>
        </w:rPr>
        <w:t xml:space="preserve">; </w:t>
      </w:r>
      <w:r>
        <w:rPr>
          <w:rtl w:val="true"/>
        </w:rPr>
        <w:t>בבדיקת המערער על ידי ד</w:t>
      </w:r>
      <w:r>
        <w:rPr>
          <w:rtl w:val="true"/>
        </w:rPr>
        <w:t>"</w:t>
      </w:r>
      <w:r>
        <w:rPr>
          <w:rtl w:val="true"/>
        </w:rPr>
        <w:t>ר אברהם אירנה</w:t>
      </w:r>
      <w:r>
        <w:rPr>
          <w:rtl w:val="true"/>
        </w:rPr>
        <w:t xml:space="preserve">, </w:t>
      </w:r>
      <w:r>
        <w:rPr>
          <w:rtl w:val="true"/>
        </w:rPr>
        <w:t>בעת שהיה במעצר</w:t>
      </w:r>
      <w:r>
        <w:rPr>
          <w:rtl w:val="true"/>
        </w:rPr>
        <w:t xml:space="preserve">, </w:t>
      </w:r>
      <w:r>
        <w:rPr>
          <w:rtl w:val="true"/>
        </w:rPr>
        <w:t>נמצא כי אין עדות לסימפטומים פסיכוטיים או אקטיביים משמעותיים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י</w:t>
      </w:r>
      <w:r>
        <w:rPr>
          <w:rtl w:val="true"/>
        </w:rPr>
        <w:t xml:space="preserve">' </w:t>
      </w:r>
      <w:r>
        <w:rPr>
          <w:rtl w:val="true"/>
        </w:rPr>
        <w:t>שוורצמן קבע כי לא רק שלא היו במהלך הבדיקה ביטויים למצב פסיכוטי חריף</w:t>
      </w:r>
      <w:r>
        <w:rPr>
          <w:rtl w:val="true"/>
        </w:rPr>
        <w:t xml:space="preserve">, </w:t>
      </w:r>
      <w:r>
        <w:rPr>
          <w:rtl w:val="true"/>
        </w:rPr>
        <w:t>אלא שלא נמצאו סימנים של מצבים פסיכוטיים בעבר</w:t>
      </w:r>
      <w:r>
        <w:rPr>
          <w:rtl w:val="true"/>
        </w:rPr>
        <w:t xml:space="preserve">, </w:t>
      </w:r>
      <w:r>
        <w:rPr>
          <w:rtl w:val="true"/>
        </w:rPr>
        <w:t>וכן ד</w:t>
      </w:r>
      <w:r>
        <w:rPr>
          <w:rtl w:val="true"/>
        </w:rPr>
        <w:t>"</w:t>
      </w:r>
      <w:r>
        <w:rPr>
          <w:rtl w:val="true"/>
        </w:rPr>
        <w:t>ר כמין שבדק את המערער מספר פעמים לאורך מעצרו הסביר</w:t>
      </w:r>
      <w:r>
        <w:rPr>
          <w:rtl w:val="true"/>
        </w:rPr>
        <w:t xml:space="preserve">, </w:t>
      </w:r>
      <w:r>
        <w:rPr>
          <w:rtl w:val="true"/>
        </w:rPr>
        <w:t xml:space="preserve">כי האפשרות לפריצת מחלת הסכיזופרניה בגיל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גילו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היא דבר </w:t>
      </w:r>
      <w:r>
        <w:rPr>
          <w:rtl w:val="true"/>
        </w:rPr>
        <w:t>"</w:t>
      </w:r>
      <w:r>
        <w:rPr>
          <w:rtl w:val="true"/>
        </w:rPr>
        <w:t>נדיר וחריג</w:t>
      </w:r>
      <w:r>
        <w:rPr>
          <w:rtl w:val="true"/>
        </w:rPr>
        <w:t xml:space="preserve">".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עוד טוענת המשיבה</w:t>
      </w:r>
      <w:r>
        <w:rPr>
          <w:rtl w:val="true"/>
        </w:rPr>
        <w:t xml:space="preserve">, </w:t>
      </w:r>
      <w:r>
        <w:rPr>
          <w:rtl w:val="true"/>
        </w:rPr>
        <w:t xml:space="preserve">כי אמנם במספר הזדמנויות לאורך מעצרו ניצפו </w:t>
      </w:r>
      <w:r>
        <w:rPr>
          <w:rtl w:val="true"/>
        </w:rPr>
        <w:t>"</w:t>
      </w:r>
      <w:r>
        <w:rPr>
          <w:rtl w:val="true"/>
        </w:rPr>
        <w:t>התנהגויות מוזרות</w:t>
      </w:r>
      <w:r>
        <w:rPr>
          <w:rtl w:val="true"/>
        </w:rPr>
        <w:t xml:space="preserve">" </w:t>
      </w:r>
      <w:r>
        <w:rPr>
          <w:rtl w:val="true"/>
        </w:rPr>
        <w:t>של המערער</w:t>
      </w:r>
      <w:r>
        <w:rPr>
          <w:rtl w:val="true"/>
        </w:rPr>
        <w:t xml:space="preserve">, </w:t>
      </w:r>
      <w:r>
        <w:rPr>
          <w:rtl w:val="true"/>
        </w:rPr>
        <w:t>אולם בניגוד לנטען על ידי ההגנה</w:t>
      </w:r>
      <w:r>
        <w:rPr>
          <w:rtl w:val="true"/>
        </w:rPr>
        <w:t xml:space="preserve">, </w:t>
      </w:r>
      <w:r>
        <w:rPr>
          <w:rtl w:val="true"/>
        </w:rPr>
        <w:t>הן אינן מהוות אינדיקציה למחלת נפש ומדובר בהתנהגויות מוכרות בעת מ</w:t>
      </w:r>
      <w:r>
        <w:rPr>
          <w:rtl w:val="true"/>
        </w:rPr>
        <w:t>עצ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לא ניתן להסיק קיומה של מחלת נפש על סמך סימפטום אחד</w:t>
      </w:r>
      <w:r>
        <w:rPr>
          <w:rtl w:val="true"/>
        </w:rPr>
        <w:t xml:space="preserve">, </w:t>
      </w:r>
      <w:r>
        <w:rPr>
          <w:rtl w:val="true"/>
        </w:rPr>
        <w:t>אלא יש צורך בקיומם של מספר סימפטומים ולמשך תקופה ממושכת</w:t>
      </w:r>
      <w:r>
        <w:rPr>
          <w:rtl w:val="true"/>
        </w:rPr>
        <w:t xml:space="preserve">, </w:t>
      </w:r>
      <w:r>
        <w:rPr>
          <w:rtl w:val="true"/>
        </w:rPr>
        <w:t>ואלה לא נמצאו בעניינו של המערער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פועל באופן מגמתי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בהתייחס ל</w:t>
      </w:r>
      <w:r>
        <w:rPr>
          <w:rtl w:val="true"/>
        </w:rPr>
        <w:t xml:space="preserve">תרופות שנטל המערער בעת מעצרו – </w:t>
      </w:r>
      <w:r>
        <w:rPr>
          <w:rtl w:val="true"/>
        </w:rPr>
        <w:t xml:space="preserve">נטען כי </w:t>
      </w:r>
      <w:r>
        <w:rPr>
          <w:rtl w:val="true"/>
        </w:rPr>
        <w:t>אין בהן אינדיקציה למחלת נפש ממנה הוא סובל</w:t>
      </w:r>
      <w:r>
        <w:rPr>
          <w:rtl w:val="true"/>
        </w:rPr>
        <w:t xml:space="preserve">, </w:t>
      </w:r>
      <w:r>
        <w:rPr>
          <w:rtl w:val="true"/>
        </w:rPr>
        <w:t>שכן המומחים הסבירו שהתרופות נועדו כדי לסייע בקשיי שינה ונועדו להרגעה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המשיבה מפנה להתנהגויות שנ</w:t>
      </w:r>
      <w:r>
        <w:rPr>
          <w:rtl w:val="true"/>
        </w:rPr>
        <w:t>י</w:t>
      </w:r>
      <w:r>
        <w:rPr>
          <w:rtl w:val="true"/>
        </w:rPr>
        <w:t>צפו אצל המערער במהלך ההליך המשפטי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tl w:val="true"/>
        </w:rPr>
        <w:t xml:space="preserve">, </w:t>
      </w:r>
      <w:r>
        <w:rPr>
          <w:rtl w:val="true"/>
        </w:rPr>
        <w:t>כי אלה מהוות תימוכין לכך שהלה מבין את ההליך המתנהל נגדו וכשיר לעמוד לדין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ביקש לשוחח עם אמו בטרם הודה בעובדות כתב האישום</w:t>
      </w:r>
      <w:r>
        <w:rPr>
          <w:rtl w:val="true"/>
        </w:rPr>
        <w:t xml:space="preserve">, </w:t>
      </w:r>
      <w:r>
        <w:rPr>
          <w:rtl w:val="true"/>
        </w:rPr>
        <w:t>השיב לשאלות שנשאל באופן ענייני בהמשך הדיון</w:t>
      </w:r>
      <w:r>
        <w:rPr>
          <w:rtl w:val="true"/>
        </w:rPr>
        <w:t xml:space="preserve">; </w:t>
      </w:r>
      <w:r>
        <w:rPr>
          <w:rtl w:val="true"/>
        </w:rPr>
        <w:t>בית המשפט המחוזי וידא בשפתו כי הוא מאשר את הודאתו וזאת מספר פעמים</w:t>
      </w:r>
      <w:r>
        <w:rPr>
          <w:rtl w:val="true"/>
        </w:rPr>
        <w:t xml:space="preserve">, </w:t>
      </w:r>
      <w:r>
        <w:rPr>
          <w:rtl w:val="true"/>
        </w:rPr>
        <w:t>וכן התרשם באופן ישיר ובלתי אמצעי מיכולתו של המערער וממסוגלותו להבין את ההליך ומשמעותו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tl w:val="true"/>
        </w:rPr>
        <w:t xml:space="preserve"> חוות דעתו של 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 xml:space="preserve">ה </w:t>
      </w:r>
      <w:r>
        <w:rPr>
          <w:rtl w:val="true"/>
        </w:rPr>
        <w:t>נטען כי זו נסמכה</w:t>
      </w:r>
      <w:r>
        <w:rPr>
          <w:rtl w:val="true"/>
        </w:rPr>
        <w:t xml:space="preserve"> על בדיקות קצרות של המערער והערכות לא מבוססות</w:t>
      </w:r>
      <w:r>
        <w:rPr>
          <w:rtl w:val="true"/>
        </w:rPr>
        <w:t xml:space="preserve">, </w:t>
      </w:r>
      <w:r>
        <w:rPr>
          <w:rtl w:val="true"/>
        </w:rPr>
        <w:t>וגם ל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 xml:space="preserve"> היה נמצא כי המערער סובל ממחלת נפש</w:t>
      </w:r>
      <w:r>
        <w:rPr>
          <w:rtl w:val="true"/>
        </w:rPr>
        <w:t xml:space="preserve">, </w:t>
      </w:r>
      <w:r>
        <w:rPr>
          <w:rtl w:val="true"/>
        </w:rPr>
        <w:t>ולא כך בענייננו</w:t>
      </w:r>
      <w:r>
        <w:rPr>
          <w:rtl w:val="true"/>
        </w:rPr>
        <w:t xml:space="preserve">, </w:t>
      </w:r>
      <w:r>
        <w:rPr>
          <w:rtl w:val="true"/>
        </w:rPr>
        <w:t>עליו להוכיח תנאי מצטבר נוסף שעקב מחלתו הוא לא היה מסוגל לעמוד לדין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>
          <w:color w:val="FF0000"/>
        </w:rPr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שב בא</w:t>
      </w:r>
      <w:r>
        <w:rPr>
          <w:rtl w:val="true"/>
        </w:rPr>
        <w:t>-</w:t>
      </w:r>
      <w:r>
        <w:rPr>
          <w:rtl w:val="true"/>
        </w:rPr>
        <w:t xml:space="preserve">כוחו של המערער על </w:t>
      </w:r>
      <w:r>
        <w:rPr>
          <w:rtl w:val="true"/>
        </w:rPr>
        <w:t>נימוקי הערעור והטעים</w:t>
      </w:r>
      <w:r>
        <w:rPr>
          <w:rtl w:val="true"/>
        </w:rPr>
        <w:t xml:space="preserve">, </w:t>
      </w:r>
      <w:r>
        <w:rPr>
          <w:rtl w:val="true"/>
        </w:rPr>
        <w:t xml:space="preserve">כי שאלת כשירותו של המערער בעת מתן הכרעת הדין היא </w:t>
      </w:r>
      <w:r>
        <w:rPr>
          <w:rtl w:val="true"/>
        </w:rPr>
        <w:t>סוגיה</w:t>
      </w:r>
      <w:r>
        <w:rPr>
          <w:rtl w:val="true"/>
        </w:rPr>
        <w:t xml:space="preserve"> משפטית</w:t>
      </w:r>
      <w:r>
        <w:rPr>
          <w:rtl w:val="true"/>
        </w:rPr>
        <w:t xml:space="preserve">; </w:t>
      </w:r>
      <w:r>
        <w:rPr>
          <w:rtl w:val="true"/>
        </w:rPr>
        <w:t xml:space="preserve">כי בדיקת של המערער מספר רב של פעמים על ידי פסיכיאטרים שונים בפרק זמן של שנה וחצי </w:t>
      </w:r>
      <w:r>
        <w:rPr>
          <w:rtl w:val="true"/>
        </w:rPr>
        <w:t>מלמדת</w:t>
      </w:r>
      <w:r>
        <w:rPr>
          <w:rtl w:val="true"/>
        </w:rPr>
        <w:t xml:space="preserve"> על </w:t>
      </w:r>
      <w:r>
        <w:rPr>
          <w:rtl w:val="true"/>
        </w:rPr>
        <w:t xml:space="preserve">קיומה של </w:t>
      </w:r>
      <w:r>
        <w:rPr>
          <w:rtl w:val="true"/>
        </w:rPr>
        <w:t>בעיה</w:t>
      </w:r>
      <w:r>
        <w:rPr>
          <w:rtl w:val="true"/>
        </w:rPr>
        <w:t xml:space="preserve">; </w:t>
      </w:r>
      <w:r>
        <w:rPr>
          <w:rtl w:val="true"/>
        </w:rPr>
        <w:t xml:space="preserve">כי </w:t>
      </w:r>
      <w:r>
        <w:rPr>
          <w:rtl w:val="true"/>
        </w:rPr>
        <w:t>קיימת סתירה בין הדברים שנאמרו במהלך הדיון בבית המשפט המחוזי</w:t>
      </w:r>
      <w:r>
        <w:rPr>
          <w:rtl w:val="true"/>
        </w:rPr>
        <w:t xml:space="preserve">, </w:t>
      </w:r>
      <w:r>
        <w:rPr>
          <w:rtl w:val="true"/>
        </w:rPr>
        <w:t>לבין המשקל שניתן בהכרעת הדין לבדיקות שבוצעו על</w:t>
      </w:r>
      <w:r>
        <w:rPr>
          <w:rtl w:val="true"/>
        </w:rPr>
        <w:t>-</w:t>
      </w:r>
      <w:r>
        <w:rPr>
          <w:rtl w:val="true"/>
        </w:rPr>
        <w:t>ידי רופאי שירות בתי הסוהר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כי חוות הדעת של ד</w:t>
      </w:r>
      <w:r>
        <w:rPr>
          <w:rtl w:val="true"/>
        </w:rPr>
        <w:t>"</w:t>
      </w:r>
      <w:r>
        <w:rPr>
          <w:rtl w:val="true"/>
        </w:rPr>
        <w:t>ר נחמקין התעלמה מחוות דעתו של מומחה ההגנה</w:t>
      </w:r>
      <w:r>
        <w:rPr>
          <w:rtl w:val="true"/>
        </w:rPr>
        <w:t xml:space="preserve">, </w:t>
      </w:r>
      <w:r>
        <w:rPr>
          <w:rtl w:val="true"/>
        </w:rPr>
        <w:t>לא התייחסה ל</w:t>
      </w:r>
      <w:r>
        <w:rPr>
          <w:rtl w:val="true"/>
        </w:rPr>
        <w:t>"</w:t>
      </w:r>
      <w:r>
        <w:rPr>
          <w:rtl w:val="true"/>
        </w:rPr>
        <w:t>פגמים ולחוסרים</w:t>
      </w:r>
      <w:r>
        <w:rPr>
          <w:rtl w:val="true"/>
        </w:rPr>
        <w:t xml:space="preserve">" </w:t>
      </w:r>
      <w:r>
        <w:rPr>
          <w:rtl w:val="true"/>
        </w:rPr>
        <w:t>בה וכי ההסתכלות בוצעה בעת שהמערער היה קשור ארבעה ימים בידיו ורגליו – כל אלו</w:t>
      </w:r>
      <w:r>
        <w:rPr>
          <w:rtl w:val="true"/>
        </w:rPr>
        <w:t xml:space="preserve">, </w:t>
      </w:r>
      <w:r>
        <w:rPr>
          <w:rtl w:val="true"/>
        </w:rPr>
        <w:t>שומטים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את משקלה של חוות הדעת של ד</w:t>
      </w:r>
      <w:r>
        <w:rPr>
          <w:rtl w:val="true"/>
        </w:rPr>
        <w:t>"</w:t>
      </w:r>
      <w:r>
        <w:rPr>
          <w:rtl w:val="true"/>
        </w:rPr>
        <w:t>ר נחמקין ומובילים למסקנה בדבר אי</w:t>
      </w:r>
      <w:r>
        <w:rPr>
          <w:rtl w:val="true"/>
        </w:rPr>
        <w:t>-</w:t>
      </w:r>
      <w:r>
        <w:rPr>
          <w:rtl w:val="true"/>
        </w:rPr>
        <w:t>כשירותו של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color w:val="FF0000"/>
        </w:rPr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 xml:space="preserve">כוח </w:t>
      </w:r>
      <w:r>
        <w:rPr>
          <w:rtl w:val="true"/>
        </w:rPr>
        <w:t>המשיבה שבה אף היא על עיקר</w:t>
      </w:r>
      <w:r>
        <w:rPr>
          <w:rtl w:val="true"/>
        </w:rPr>
        <w:t>י הטיעון בכתב מטעמה</w:t>
      </w:r>
      <w:r>
        <w:rPr>
          <w:rtl w:val="true"/>
        </w:rPr>
        <w:t xml:space="preserve"> והוסיפה כי </w:t>
      </w:r>
      <w:r>
        <w:rPr>
          <w:rtl w:val="true"/>
        </w:rPr>
        <w:t xml:space="preserve">בדיקת </w:t>
      </w:r>
      <w:r>
        <w:rPr>
          <w:rtl w:val="true"/>
        </w:rPr>
        <w:t>ההסתכלות בוצעה לאורך זמן ובסיטואציות שונות</w:t>
      </w:r>
      <w:r>
        <w:rPr>
          <w:rtl w:val="true"/>
        </w:rPr>
        <w:t xml:space="preserve">; </w:t>
      </w:r>
      <w:r>
        <w:rPr>
          <w:rtl w:val="true"/>
        </w:rPr>
        <w:t xml:space="preserve">כי מספר לא מבוטל של רופאים דוברי ערבית בדקו את המערער וכי גם </w:t>
      </w:r>
      <w:r>
        <w:rPr>
          <w:rtl w:val="true"/>
        </w:rPr>
        <w:t>"</w:t>
      </w:r>
      <w:r>
        <w:rPr>
          <w:rtl w:val="true"/>
        </w:rPr>
        <w:t>כשמתנתקים מהאירוע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ובוחנים כשירות דיונית – מסיקים כי הכרעת בית המשפט המחוזי מבוססת ואיתנה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color w:val="FF0000"/>
          <w:spacing w:val="0"/>
          <w:szCs w:val="24"/>
        </w:rPr>
      </w:pPr>
      <w:r>
        <w:rPr>
          <w:rFonts w:cs="Miriam" w:ascii="Century" w:hAnsi="Century"/>
          <w:b/>
          <w:color w:val="FF0000"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דין הערעור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כלל ידוע הוא כי אין דרכה של ערכאת הערעור להתערב בממצאי עובדה ומהימנות שנקבעו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אף לא בחוות דעת מקצועיות שהוגשו לה</w:t>
      </w:r>
      <w:r>
        <w:rPr>
          <w:rtl w:val="true"/>
        </w:rPr>
        <w:t xml:space="preserve">, </w:t>
      </w:r>
      <w:r>
        <w:rPr>
          <w:rtl w:val="true"/>
        </w:rPr>
        <w:t>בפרט כשעורכיהן נחקרו על ידי הצדדים</w:t>
      </w:r>
      <w:r>
        <w:rPr>
          <w:rtl w:val="true"/>
        </w:rPr>
        <w:t xml:space="preserve">. </w:t>
      </w:r>
      <w:r>
        <w:rPr>
          <w:rtl w:val="true"/>
        </w:rPr>
        <w:t>מקום בו בחרה הערכאה הדיונית לבכר חוות דעת אחת</w:t>
      </w:r>
      <w:r>
        <w:rPr>
          <w:rtl w:val="true"/>
        </w:rPr>
        <w:t xml:space="preserve">, </w:t>
      </w:r>
      <w:r>
        <w:rPr>
          <w:rtl w:val="true"/>
        </w:rPr>
        <w:t>על פני רעותה</w:t>
      </w:r>
      <w:r>
        <w:rPr>
          <w:rtl w:val="true"/>
        </w:rPr>
        <w:t xml:space="preserve">, </w:t>
      </w:r>
      <w:r>
        <w:rPr>
          <w:rtl w:val="true"/>
        </w:rPr>
        <w:t>בשאלות מקצועיות או בשאלות שברפואה</w:t>
      </w:r>
      <w:r>
        <w:rPr>
          <w:rtl w:val="true"/>
        </w:rPr>
        <w:t xml:space="preserve">, </w:t>
      </w:r>
      <w:r>
        <w:rPr>
          <w:rtl w:val="true"/>
        </w:rPr>
        <w:t>במקרה דנן חוות דעת פסיכיאטרית</w:t>
      </w:r>
      <w:r>
        <w:rPr>
          <w:rtl w:val="true"/>
        </w:rPr>
        <w:t xml:space="preserve">, </w:t>
      </w:r>
      <w:r>
        <w:rPr>
          <w:rtl w:val="true"/>
        </w:rPr>
        <w:t>התערבותה של ערכאת הערעור בבחירה זו תהיה מצומצמת</w:t>
      </w:r>
      <w:r>
        <w:rPr>
          <w:rtl w:val="true"/>
        </w:rPr>
        <w:t xml:space="preserve">, </w:t>
      </w:r>
      <w:r>
        <w:rPr>
          <w:rtl w:val="true"/>
        </w:rPr>
        <w:t xml:space="preserve">שכן מסקנותיה של הערכאה הדיונית בעניינים אלה הן מסקנות עובדתיות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דאהן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27.6.2019</w:t>
      </w:r>
      <w:r>
        <w:rPr>
          <w:rtl w:val="true"/>
        </w:rPr>
        <w:t xml:space="preserve">); </w:t>
      </w:r>
      <w:hyperlink r:id="rId4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9045/16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7.3.2018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tl w:val="true"/>
        </w:rPr>
        <w:t xml:space="preserve"> </w:t>
      </w:r>
      <w:r>
        <w:rPr>
          <w:rtl w:val="true"/>
        </w:rPr>
        <w:t>המושרש שלפיו ערכאת הערעור תמעט להתערב בממצאי עובדה ומהימנות שנקבעו בידי הערכאה הדיונית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 xml:space="preserve"> גם בגדרן של חוות דעת פסיכיאטריות </w:t>
      </w:r>
      <w:r>
        <w:rPr>
          <w:rtl w:val="true"/>
        </w:rPr>
        <w:t>(</w:t>
      </w:r>
      <w:r>
        <w:rPr>
          <w:rtl w:val="true"/>
        </w:rPr>
        <w:t>ראו לעניין זה</w:t>
      </w:r>
      <w:r>
        <w:rPr>
          <w:rtl w:val="true"/>
        </w:rPr>
        <w:t xml:space="preserve">,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10166/09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cs="FrankRuehl" w:ascii="FrankRuehl" w:hAnsi="FrankRuehl"/>
          <w:b/>
          <w:spacing w:val="0"/>
          <w:sz w:val="28"/>
        </w:rPr>
        <w:t>31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דיונית</w:t>
      </w:r>
      <w:r>
        <w:rPr>
          <w:rFonts w:ascii="Century" w:hAnsi="Century" w:cs="Century"/>
          <w:sz w:val="22"/>
          <w:sz w:val="22"/>
          <w:rtl w:val="true"/>
        </w:rPr>
        <w:t xml:space="preserve"> – שתי הוראות חוק עיקריות נועדו להתמודד עם מצב שבו ניצב עניינו של נאשם חולה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נפש לפני בית המשפט – ההוראה המהותית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Century"/>
          <w:sz w:val="22"/>
          <w:sz w:val="22"/>
          <w:rtl w:val="true"/>
        </w:rPr>
        <w:t>הדיונית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המהותית</w:t>
      </w:r>
      <w:r>
        <w:rPr>
          <w:rFonts w:ascii="Century" w:hAnsi="Century" w:cs="Century"/>
          <w:sz w:val="22"/>
          <w:sz w:val="22"/>
          <w:rtl w:val="true"/>
        </w:rPr>
        <w:t xml:space="preserve"> עניינה במצבו הנפשי של הנאשם חולה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נפש בעת ביצוע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מעוגנת </w:t>
      </w:r>
      <w:hyperlink r:id="rId49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ח</w:t>
        </w:r>
      </w:hyperlink>
      <w:r>
        <w:rPr>
          <w:rFonts w:ascii="Century" w:hAnsi="Century" w:cs="Century"/>
          <w:sz w:val="22"/>
          <w:sz w:val="22"/>
          <w:rtl w:val="true"/>
        </w:rPr>
        <w:t xml:space="preserve"> ל</w:t>
      </w:r>
      <w:r>
        <w:rPr>
          <w:rFonts w:ascii="Century" w:hAnsi="Century" w:cs="Century"/>
          <w:color w:val="000000"/>
          <w:sz w:val="22"/>
          <w:sz w:val="22"/>
          <w:rtl w:val="true"/>
        </w:rPr>
        <w:t>חוק</w:t>
      </w:r>
      <w:r>
        <w:rPr>
          <w:rFonts w:cs="Century" w:ascii="Century" w:hAnsi="Century"/>
          <w:color w:val="000000"/>
          <w:sz w:val="22"/>
          <w:rtl w:val="true"/>
        </w:rPr>
        <w:t>,</w:t>
      </w:r>
      <w:r>
        <w:rPr>
          <w:rFonts w:cs="Century" w:ascii="Century" w:hAnsi="Century"/>
          <w:color w:val="000000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ולפיה אי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שפיות הדעת בעת ביצוע העבירה מהווה סייג לאחריות פלילית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color w:val="000000"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36-26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לעומתה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הכשירות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מתמקדת במצבו הנפשי של הנאשם חולה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Fonts w:ascii="Century" w:hAnsi="Century" w:cs="Century"/>
          <w:sz w:val="22"/>
          <w:sz w:val="22"/>
          <w:rtl w:val="true"/>
        </w:rPr>
        <w:t>פש בעת ניהול ההליך הפלילי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כאמור </w:t>
      </w:r>
      <w:hyperlink r:id="rId50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170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א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הפלילי</w:t>
        </w:r>
      </w:hyperlink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זו קובעת כי לא ינוהל הליך פלילי נגד נאשם חולה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נפש שאינו מסוגל לעמוד לדין בשל מחלתו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 לעניין זה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5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2531/19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26.5.2021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הסוגיה העיקרית שלפנינו</w:t>
      </w:r>
      <w:r>
        <w:rPr>
          <w:rtl w:val="true"/>
        </w:rPr>
        <w:t xml:space="preserve">, </w:t>
      </w:r>
      <w:r>
        <w:rPr>
          <w:rtl w:val="true"/>
        </w:rPr>
        <w:t>הטעונה הכרעה</w:t>
      </w:r>
      <w:r>
        <w:rPr>
          <w:rtl w:val="true"/>
        </w:rPr>
        <w:t xml:space="preserve">, </w:t>
      </w:r>
      <w:r>
        <w:rPr>
          <w:rtl w:val="true"/>
        </w:rPr>
        <w:t xml:space="preserve">היא </w:t>
      </w:r>
      <w:r>
        <w:rPr>
          <w:rtl w:val="true"/>
        </w:rPr>
        <w:t>סוגית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כשירותו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tl w:val="true"/>
        </w:rPr>
        <w:t xml:space="preserve"> של המערער בשלב העמדה לדין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 של המערער טוען כי בניגוד לקביעת בית המשפט המחוזי</w:t>
      </w:r>
      <w:r>
        <w:rPr>
          <w:rtl w:val="true"/>
        </w:rPr>
        <w:t xml:space="preserve">, </w:t>
      </w:r>
      <w:r>
        <w:rPr>
          <w:rtl w:val="true"/>
        </w:rPr>
        <w:t>יש לקבוע כי</w:t>
      </w:r>
      <w:r>
        <w:rPr>
          <w:rtl w:val="true"/>
        </w:rPr>
        <w:t xml:space="preserve"> </w:t>
      </w:r>
      <w:r>
        <w:rPr>
          <w:rtl w:val="true"/>
        </w:rPr>
        <w:t>המערער הצליח לעורר ספק סביר באשר לכשירותו</w:t>
      </w:r>
      <w:r>
        <w:rPr>
          <w:rtl w:val="true"/>
        </w:rPr>
        <w:t xml:space="preserve"> זו</w:t>
      </w:r>
      <w:r>
        <w:rPr>
          <w:rtl w:val="true"/>
        </w:rPr>
        <w:t xml:space="preserve"> ולהורות על הפסקת ההליכים נגדו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cs="FrankRuehl" w:ascii="FrankRuehl" w:hAnsi="FrankRuehl"/>
        </w:rPr>
        <w:t>33</w:t>
      </w:r>
      <w:r>
        <w:rPr>
          <w:rFonts w:cs="FrankRuehl" w:ascii="FrankRuehl" w:hAnsi="FrankRuehl"/>
          <w:rtl w:val="true"/>
        </w:rPr>
        <w:t>.</w:t>
        <w:tab/>
      </w:r>
      <w:r>
        <w:rPr>
          <w:rFonts w:ascii="FrankRuehl" w:hAnsi="FrankRuehl" w:cs="FrankRuehl"/>
          <w:rtl w:val="true"/>
        </w:rPr>
        <w:t>נקודת המוצא להפסקת הליכים מחמת אי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כשירות לעמוד לדין מוסדרת </w:t>
      </w:r>
      <w:hyperlink r:id="rId53">
        <w:r>
          <w:rPr>
            <w:rStyle w:val="Hyperlink"/>
            <w:rFonts w:ascii="FrankRuehl" w:hAnsi="FrankRuehl" w:cs="FrankRuehl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</w:rPr>
          <w:t>170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ל</w:t>
      </w:r>
      <w:hyperlink r:id="rId5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סדר הדין הפלילי</w:t>
        </w:r>
      </w:hyperlink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שעניינו </w:t>
      </w:r>
      <w:r>
        <w:rPr>
          <w:rFonts w:cs="FrankRuehl" w:ascii="FrankRuehl" w:hAnsi="FrankRuehl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מסוגל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Fonts w:cs="FrankRuehl" w:ascii="FrankRuehl" w:hAnsi="FrankRuehl"/>
          <w:rtl w:val="true"/>
        </w:rPr>
        <w:t xml:space="preserve">" </w:t>
      </w:r>
      <w:r>
        <w:rPr>
          <w:rFonts w:ascii="FrankRuehl" w:hAnsi="FrankRuehl" w:cs="FrankRuehl"/>
          <w:rtl w:val="true"/>
        </w:rPr>
        <w:t>הקובע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בין היתר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בסעיף קטן </w:t>
      </w:r>
      <w:r>
        <w:rPr>
          <w:rFonts w:cs="FrankRuehl" w:ascii="FrankRuehl" w:hAnsi="FrankRuehl"/>
          <w:rtl w:val="true"/>
        </w:rPr>
        <w:t>(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>כדלקמן</w:t>
      </w:r>
      <w:r>
        <w:rPr>
          <w:rFonts w:cs="FrankRuehl" w:ascii="FrankRuehl" w:hAnsi="FrankRuehl"/>
          <w:rtl w:val="true"/>
        </w:rPr>
        <w:t>:</w:t>
      </w:r>
    </w:p>
    <w:p>
      <w:pPr>
        <w:pStyle w:val="Ruller41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[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>ב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הסעד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במפגרים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יפסיק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start="2216" w:end="2552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1"/>
        <w:spacing w:lineRule="auto" w:line="240"/>
        <w:ind w:start="2216" w:end="2552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משאלה פני הדברים</w:t>
      </w:r>
      <w:r>
        <w:rPr>
          <w:rtl w:val="true"/>
        </w:rPr>
        <w:t xml:space="preserve">, </w:t>
      </w:r>
      <w:r>
        <w:rPr>
          <w:rtl w:val="true"/>
        </w:rPr>
        <w:t>כדי שנאשם</w:t>
      </w:r>
      <w:r>
        <w:rPr>
          <w:rtl w:val="true"/>
        </w:rPr>
        <w:t xml:space="preserve">, </w:t>
      </w:r>
      <w:r>
        <w:rPr>
          <w:rtl w:val="true"/>
        </w:rPr>
        <w:t>ובענייננו המערער</w:t>
      </w:r>
      <w:r>
        <w:rPr>
          <w:rtl w:val="true"/>
        </w:rPr>
        <w:t xml:space="preserve">, </w:t>
      </w:r>
      <w:r>
        <w:rPr>
          <w:rtl w:val="true"/>
        </w:rPr>
        <w:t>יבוא בגדר</w:t>
      </w:r>
      <w:r>
        <w:rPr>
          <w:rtl w:val="true"/>
        </w:rPr>
        <w:t>י</w:t>
      </w:r>
      <w:r>
        <w:rPr>
          <w:rtl w:val="true"/>
        </w:rPr>
        <w:t xml:space="preserve"> הסעיף צריכים להתקיים שני תנאים מצטברים</w:t>
      </w:r>
      <w:r>
        <w:rPr>
          <w:rtl w:val="true"/>
        </w:rPr>
        <w:t xml:space="preserve">: </w:t>
      </w:r>
      <w:r>
        <w:rPr>
          <w:rtl w:val="true"/>
        </w:rPr>
        <w:t>האחד – כי אינו מסוגל לעמוד לדין</w:t>
      </w:r>
      <w:r>
        <w:rPr>
          <w:rtl w:val="true"/>
        </w:rPr>
        <w:t xml:space="preserve">, </w:t>
      </w:r>
      <w:r>
        <w:rPr>
          <w:rtl w:val="true"/>
        </w:rPr>
        <w:t>וזאת בעזרת מבחנים שנקבעו בפסיקה</w:t>
      </w:r>
      <w:r>
        <w:rPr>
          <w:rtl w:val="true"/>
        </w:rPr>
        <w:t xml:space="preserve">, </w:t>
      </w:r>
      <w:r>
        <w:rPr>
          <w:rtl w:val="true"/>
        </w:rPr>
        <w:t>והתנאי השני והאחרון – כי חוסר המסוגלות נובע מהיותו חולה נפש או מוגבל שכלית</w:t>
      </w:r>
      <w:r>
        <w:rPr>
          <w:rtl w:val="true"/>
        </w:rPr>
        <w:t xml:space="preserve">. </w:t>
      </w:r>
      <w:r>
        <w:rPr>
          <w:rtl w:val="true"/>
        </w:rPr>
        <w:t>העדר מסוגלות לעמוד לדין משמעו חוסר יכולת לעקוב באופן מושכל אחר ההליך הפלילי</w:t>
      </w:r>
      <w:r>
        <w:rPr>
          <w:rtl w:val="true"/>
        </w:rPr>
        <w:t xml:space="preserve">, </w:t>
      </w:r>
      <w:r>
        <w:rPr>
          <w:rtl w:val="true"/>
        </w:rPr>
        <w:t>להבינו וליטול בו חלק פעיל</w:t>
      </w:r>
      <w:r>
        <w:rPr>
          <w:rtl w:val="true"/>
        </w:rPr>
        <w:t xml:space="preserve">, </w:t>
      </w:r>
      <w:r>
        <w:rPr>
          <w:rtl w:val="true"/>
        </w:rPr>
        <w:t>כמו גם להשיב לשאלות באופן קוהרנטי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מאחר שסוגיה זו היא ליבת הערעור</w:t>
      </w:r>
      <w:r>
        <w:rPr>
          <w:rtl w:val="true"/>
        </w:rPr>
        <w:t xml:space="preserve">, </w:t>
      </w:r>
      <w:r>
        <w:rPr>
          <w:rtl w:val="true"/>
        </w:rPr>
        <w:t>אתייחס לחוות הדעת אשר למעשה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tl w:val="true"/>
        </w:rPr>
        <w:t xml:space="preserve">, </w:t>
      </w:r>
      <w:r>
        <w:rPr>
          <w:rtl w:val="true"/>
        </w:rPr>
        <w:t>למעט זו שהוגשה מטעמו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מצאו כי המערער עמד ברף </w:t>
      </w:r>
      <w:r>
        <w:rPr>
          <w:rtl w:val="true"/>
        </w:rPr>
        <w:t>הנדרש</w:t>
      </w:r>
      <w:r>
        <w:rPr>
          <w:rtl w:val="true"/>
        </w:rPr>
        <w:t xml:space="preserve"> להוכחת אי כשירות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 xml:space="preserve">בית המשפט המחוזי בבוחנו </w:t>
      </w:r>
      <w:r>
        <w:rPr>
          <w:rtl w:val="true"/>
        </w:rPr>
        <w:t xml:space="preserve">סוגיה זו של </w:t>
      </w:r>
      <w:r>
        <w:rPr>
          <w:rtl w:val="true"/>
        </w:rPr>
        <w:t>הפסקת הליכים מחמת אי</w:t>
      </w:r>
      <w:r>
        <w:rPr>
          <w:rtl w:val="true"/>
        </w:rPr>
        <w:t>-</w:t>
      </w:r>
      <w:r>
        <w:rPr>
          <w:rtl w:val="true"/>
        </w:rPr>
        <w:t>כשירות לעמוד לדין</w:t>
      </w:r>
      <w:r>
        <w:rPr>
          <w:rtl w:val="true"/>
        </w:rPr>
        <w:t xml:space="preserve">, </w:t>
      </w:r>
      <w:r>
        <w:rPr>
          <w:rtl w:val="true"/>
        </w:rPr>
        <w:t>נדרש בהרחבה לשורה של חוות דעת פסיכיאטריות ועדויות</w:t>
      </w:r>
      <w:r>
        <w:rPr>
          <w:rtl w:val="true"/>
        </w:rPr>
        <w:t xml:space="preserve">, </w:t>
      </w:r>
      <w:r>
        <w:rPr>
          <w:rtl w:val="true"/>
        </w:rPr>
        <w:t>לרבות אלו שבחנו את מצבו של המערער לאורך תקופת מ</w:t>
      </w:r>
      <w:r>
        <w:rPr>
          <w:rtl w:val="true"/>
        </w:rPr>
        <w:t xml:space="preserve">עצרו </w:t>
      </w:r>
      <w:r>
        <w:rPr>
          <w:rtl w:val="true"/>
        </w:rPr>
        <w:t xml:space="preserve">ובמשך זמן ממושך ושהצביעו באופן מובהק על </w:t>
      </w:r>
      <w:r>
        <w:rPr>
          <w:rtl w:val="true"/>
        </w:rPr>
        <w:t>'</w:t>
      </w:r>
      <w:r>
        <w:rPr>
          <w:rtl w:val="true"/>
        </w:rPr>
        <w:t>תמונה</w:t>
      </w:r>
      <w:r>
        <w:rPr>
          <w:rtl w:val="true"/>
        </w:rPr>
        <w:t xml:space="preserve">' </w:t>
      </w:r>
      <w:r>
        <w:rPr>
          <w:rtl w:val="true"/>
        </w:rPr>
        <w:t>עדכנית ביחס למצבו הנפשי של המערער לאחר ביצוע העבירות</w:t>
      </w:r>
      <w:r>
        <w:rPr>
          <w:rtl w:val="true"/>
        </w:rPr>
        <w:t xml:space="preserve">. </w:t>
      </w:r>
      <w:r>
        <w:rPr>
          <w:rtl w:val="true"/>
        </w:rPr>
        <w:t>רק לאחר שהתרשם באופן בלתי אמצעי מהמומחים הרבים שהעידו בפניו</w:t>
      </w:r>
      <w:r>
        <w:rPr>
          <w:rtl w:val="true"/>
        </w:rPr>
        <w:t xml:space="preserve">, </w:t>
      </w:r>
      <w:r>
        <w:rPr>
          <w:rtl w:val="true"/>
        </w:rPr>
        <w:t>ואימץ את ממצאיהם ומסקנותיהם לפיהן המערער כשיר לעמוד לדין</w:t>
      </w:r>
      <w:r>
        <w:rPr>
          <w:rtl w:val="true"/>
        </w:rPr>
        <w:t xml:space="preserve">, </w:t>
      </w:r>
      <w:r>
        <w:rPr>
          <w:rtl w:val="true"/>
        </w:rPr>
        <w:t>העדיף את חוות הדעת מטעם הפסיכיאטר המחוזי על פני חוות הדעת מטעם המערער</w:t>
      </w:r>
      <w:r>
        <w:rPr>
          <w:rtl w:val="true"/>
        </w:rPr>
        <w:t xml:space="preserve">. </w:t>
      </w:r>
      <w:r>
        <w:rPr>
          <w:rtl w:val="true"/>
        </w:rPr>
        <w:t>במסקנתו זו של בית המשפט לא ראיתי מקום להתערב</w:t>
      </w:r>
      <w:r>
        <w:rPr>
          <w:rtl w:val="true"/>
        </w:rPr>
        <w:t xml:space="preserve">, </w:t>
      </w:r>
      <w:r>
        <w:rPr>
          <w:rtl w:val="true"/>
        </w:rPr>
        <w:t>כפי שאבאר כדלקמן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 xml:space="preserve">מנהל </w:t>
      </w:r>
      <w:r>
        <w:rPr>
          <w:rFonts w:ascii="Arial TUR;Arial" w:hAnsi="Arial TUR;Arial" w:cs="Arial TUR;Arial"/>
          <w:sz w:val="22"/>
          <w:sz w:val="22"/>
          <w:rtl w:val="true"/>
        </w:rPr>
        <w:t>המרכז הקהילתי לבריאות הנפש מזרח ירושלים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י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שוורצמן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שבדק את המערער בהתאם להחלטת בית המשפט המחוזי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ביום </w:t>
      </w:r>
      <w:r>
        <w:rPr>
          <w:rFonts w:cs="Arial TUR;Arial" w:ascii="Arial TUR;Arial" w:hAnsi="Arial TUR;Arial"/>
          <w:sz w:val="22"/>
        </w:rPr>
        <w:t>21.4.2019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בשפת אמו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ערבית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קבע כי המערער כשיר לעמוד לדין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ידע להבחין בין מותר ואסור והיה אחראי למעשיו בעת ביצועם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בניגוד לטענת בא</w:t>
      </w:r>
      <w:r>
        <w:rPr>
          <w:rFonts w:cs="Arial TUR;Arial" w:ascii="Arial TUR;Arial" w:hAnsi="Arial TUR;Arial"/>
          <w:sz w:val="22"/>
          <w:rtl w:val="true"/>
        </w:rPr>
        <w:t>-</w:t>
      </w:r>
      <w:r>
        <w:rPr>
          <w:rFonts w:ascii="Arial TUR;Arial" w:hAnsi="Arial TUR;Arial" w:cs="Arial TUR;Arial"/>
          <w:sz w:val="22"/>
          <w:sz w:val="22"/>
          <w:rtl w:val="true"/>
        </w:rPr>
        <w:t>כוח המערער על עברו הפסיכיאטרי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נמסר כי לא נמצא כל תיעוד על אודות עבר פסיכיאטרי של המערער</w:t>
      </w:r>
      <w:r>
        <w:rPr>
          <w:rFonts w:cs="Arial TUR;Arial" w:ascii="Arial TUR;Arial" w:hAnsi="Arial TUR;Arial"/>
          <w:sz w:val="22"/>
          <w:rtl w:val="true"/>
        </w:rPr>
        <w:t xml:space="preserve">. </w:t>
      </w:r>
      <w:r>
        <w:rPr>
          <w:rFonts w:ascii="Arial TUR;Arial" w:hAnsi="Arial TUR;Arial" w:cs="Arial TUR;Arial"/>
          <w:sz w:val="22"/>
          <w:sz w:val="22"/>
          <w:rtl w:val="true"/>
        </w:rPr>
        <w:t>בנוסף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לא נמצאו סימנים שיוריים למחלת הסכיזופרניה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בכלל זה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ירידה קשה ברמת התפקוד האישי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המשפחתי והתפקודי ותואר כי המערער 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הציג את גרסת האירועים המתוארים בכתב האישום קוהרנטית וללא ביטויים להפרעות בשיפוט</w:t>
      </w:r>
      <w:r>
        <w:rPr>
          <w:rFonts w:cs="Arial TUR;Arial" w:ascii="Arial TUR;Arial" w:hAnsi="Arial TUR;Arial"/>
          <w:sz w:val="22"/>
          <w:rtl w:val="true"/>
        </w:rPr>
        <w:t>".</w:t>
      </w:r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טוען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 לחוות הדעת של ד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שוורצמן אין תוקף מאחר שבחנה את כשירותו נכון ליום ביצוע העבירה</w:t>
      </w:r>
      <w:r>
        <w:rPr>
          <w:rtl w:val="true"/>
        </w:rPr>
        <w:t xml:space="preserve">, </w:t>
      </w:r>
      <w:r>
        <w:rPr>
          <w:rtl w:val="true"/>
        </w:rPr>
        <w:t>ולא בתקופה שלאחר מכן</w:t>
      </w:r>
      <w:r>
        <w:rPr>
          <w:rtl w:val="true"/>
        </w:rPr>
        <w:t xml:space="preserve">, </w:t>
      </w:r>
      <w:r>
        <w:rPr>
          <w:rtl w:val="true"/>
        </w:rPr>
        <w:t>וכי לא בוצע איסוף מידע ממשפחת המערער אודות עברו הנפשי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בפרק דיון ומסקנות בחוות דעתו של ד</w:t>
      </w:r>
      <w:r>
        <w:rPr>
          <w:rtl w:val="true"/>
        </w:rPr>
        <w:t>"</w:t>
      </w:r>
      <w:r>
        <w:rPr>
          <w:rtl w:val="true"/>
        </w:rPr>
        <w:t xml:space="preserve">ר שוורצמן קיימת התייחסות לכך תוך שצוין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בדיקה במקורות מידע במערכות בריאות הנפש לא נמצא כל תיעוד על אודות עבר פסיכיאטרי של </w:t>
      </w:r>
      <w:r>
        <w:rPr>
          <w:rtl w:val="true"/>
        </w:rPr>
        <w:t>מר רפאעיה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המערער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>)</w:t>
      </w:r>
      <w:r>
        <w:rPr>
          <w:rtl w:val="true"/>
        </w:rPr>
        <w:t xml:space="preserve">. 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 ממש בטענת המשיבה כי לא נמצאו עדויות לסימפטומים פסיכוטיים בעברו של המערער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שיחה עם בני משפחתו של המערער</w:t>
      </w:r>
      <w:r>
        <w:rPr>
          <w:rtl w:val="true"/>
        </w:rPr>
        <w:t xml:space="preserve">, </w:t>
      </w:r>
      <w:r>
        <w:rPr>
          <w:rtl w:val="true"/>
        </w:rPr>
        <w:t>כעולה מחוות הדעת מטעם הפסיכיאטר המחוזי</w:t>
      </w:r>
      <w:r>
        <w:rPr>
          <w:rtl w:val="true"/>
        </w:rPr>
        <w:t xml:space="preserve">, </w:t>
      </w:r>
      <w:r>
        <w:rPr>
          <w:rtl w:val="true"/>
        </w:rPr>
        <w:t>העלתה כי זה לא אובחן כסובל מבעיה נפשית ולא הומלץ על טיפול</w:t>
      </w:r>
      <w:r>
        <w:rPr>
          <w:rtl w:val="true"/>
        </w:rPr>
        <w:t xml:space="preserve">, </w:t>
      </w:r>
      <w:r>
        <w:rPr>
          <w:rtl w:val="true"/>
        </w:rPr>
        <w:t xml:space="preserve">אף לאחר שזה איים </w:t>
      </w:r>
      <w:r>
        <w:rPr>
          <w:rtl w:val="true"/>
        </w:rPr>
        <w:t xml:space="preserve">בעבר </w:t>
      </w:r>
      <w:r>
        <w:rPr>
          <w:rtl w:val="true"/>
        </w:rPr>
        <w:t>כי ישתה ואף ניסה לשתות רעל נגד יתושים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cs="Arial TUR;Arial" w:ascii="Arial TUR;Arial" w:hAnsi="Arial TUR;Arial"/>
        </w:rPr>
        <w:t>40</w:t>
      </w:r>
      <w:r>
        <w:rPr>
          <w:rFonts w:cs="Arial TUR;Arial" w:ascii="Arial TUR;Arial" w:hAnsi="Arial TUR;Arial"/>
          <w:rtl w:val="true"/>
        </w:rPr>
        <w:t>.</w:t>
        <w:tab/>
      </w:r>
      <w:r>
        <w:rPr>
          <w:rFonts w:ascii="Arial TUR;Arial" w:hAnsi="Arial TUR;Arial" w:cs="Arial TUR;Arial"/>
          <w:rtl w:val="true"/>
        </w:rPr>
        <w:t xml:space="preserve">יודגש כי </w:t>
      </w:r>
      <w:r>
        <w:rPr>
          <w:rFonts w:ascii="Arial TUR;Arial" w:hAnsi="Arial TUR;Arial" w:cs="Arial TUR;Arial"/>
          <w:rtl w:val="true"/>
        </w:rPr>
        <w:t>מאחר שבחוות הדעת מטע</w:t>
      </w:r>
      <w:r>
        <w:rPr>
          <w:rFonts w:ascii="Arial TUR;Arial" w:hAnsi="Arial TUR;Arial" w:cs="Arial TUR;Arial"/>
          <w:rtl w:val="true"/>
        </w:rPr>
        <w:t>ם</w:t>
      </w:r>
      <w:r>
        <w:rPr>
          <w:rFonts w:ascii="Arial TUR;Arial" w:hAnsi="Arial TUR;Arial" w:cs="Arial TUR;Arial"/>
          <w:rtl w:val="true"/>
        </w:rPr>
        <w:t xml:space="preserve"> המערער שהוגשה ביום </w:t>
      </w:r>
      <w:r>
        <w:rPr>
          <w:rFonts w:cs="Arial TUR;Arial" w:ascii="Arial TUR;Arial" w:hAnsi="Arial TUR;Arial"/>
        </w:rPr>
        <w:t>21.12.2020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של  ד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ר מוחמד אל</w:t>
      </w:r>
      <w:r>
        <w:rPr>
          <w:rFonts w:cs="Arial TUR;Arial" w:ascii="Arial TUR;Arial" w:hAnsi="Arial TUR;Arial"/>
          <w:rtl w:val="true"/>
        </w:rPr>
        <w:t>-</w:t>
      </w:r>
      <w:r>
        <w:rPr>
          <w:rFonts w:ascii="Arial TUR;Arial" w:hAnsi="Arial TUR;Arial" w:cs="Arial TUR;Arial"/>
          <w:rtl w:val="true"/>
        </w:rPr>
        <w:t>כוואג</w:t>
      </w:r>
      <w:r>
        <w:rPr>
          <w:rFonts w:cs="Arial TUR;Arial" w:ascii="Arial TUR;Arial" w:hAnsi="Arial TUR;Arial"/>
          <w:rtl w:val="true"/>
        </w:rPr>
        <w:t>'</w:t>
      </w:r>
      <w:r>
        <w:rPr>
          <w:rFonts w:ascii="Arial TUR;Arial" w:hAnsi="Arial TUR;Arial" w:cs="Arial TUR;Arial"/>
          <w:rtl w:val="true"/>
        </w:rPr>
        <w:t>ה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נטען </w:t>
      </w:r>
      <w:r>
        <w:rPr>
          <w:rtl w:val="true"/>
        </w:rPr>
        <w:t>כי המערער סובל ממחלה נפשית</w:t>
      </w:r>
      <w:r>
        <w:rPr>
          <w:rtl w:val="true"/>
        </w:rPr>
        <w:t xml:space="preserve">, </w:t>
      </w:r>
      <w:r>
        <w:rPr>
          <w:rtl w:val="true"/>
        </w:rPr>
        <w:t xml:space="preserve">בעל תפיסת מציאות </w:t>
      </w:r>
      <w:r>
        <w:rPr>
          <w:rtl w:val="true"/>
        </w:rPr>
        <w:t>"</w:t>
      </w:r>
      <w:r>
        <w:rPr>
          <w:rtl w:val="true"/>
        </w:rPr>
        <w:t>דלה</w:t>
      </w:r>
      <w:r>
        <w:rPr>
          <w:rtl w:val="true"/>
        </w:rPr>
        <w:t xml:space="preserve">" </w:t>
      </w:r>
      <w:r>
        <w:rPr>
          <w:rtl w:val="true"/>
        </w:rPr>
        <w:t>והוא אינו כשיר לעמוד לדין</w:t>
      </w:r>
      <w:r>
        <w:rPr>
          <w:rtl w:val="true"/>
        </w:rPr>
        <w:t xml:space="preserve">, </w:t>
      </w:r>
      <w:r>
        <w:rPr>
          <w:rtl w:val="true"/>
        </w:rPr>
        <w:t>ולנוכח חוות הדעת המנוגדות וחוסר ההסכמה המקצועית בין המומחים</w:t>
      </w:r>
      <w:r>
        <w:rPr>
          <w:rtl w:val="true"/>
        </w:rPr>
        <w:t xml:space="preserve">, </w:t>
      </w:r>
      <w:r>
        <w:rPr>
          <w:rtl w:val="true"/>
        </w:rPr>
        <w:t>הורה בית המשפט לפסיכיאטר המחוזי להמציא חוות דעת מעודכנת בעניינו של המערער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142" w:end="0"/>
        <w:jc w:val="both"/>
        <w:rPr>
          <w:rFonts w:ascii="Arial TUR;Arial" w:hAnsi="Arial TUR;Arial" w:cs="Arial TUR;Arial"/>
        </w:rPr>
      </w:pPr>
      <w:r>
        <w:rPr>
          <w:rFonts w:cs="Arial TUR;Arial" w:ascii="Arial TUR;Arial" w:hAnsi="Arial TUR;Arial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Arial TUR;Arial" w:hAnsi="Arial TUR;Arial" w:cs="Arial TUR;Arial"/>
        </w:rPr>
      </w:pPr>
      <w:r>
        <w:rPr>
          <w:rFonts w:cs="Arial TUR;Arial" w:ascii="Arial TUR;Arial" w:hAnsi="Arial TUR;Arial"/>
        </w:rPr>
        <w:t>41</w:t>
      </w:r>
      <w:r>
        <w:rPr>
          <w:rFonts w:cs="Arial TUR;Arial" w:ascii="Arial TUR;Arial" w:hAnsi="Arial TUR;Arial"/>
          <w:rtl w:val="true"/>
        </w:rPr>
        <w:t>.</w:t>
        <w:tab/>
      </w:r>
      <w:r>
        <w:rPr>
          <w:rFonts w:ascii="Arial TUR;Arial" w:hAnsi="Arial TUR;Arial" w:cs="Arial TUR;Arial"/>
          <w:rtl w:val="true"/>
        </w:rPr>
        <w:t>אולם גם אז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כאשר ביום </w:t>
      </w:r>
      <w:r>
        <w:rPr>
          <w:rFonts w:cs="Arial TUR;Arial" w:ascii="Arial TUR;Arial" w:hAnsi="Arial TUR;Arial"/>
        </w:rPr>
        <w:t>9.2.2021</w:t>
      </w:r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נבדק המערער על ידי סגן הפסיכיאטר המחוזי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ד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 xml:space="preserve">ר </w:t>
      </w:r>
      <w:r>
        <w:rPr>
          <w:rFonts w:ascii="Arial TUR;Arial" w:hAnsi="Arial TUR;Arial" w:cs="Arial TUR;Arial"/>
          <w:rtl w:val="true"/>
        </w:rPr>
        <w:t>סעיד מוסא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זה קבע בחוות דעתו כי לנוכח שיתוף פעולה מוגבל מאוד של המערער כשלעתים התקבל רושם להתנהגות מגמתית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נדרשת הסתכלות בתנאי אשפוז על מנת לבצע תצפית על התנהגותו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לבצע בדיקות נוספות ולהשיג את מלוא החומר הרפואי הרלבנטי מכל המקורות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כולל עיון בחומרי חקירה ואיסוף מידע נלווה מהמשפחה ומהפסיכיאטר שטיפל בו בעבר</w:t>
      </w:r>
      <w:r>
        <w:rPr>
          <w:rFonts w:cs="Arial TUR;Arial" w:ascii="Arial TUR;Arial" w:hAnsi="Arial TUR;Arial"/>
          <w:rtl w:val="true"/>
        </w:rPr>
        <w:t xml:space="preserve">. </w:t>
      </w:r>
      <w:r>
        <w:rPr>
          <w:rFonts w:ascii="Arial TUR;Arial" w:hAnsi="Arial TUR;Arial" w:cs="Arial TUR;Arial"/>
          <w:rtl w:val="true"/>
        </w:rPr>
        <w:t>משמע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גם בשלב זה לא אובחנה אי כשירות</w:t>
      </w:r>
      <w:r>
        <w:rPr>
          <w:rFonts w:cs="Arial TUR;Arial" w:ascii="Arial TUR;Arial" w:hAnsi="Arial TUR;Arial"/>
          <w:rtl w:val="true"/>
        </w:rPr>
        <w:t>,</w:t>
      </w:r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אלא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נכתב כי </w:t>
      </w:r>
      <w:r>
        <w:rPr>
          <w:rFonts w:ascii="Arial TUR;Arial" w:hAnsi="Arial TUR;Arial" w:cs="Arial TUR;Arial"/>
          <w:rtl w:val="true"/>
        </w:rPr>
        <w:t>עקב שיתוף פעולה דל של המערער נדרשה הסתכלות</w:t>
      </w:r>
      <w:r>
        <w:rPr>
          <w:rFonts w:cs="Arial TUR;Arial" w:ascii="Arial TUR;Arial" w:hAnsi="Arial TUR;Arial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142" w:end="0"/>
        <w:jc w:val="both"/>
        <w:rPr>
          <w:rFonts w:ascii="Arial TUR;Arial" w:hAnsi="Arial TUR;Arial" w:cs="Arial TUR;Arial"/>
        </w:rPr>
      </w:pPr>
      <w:r>
        <w:rPr>
          <w:rFonts w:cs="Arial TUR;Arial" w:ascii="Arial TUR;Arial" w:hAnsi="Arial TUR;Arial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 xml:space="preserve">בעקבות החלטת בית המשפט המחוזי על בדיקת המערער במסגרת הסתכלות לפי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בחולי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</w:t>
        </w:r>
      </w:hyperlink>
      <w:r>
        <w:rPr>
          <w:rtl w:val="true"/>
        </w:rPr>
        <w:t xml:space="preserve">, </w:t>
      </w:r>
      <w:r>
        <w:rPr>
          <w:rtl w:val="true"/>
        </w:rPr>
        <w:t>הומצאה לבית המשפט חוות דעת פסיכיאטרית נוספת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/>
        <w:t>18.3.21</w:t>
      </w:r>
      <w:r>
        <w:rPr>
          <w:rtl w:val="true"/>
        </w:rPr>
        <w:t xml:space="preserve">, </w:t>
      </w:r>
      <w:r>
        <w:rPr>
          <w:rtl w:val="true"/>
        </w:rPr>
        <w:t xml:space="preserve">של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י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נחמקין</w:t>
      </w:r>
      <w:r>
        <w:rPr>
          <w:rFonts w:ascii="Miriam" w:hAnsi="Miriam" w:cs="Miriam"/>
          <w:szCs w:val="24"/>
          <w:rtl w:val="true"/>
        </w:rPr>
        <w:t xml:space="preserve"> </w:t>
      </w:r>
      <w:r>
        <w:rPr>
          <w:rtl w:val="true"/>
        </w:rPr>
        <w:t>מטעם הפסיכיאטר המחוזי  ולפיה המערער לא שיתף פעולה בתקופת ההסתכלות</w:t>
      </w:r>
      <w:r>
        <w:rPr>
          <w:rtl w:val="true"/>
        </w:rPr>
        <w:t xml:space="preserve">, </w:t>
      </w:r>
      <w:r>
        <w:rPr>
          <w:rtl w:val="true"/>
        </w:rPr>
        <w:t>אולם דיבר כשהיה זקוק ל</w:t>
      </w:r>
      <w:r>
        <w:rPr>
          <w:rtl w:val="true"/>
        </w:rPr>
        <w:t>דבר מה</w:t>
      </w:r>
      <w:r>
        <w:rPr>
          <w:rtl w:val="true"/>
        </w:rPr>
        <w:t xml:space="preserve"> ואף שיתף פעולה בדרך למוסד</w:t>
      </w:r>
      <w:r>
        <w:rPr>
          <w:rtl w:val="true"/>
        </w:rPr>
        <w:t xml:space="preserve">, </w:t>
      </w:r>
      <w:r>
        <w:rPr>
          <w:rtl w:val="true"/>
        </w:rPr>
        <w:t>אך הפסיק כשנכנס למחלקה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מחוות דעת זו של ד</w:t>
      </w:r>
      <w:r>
        <w:rPr>
          <w:rtl w:val="true"/>
        </w:rPr>
        <w:t>"</w:t>
      </w:r>
      <w:r>
        <w:rPr>
          <w:rtl w:val="true"/>
        </w:rPr>
        <w:t>ר נחמקין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18.3.2021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אותה תוקף בא כוחו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עולה כי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שהייתו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במחלקה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נצפתה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מוזרה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כשפנו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כשנאמר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שהשיחה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הסתיימה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ולצאת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מהחדר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בכוחות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ויצא</w:t>
      </w:r>
      <w:r>
        <w:rPr>
          <w:rtl w:val="true"/>
        </w:rPr>
        <w:t xml:space="preserve">" </w:t>
      </w:r>
      <w:r>
        <w:rPr>
          <w:rtl w:val="true"/>
        </w:rPr>
        <w:t xml:space="preserve">וכן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מטופלים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ולבקש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מהסוהרים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מכוונת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מגמתית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במוטיזם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)</w:t>
      </w:r>
      <w:r>
        <w:rPr>
          <w:rFonts w:cs="Miriam" w:ascii="Miriam" w:hAnsi="Miriam"/>
          <w:szCs w:val="24"/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 xml:space="preserve">בנוסף נקבע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שיתוף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מוחלט</w:t>
      </w:r>
      <w:r>
        <w:rPr>
          <w:rtl w:val="true"/>
        </w:rPr>
        <w:t xml:space="preserve">" </w:t>
      </w:r>
      <w:r>
        <w:rPr>
          <w:rtl w:val="true"/>
        </w:rPr>
        <w:t xml:space="preserve">מצד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נבדק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וקיבל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התייחסות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שנכתבה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- </w:t>
      </w:r>
      <w:r>
        <w:rPr>
          <w:rFonts w:cs="Miriam" w:ascii="Century" w:hAnsi="Century"/>
          <w:b/>
          <w:spacing w:val="0"/>
          <w:sz w:val="22"/>
          <w:szCs w:val="24"/>
        </w:rPr>
        <w:t>5.5.2019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tl w:val="true"/>
        </w:rPr>
        <w:t xml:space="preserve">" </w:t>
      </w:r>
      <w:r>
        <w:rPr>
          <w:rtl w:val="true"/>
        </w:rPr>
        <w:t xml:space="preserve">ולבסוף סוכם כי המערער לא אובחן כסובל ממחלת נפש  </w:t>
      </w:r>
      <w:r>
        <w:rPr>
          <w:rtl w:val="true"/>
        </w:rPr>
        <w:t>בהתאם ל</w:t>
      </w:r>
      <w:r>
        <w:rPr>
          <w:rtl w:val="true"/>
        </w:rPr>
        <w:t>הגדרות משפטיות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במצבו הנפשי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כשיר לעמוד לדין וכן לא זקוק לטיפול במסגרת אשפוז פסיכיאטרי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באשר לטענת ב</w:t>
      </w:r>
      <w:r>
        <w:rPr>
          <w:rtl w:val="true"/>
        </w:rPr>
        <w:t>"</w:t>
      </w:r>
      <w:r>
        <w:rPr>
          <w:rtl w:val="true"/>
        </w:rPr>
        <w:t>כ המערער לפיה ד</w:t>
      </w:r>
      <w:r>
        <w:rPr>
          <w:rtl w:val="true"/>
        </w:rPr>
        <w:t>"</w:t>
      </w:r>
      <w:r>
        <w:rPr>
          <w:rtl w:val="true"/>
        </w:rPr>
        <w:t>ר נחמקין ס</w:t>
      </w:r>
      <w:r>
        <w:rPr>
          <w:rtl w:val="true"/>
        </w:rPr>
        <w:t>י</w:t>
      </w:r>
      <w:r>
        <w:rPr>
          <w:rtl w:val="true"/>
        </w:rPr>
        <w:t>רב להתייחס לאמור בחוות הדעת שהוגשה מטעם ההגנה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נחמקין השיב כי חוות דעתו התבססה על מידע רב ומבוססת</w:t>
      </w:r>
      <w:r>
        <w:rPr>
          <w:rtl w:val="true"/>
        </w:rPr>
        <w:t xml:space="preserve">, </w:t>
      </w:r>
      <w:r>
        <w:rPr>
          <w:rtl w:val="true"/>
        </w:rPr>
        <w:t>ולעומת זאת</w:t>
      </w:r>
      <w:r>
        <w:rPr>
          <w:rtl w:val="true"/>
        </w:rPr>
        <w:t xml:space="preserve">,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אין רישיון רפואה ישראלי</w:t>
      </w:r>
      <w:r>
        <w:rPr>
          <w:rtl w:val="true"/>
        </w:rPr>
        <w:t xml:space="preserve">, </w:t>
      </w:r>
      <w:r>
        <w:rPr>
          <w:rtl w:val="true"/>
        </w:rPr>
        <w:t>כך שלמעשה הטענה לפיה ד</w:t>
      </w:r>
      <w:r>
        <w:rPr>
          <w:rtl w:val="true"/>
        </w:rPr>
        <w:t>"</w:t>
      </w:r>
      <w:r>
        <w:rPr>
          <w:rtl w:val="true"/>
        </w:rPr>
        <w:t>ר נחמקין לא סתר את הממצאים שבחוות דעת ההגנה</w:t>
      </w:r>
      <w:r>
        <w:rPr>
          <w:rtl w:val="true"/>
        </w:rPr>
        <w:t xml:space="preserve">, </w:t>
      </w:r>
      <w:r>
        <w:rPr>
          <w:rtl w:val="true"/>
        </w:rPr>
        <w:t>גם בה אין כדי לסייע למערער משהלה לא ראה לנכון להתייחס אליה מעבר לכך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 xml:space="preserve">כי שורה של מומחים </w:t>
      </w:r>
      <w:r>
        <w:rPr>
          <w:rtl w:val="true"/>
        </w:rPr>
        <w:t>ש</w:t>
      </w:r>
      <w:r>
        <w:rPr>
          <w:rtl w:val="true"/>
        </w:rPr>
        <w:t>בדקו את המערער מטעם הפסיכיאטר המחוזי סברו כי הלה כשיר לעמוד לדין</w:t>
      </w:r>
      <w:r>
        <w:rPr>
          <w:rtl w:val="true"/>
        </w:rPr>
        <w:t xml:space="preserve">, </w:t>
      </w:r>
      <w:r>
        <w:rPr>
          <w:rtl w:val="true"/>
        </w:rPr>
        <w:t>וזאת אף אם נקבל את טענת המערער כי הבדיקות שבוצעו לו על ידי רופאי שירות בתי הסוהר נועדו אך ורק על מנת לוודא שאינו נדרש לטיפול</w:t>
      </w:r>
      <w:r>
        <w:rPr>
          <w:rtl w:val="true"/>
        </w:rPr>
        <w:t xml:space="preserve">, </w:t>
      </w:r>
      <w:r>
        <w:rPr>
          <w:rtl w:val="true"/>
        </w:rPr>
        <w:t>ואינן למטרה משפטית</w:t>
      </w:r>
      <w:r>
        <w:rPr>
          <w:rtl w:val="true"/>
        </w:rPr>
        <w:t xml:space="preserve">, </w:t>
      </w:r>
      <w:r>
        <w:rPr>
          <w:rtl w:val="true"/>
        </w:rPr>
        <w:t>אם כי אין הדבר כך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>הפסיכיאטר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רם כמין</w:t>
      </w:r>
      <w:r>
        <w:rPr>
          <w:rtl w:val="true"/>
        </w:rPr>
        <w:t xml:space="preserve">, </w:t>
      </w:r>
      <w:r>
        <w:rPr>
          <w:rtl w:val="true"/>
        </w:rPr>
        <w:t>שבדק את המערער ארבע פעמים ציין כי כששאל את המערער על אובדנות זה השיב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 xml:space="preserve">בעבר </w:t>
      </w:r>
      <w:r>
        <w:rPr>
          <w:rtl w:val="true"/>
        </w:rPr>
        <w:t xml:space="preserve">לא באמת ניסה להתאבד </w:t>
      </w:r>
      <w:r>
        <w:rPr>
          <w:rtl w:val="true"/>
        </w:rPr>
        <w:t>על ידי  בליעת רעל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>
          <w:rtl w:val="true"/>
        </w:rPr>
        <w:t>שלמעשה הציעו לו לומר את הדברים על מנת שאולי יסייעו לשחרורו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מסיכומי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בהיסוס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"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Century" w:hAnsi="Century" w:cs="Century"/>
          <w:color w:val="C00000"/>
        </w:rPr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 xml:space="preserve">עיון בחוות הדעת הפסיכיאטרית מיום </w:t>
      </w:r>
      <w:r>
        <w:rPr/>
        <w:t>18.3.2021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נחמקין</w:t>
      </w:r>
      <w:r>
        <w:rPr>
          <w:rtl w:val="true"/>
        </w:rPr>
        <w:t xml:space="preserve">, </w:t>
      </w:r>
      <w:r>
        <w:rPr>
          <w:rtl w:val="true"/>
        </w:rPr>
        <w:t>במהלך אשפוזו של המערער במרכז לבריאות הנפש</w:t>
      </w:r>
      <w:r>
        <w:rPr>
          <w:rtl w:val="true"/>
        </w:rPr>
        <w:t xml:space="preserve"> </w:t>
      </w:r>
      <w:r>
        <w:rPr>
          <w:rtl w:val="true"/>
        </w:rPr>
        <w:t>שער מנשה במסגרת צו הסתכלות</w:t>
      </w:r>
      <w:r>
        <w:rPr>
          <w:rtl w:val="true"/>
        </w:rPr>
        <w:t xml:space="preserve">, </w:t>
      </w:r>
      <w:r>
        <w:rPr>
          <w:rtl w:val="true"/>
        </w:rPr>
        <w:t xml:space="preserve">בה נקבע כי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ממחלת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וכשיר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לדין</w:t>
      </w:r>
      <w:r>
        <w:rPr>
          <w:rtl w:val="true"/>
        </w:rPr>
        <w:t xml:space="preserve">", </w:t>
      </w:r>
      <w:r>
        <w:rPr>
          <w:rtl w:val="true"/>
        </w:rPr>
        <w:t>מעלה כי אחיו ואימו של המערער מסרו פרטים אודותיו בשיחה שהתקיימה עמם בשפה הערבית</w:t>
      </w:r>
      <w:r>
        <w:rPr>
          <w:rtl w:val="true"/>
        </w:rPr>
        <w:t xml:space="preserve">; </w:t>
      </w:r>
      <w:r>
        <w:rPr>
          <w:rtl w:val="true"/>
        </w:rPr>
        <w:t>המערער למד שש שנות לימוד בבית הספר</w:t>
      </w:r>
      <w:r>
        <w:rPr>
          <w:rtl w:val="true"/>
        </w:rPr>
        <w:t xml:space="preserve">, </w:t>
      </w:r>
      <w:r>
        <w:rPr>
          <w:rtl w:val="true"/>
        </w:rPr>
        <w:t>לא גילה עניין בלימודים</w:t>
      </w:r>
      <w:r>
        <w:rPr>
          <w:rtl w:val="true"/>
        </w:rPr>
        <w:t xml:space="preserve"> </w:t>
      </w:r>
      <w:r>
        <w:rPr>
          <w:rtl w:val="true"/>
        </w:rPr>
        <w:t xml:space="preserve"> ונשר</w:t>
      </w:r>
      <w:r>
        <w:rPr>
          <w:rtl w:val="true"/>
        </w:rPr>
        <w:t xml:space="preserve">,  </w:t>
      </w:r>
      <w:r>
        <w:rPr>
          <w:rtl w:val="true"/>
        </w:rPr>
        <w:t>פעמים רבות היה נעלם ומשוטט כולל באזור רמאללה</w:t>
      </w:r>
      <w:r>
        <w:rPr>
          <w:rtl w:val="true"/>
        </w:rPr>
        <w:t xml:space="preserve">, </w:t>
      </w:r>
      <w:r>
        <w:rPr>
          <w:rtl w:val="true"/>
        </w:rPr>
        <w:t>ישן במסגדים וכשחזר הוכה על ידי אחיו מכיוון שהמשפחה דאגה לו וחיפשה אותו</w:t>
      </w:r>
      <w:r>
        <w:rPr>
          <w:rtl w:val="true"/>
        </w:rPr>
        <w:t xml:space="preserve">; </w:t>
      </w:r>
      <w:r>
        <w:rPr>
          <w:rtl w:val="true"/>
        </w:rPr>
        <w:t xml:space="preserve">באחת הפעמים לאחר שהוכה איים וניסה לשתות רעל נגד יתושים אולם רופא פסיכיאטר בשטחי הרשות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המליץ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 כן</w:t>
      </w:r>
      <w:r>
        <w:rPr>
          <w:rtl w:val="true"/>
        </w:rPr>
        <w:t xml:space="preserve"> גם הטענה בעניין עברו הרפואי של המערער והעדר קבלת מידע מהמשפחה – דינה 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color w:val="C00000"/>
        </w:rPr>
      </w:pPr>
      <w:r>
        <w:rPr>
          <w:rFonts w:cs="Century" w:ascii="Century" w:hAnsi="Century"/>
          <w:color w:val="C00000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47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וליה אפלבאום</w:t>
      </w:r>
      <w:r>
        <w:rPr>
          <w:rtl w:val="true"/>
        </w:rPr>
        <w:t xml:space="preserve">, </w:t>
      </w:r>
      <w:r>
        <w:rPr>
          <w:rtl w:val="true"/>
        </w:rPr>
        <w:t>פסיכיאטרית מומחית שבדקה את המערער כשבועיים לאחר מתן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25.6.2020</w:t>
      </w:r>
      <w:r>
        <w:rPr>
          <w:rtl w:val="true"/>
        </w:rPr>
        <w:t xml:space="preserve">, </w:t>
      </w:r>
      <w:r>
        <w:rPr>
          <w:rtl w:val="true"/>
        </w:rPr>
        <w:t xml:space="preserve">אף היא לא מצאה אצל המערער עדות לסימנים פתולוגיים וציינה כי בבדיקה מלווה בתרגום לערבית המערער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תלונות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מחשבות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בעצמו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פסיכוטי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פעיל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אפלבאום העידה כי סימפטום בודד אין בו כדי להצביע על מחלת נפש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שללה סכיזופרניה וציינה כי ניסיון אובדני אינו קריטריון לסכיזופרניה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Miriam" w:hAnsi="Miriam" w:cs="Miriam"/>
          <w:szCs w:val="24"/>
        </w:rPr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Fonts w:ascii="Century" w:hAnsi="Century" w:cs="Century"/>
          <w:sz w:val="22"/>
          <w:sz w:val="22"/>
          <w:rtl w:val="true"/>
        </w:rPr>
        <w:t>ג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וזיף פרח</w:t>
      </w:r>
      <w:r>
        <w:rPr>
          <w:rtl w:val="true"/>
        </w:rPr>
        <w:t xml:space="preserve"> אשר בדק את המערער במועד קרוב טרם הודאתו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17.3.2020</w:t>
      </w:r>
      <w:r>
        <w:rPr>
          <w:rtl w:val="true"/>
        </w:rPr>
        <w:t xml:space="preserve">, </w:t>
      </w:r>
      <w:r>
        <w:rPr>
          <w:rtl w:val="true"/>
        </w:rPr>
        <w:t>התרשם כי הלה אינו במצב פסיכוטי או במחשבות שווא</w:t>
      </w:r>
      <w:r>
        <w:rPr>
          <w:rtl w:val="true"/>
        </w:rPr>
        <w:t xml:space="preserve">, </w:t>
      </w:r>
      <w:r>
        <w:rPr>
          <w:rtl w:val="true"/>
        </w:rPr>
        <w:t>וכלשונו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פסיכוטיים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סימני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דיכאון</w:t>
      </w:r>
      <w:r>
        <w:rPr>
          <w:rFonts w:cs="Miriam" w:ascii="Miriam" w:hAnsi="Miriam"/>
          <w:szCs w:val="24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Miriam" w:hAnsi="Miriam" w:cs="Miriam"/>
          <w:szCs w:val="24"/>
        </w:rPr>
      </w:pPr>
      <w:r>
        <w:rPr>
          <w:rFonts w:cs="Miriam" w:ascii="Miriam" w:hAnsi="Miriam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אולג שומייקו</w:t>
      </w:r>
      <w:r>
        <w:rPr>
          <w:rtl w:val="true"/>
        </w:rPr>
        <w:t xml:space="preserve">, </w:t>
      </w:r>
      <w:r>
        <w:rPr>
          <w:rtl w:val="true"/>
        </w:rPr>
        <w:t>פסיכיאטר</w:t>
      </w:r>
      <w:r>
        <w:rPr>
          <w:rtl w:val="true"/>
        </w:rPr>
        <w:t xml:space="preserve">, </w:t>
      </w:r>
      <w:r>
        <w:rPr>
          <w:rtl w:val="true"/>
        </w:rPr>
        <w:t>אף הוא לא התרשם מקיומם של סימפטומים מהותיים שיש בהם להצביע על מצב פסיכוטי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מבדיקה שערך למערער ביום </w:t>
      </w:r>
      <w:r>
        <w:rPr/>
        <w:t>29.6.21</w:t>
      </w:r>
      <w:r>
        <w:rPr>
          <w:rtl w:val="true"/>
        </w:rPr>
        <w:t xml:space="preserve"> </w:t>
      </w:r>
      <w:r>
        <w:rPr>
          <w:rtl w:val="true"/>
        </w:rPr>
        <w:t xml:space="preserve">עלה כי המערער לא שיתף פעולה אך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יוצר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תנועות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הוראותיי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התרשמות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הזייתי</w:t>
      </w:r>
      <w:r>
        <w:rPr>
          <w:rFonts w:ascii="Miriam" w:hAnsi="Miriam" w:cs="Miriam"/>
          <w:szCs w:val="24"/>
          <w:rtl w:val="true"/>
        </w:rPr>
        <w:t>ת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בנוסף לא הומלץ על השגחה פסיכיאטרית או טיפול תרופתי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color w:val="C00000"/>
        </w:rPr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עסקינן בבדיקות שבוצעו למערער לאורך תקופה ארוכה מאוד</w:t>
      </w:r>
      <w:r>
        <w:rPr>
          <w:rtl w:val="true"/>
        </w:rPr>
        <w:t xml:space="preserve">, </w:t>
      </w:r>
      <w:r>
        <w:rPr>
          <w:rtl w:val="true"/>
        </w:rPr>
        <w:t xml:space="preserve">במהלכה </w:t>
      </w:r>
      <w:r>
        <w:rPr>
          <w:rFonts w:ascii="Century" w:hAnsi="Century" w:cs="Century"/>
          <w:sz w:val="22"/>
          <w:sz w:val="22"/>
          <w:rtl w:val="true"/>
        </w:rPr>
        <w:t>נבדק על ידי מומחים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רבים</w:t>
      </w:r>
      <w:r>
        <w:rPr>
          <w:rtl w:val="true"/>
        </w:rPr>
        <w:t xml:space="preserve"> מתחום הפסיכיאטריה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איש מהמומחים שבדקו את המערער לא הגיע למסקנה כי הלה נמצא במצב פסיכוטי</w:t>
      </w:r>
      <w:r>
        <w:rPr>
          <w:rtl w:val="true"/>
        </w:rPr>
        <w:t xml:space="preserve">, </w:t>
      </w:r>
      <w:r>
        <w:rPr>
          <w:rtl w:val="true"/>
        </w:rPr>
        <w:t>כי מתקיים בו צירוף סימפטומים המובילים למסקנה כי הוא חולה בנפשו וכי אינו כשיר לעמוד לדין</w:t>
      </w:r>
      <w:r>
        <w:rPr>
          <w:rtl w:val="true"/>
        </w:rPr>
        <w:t xml:space="preserve">, </w:t>
      </w:r>
      <w:r>
        <w:rPr>
          <w:rtl w:val="true"/>
        </w:rPr>
        <w:t>ואף איש מהמומחים לא שוכנע ההיפך וחזר בו לאחר מכן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  <w:color w:val="C00000"/>
        </w:rPr>
      </w:pPr>
      <w:r>
        <w:rPr>
          <w:rFonts w:cs="Century" w:ascii="Century" w:hAnsi="Century"/>
          <w:color w:val="C00000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המומחה מטעם המערער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ד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ר אל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כוואג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tl w:val="true"/>
        </w:rPr>
        <w:t xml:space="preserve"> פגש בו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 וזאת לפרקי זמן קצרים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יש בכך כדי להשליך על חולשת חוות הדעת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כאשר בית המשפט נדרש להעריך את מהימנותה של חוות דעת וקביעת משקלה</w:t>
      </w:r>
      <w:r>
        <w:rPr>
          <w:rtl w:val="true"/>
        </w:rPr>
        <w:t xml:space="preserve">, </w:t>
      </w:r>
      <w:r>
        <w:rPr>
          <w:rtl w:val="true"/>
        </w:rPr>
        <w:t>עליו לבחון את התשתית העובדתית המצויה ביסודה ואת מידת מקצועיותו של ההליך שהוביל לחיבורה של חוות הדעת</w:t>
      </w:r>
      <w:r>
        <w:rPr>
          <w:rtl w:val="true"/>
        </w:rPr>
        <w:t xml:space="preserve">. </w:t>
      </w:r>
      <w:r>
        <w:rPr>
          <w:rtl w:val="true"/>
        </w:rPr>
        <w:t>בהיבט זה אני סבור כי בדיקתו של המערער על ידי המומחה מטעמו</w:t>
      </w:r>
      <w:r>
        <w:rPr>
          <w:rtl w:val="true"/>
        </w:rPr>
        <w:t xml:space="preserve">, </w:t>
      </w:r>
      <w:r>
        <w:rPr>
          <w:rtl w:val="true"/>
        </w:rPr>
        <w:t xml:space="preserve">לפרקי זמן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דקות בלבד</w:t>
      </w:r>
      <w:r>
        <w:rPr>
          <w:rtl w:val="true"/>
        </w:rPr>
        <w:t xml:space="preserve">, </w:t>
      </w:r>
      <w:r>
        <w:rPr>
          <w:rtl w:val="true"/>
        </w:rPr>
        <w:t xml:space="preserve">אינה מאפשרת בחינה מעמיקה ויסודית של מצבו הנפשי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עוד יש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השאלה אם לפטור אדם מאחריות פלילית בשל תחולת הסייג של </w:t>
      </w:r>
      <w:r>
        <w:rPr>
          <w:rtl w:val="true"/>
        </w:rPr>
        <w:t>"</w:t>
      </w:r>
      <w:r>
        <w:rPr>
          <w:rtl w:val="true"/>
        </w:rPr>
        <w:t>אי כשירות</w:t>
      </w:r>
      <w:r>
        <w:rPr>
          <w:rtl w:val="true"/>
        </w:rPr>
        <w:t xml:space="preserve">", </w:t>
      </w:r>
      <w:r>
        <w:rPr>
          <w:rtl w:val="true"/>
        </w:rPr>
        <w:t xml:space="preserve">היא </w:t>
      </w:r>
      <w:r>
        <w:rPr>
          <w:rtl w:val="true"/>
        </w:rPr>
        <w:t>סוגיה</w:t>
      </w:r>
      <w:r>
        <w:rPr>
          <w:rtl w:val="true"/>
        </w:rPr>
        <w:t xml:space="preserve"> משפטית ואינה </w:t>
      </w:r>
      <w:r>
        <w:rPr>
          <w:rtl w:val="true"/>
        </w:rPr>
        <w:t>סוגיה</w:t>
      </w:r>
      <w:r>
        <w:rPr>
          <w:rtl w:val="true"/>
        </w:rPr>
        <w:t xml:space="preserve"> רפואית</w:t>
      </w:r>
      <w:r>
        <w:rPr>
          <w:rtl w:val="true"/>
        </w:rPr>
        <w:t xml:space="preserve">. </w:t>
      </w:r>
      <w:r>
        <w:rPr>
          <w:rtl w:val="true"/>
        </w:rPr>
        <w:t>חוות דעת פסיכיאטריות משמשות כלי בידי בית המשפט כדי להגיע להכרעה</w:t>
      </w:r>
      <w:r>
        <w:rPr>
          <w:rtl w:val="true"/>
        </w:rPr>
        <w:t xml:space="preserve">, </w:t>
      </w:r>
      <w:r>
        <w:rPr>
          <w:rtl w:val="true"/>
        </w:rPr>
        <w:t>אך אין בהן כדי להחליף את שיקול דעתו של בית המשפט</w:t>
      </w:r>
      <w:r>
        <w:rPr>
          <w:rtl w:val="true"/>
        </w:rPr>
        <w:t xml:space="preserve">. </w:t>
      </w:r>
      <w:r>
        <w:rPr>
          <w:rtl w:val="true"/>
        </w:rPr>
        <w:t>כפי שקבעתי בעניין אחר</w:t>
      </w:r>
      <w:r>
        <w:rPr>
          <w:rtl w:val="true"/>
        </w:rPr>
        <w:t>:</w:t>
      </w:r>
    </w:p>
    <w:p>
      <w:pPr>
        <w:pStyle w:val="Ruller5"/>
        <w:ind w:firstLine="664" w:start="2216" w:end="2127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חווֹת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>-</w:t>
      </w:r>
      <w:r>
        <w:rPr>
          <w:rtl w:val="true"/>
        </w:rPr>
        <w:t>מדעית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 (</w:t>
      </w:r>
      <w:hyperlink r:id="rId5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281/01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ילין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28.7.08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אלרון</w:t>
      </w:r>
      <w:r>
        <w:rPr>
          <w:rtl w:val="true"/>
        </w:rPr>
        <w:t>, "</w:t>
      </w:r>
      <w:r>
        <w:rPr>
          <w:rFonts w:ascii="Century" w:hAnsi="Century" w:cs="Century"/>
          <w:rtl w:val="true"/>
        </w:rPr>
        <w:t>חוות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 פסיכיאטריות מנוגדות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השיקולים שבבסיס ההכרעה השיפוטית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יישומיות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בפסיכולוגיה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/>
        <w:t>181</w:t>
      </w:r>
      <w:r>
        <w:rPr>
          <w:rtl w:val="true"/>
        </w:rPr>
        <w:t xml:space="preserve">, </w:t>
      </w:r>
      <w:r>
        <w:rPr/>
        <w:t>185</w:t>
      </w:r>
      <w:r>
        <w:rPr>
          <w:rtl w:val="true"/>
        </w:rPr>
        <w:t xml:space="preserve"> (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</w:t>
      </w:r>
      <w:r>
        <w:rPr>
          <w:rtl w:val="true"/>
        </w:rPr>
        <w:t xml:space="preserve">, </w:t>
      </w:r>
      <w:r>
        <w:rPr/>
        <w:t>2011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C00000"/>
        </w:rPr>
      </w:pPr>
      <w:r>
        <w:rPr>
          <w:rFonts w:cs="Century" w:ascii="Century" w:hAnsi="Century"/>
          <w:color w:val="C00000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במילים אחרות</w:t>
      </w:r>
      <w:r>
        <w:rPr>
          <w:rtl w:val="true"/>
        </w:rPr>
        <w:t xml:space="preserve">, </w:t>
      </w:r>
      <w:r>
        <w:rPr>
          <w:rtl w:val="true"/>
        </w:rPr>
        <w:t>לח</w:t>
      </w:r>
      <w:r>
        <w:rPr>
          <w:rtl w:val="true"/>
        </w:rPr>
        <w:t>וו</w:t>
      </w:r>
      <w:r>
        <w:rPr>
          <w:rtl w:val="true"/>
        </w:rPr>
        <w:t>ת דעת של מומחה משקל רב</w:t>
      </w:r>
      <w:r>
        <w:rPr>
          <w:rtl w:val="true"/>
        </w:rPr>
        <w:t xml:space="preserve">, </w:t>
      </w:r>
      <w:r>
        <w:rPr>
          <w:rtl w:val="true"/>
        </w:rPr>
        <w:t>לנוכח הקשיים להעריך את מצבו הנפשי של נאשם וצפ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>נות הלב</w:t>
      </w:r>
      <w:r>
        <w:rPr>
          <w:rtl w:val="true"/>
        </w:rPr>
        <w:t xml:space="preserve">, </w:t>
      </w:r>
      <w:r>
        <w:rPr>
          <w:rtl w:val="true"/>
        </w:rPr>
        <w:t>אך היא תמיד תהיה ראיה אחת מתוך מכלול שלם שעל בית המשפט להתייחס אליו</w:t>
      </w:r>
      <w:r>
        <w:rPr>
          <w:rtl w:val="true"/>
        </w:rPr>
        <w:t xml:space="preserve">. </w:t>
      </w:r>
      <w:r>
        <w:rPr>
          <w:rtl w:val="true"/>
        </w:rPr>
        <w:t>מחובתו להשוות בינה לבין הראיות האחרות</w:t>
      </w:r>
      <w:r>
        <w:rPr>
          <w:rtl w:val="true"/>
        </w:rPr>
        <w:t xml:space="preserve">, </w:t>
      </w:r>
      <w:r>
        <w:rPr>
          <w:rtl w:val="true"/>
        </w:rPr>
        <w:t xml:space="preserve">תוך כדי </w:t>
      </w:r>
      <w:r>
        <w:rPr>
          <w:rtl w:val="true"/>
        </w:rPr>
        <w:t>שהוא נעזר</w:t>
      </w:r>
      <w:r>
        <w:rPr>
          <w:rtl w:val="true"/>
        </w:rPr>
        <w:t xml:space="preserve"> בשכל הישר ובניסיון החיים על מנת להעריך נכונה את משקלה</w:t>
      </w:r>
      <w:r>
        <w:rPr>
          <w:rtl w:val="true"/>
        </w:rPr>
        <w:t xml:space="preserve">. </w:t>
      </w:r>
      <w:r>
        <w:rPr>
          <w:rtl w:val="true"/>
        </w:rPr>
        <w:t>כאשר בית המשפט ניצב בפני חוות דעת מנוגדות</w:t>
      </w:r>
      <w:r>
        <w:rPr>
          <w:rtl w:val="true"/>
        </w:rPr>
        <w:t>, "</w:t>
      </w:r>
      <w:r>
        <w:rPr>
          <w:rtl w:val="true"/>
        </w:rPr>
        <w:t>יהיה תהליך זה מועיל במיוחד כשניתן אף לעמת את המומחים בחקירתם עם נימוקי חוות הדעת של הצד שכנגד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cs="Century" w:ascii="Century" w:hAnsi="Century"/>
        </w:rPr>
        <w:t>54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תפקידו של בית המשפט אינו מתמצה אפוא רק בהכרעה בין חוות דעת המומחים כאשר יש סתירה ביניהן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בגיבוש מסקנה כוללת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המתיישבת עם התמונה הראייתית כולה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הלימה בין חוות הדעת לבין המארג הראייתי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יש לדחות את טענת המערער לפיה הבדיקות שבוצעו על ידי שירות בתי הסוהר נועדו רק לצרכיו</w:t>
      </w:r>
      <w:r>
        <w:rPr>
          <w:rtl w:val="true"/>
        </w:rPr>
        <w:t xml:space="preserve">, </w:t>
      </w:r>
      <w:r>
        <w:rPr>
          <w:rtl w:val="true"/>
        </w:rPr>
        <w:t>שכן בדיקת כשירותו לעמוד לדין</w:t>
      </w:r>
      <w:r>
        <w:rPr>
          <w:rtl w:val="true"/>
        </w:rPr>
        <w:t xml:space="preserve">, </w:t>
      </w:r>
      <w:r>
        <w:rPr>
          <w:rtl w:val="true"/>
        </w:rPr>
        <w:t>נבחנת לא רק בנקודת זמן מסוימת אלא לאורך פרק זמן ממושך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ויש בה כדי להאיר על מצבו הנפשי של המערער בפרקי זמן שונים</w:t>
      </w:r>
      <w:r>
        <w:rPr>
          <w:rtl w:val="true"/>
        </w:rPr>
        <w:t xml:space="preserve">, </w:t>
      </w:r>
      <w:r>
        <w:rPr>
          <w:rtl w:val="true"/>
        </w:rPr>
        <w:t xml:space="preserve">כפי שקבעתי בעניין </w:t>
      </w:r>
      <w:r>
        <w:rPr>
          <w:rFonts w:ascii="FrankRuehl" w:hAnsi="FrankRuehl" w:cs="FrankRuehl"/>
          <w:sz w:val="28"/>
          <w:sz w:val="28"/>
          <w:rtl w:val="true"/>
        </w:rPr>
        <w:t>אחר</w:t>
      </w:r>
      <w:r>
        <w:rPr>
          <w:rtl w:val="true"/>
        </w:rPr>
        <w:t>:</w:t>
      </w:r>
    </w:p>
    <w:p>
      <w:pPr>
        <w:pStyle w:val="Ruller5"/>
        <w:ind w:start="2216" w:end="2127"/>
        <w:jc w:val="start"/>
        <w:rPr/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בסופו של יום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ההכרעה בדבר כשירותו של נאשם לשאת באחריות פלילית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אינה עניין מדעי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כי אם סוגיה שבמשפט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ומשום כך דינה של חוות דעת אשר אינה מתיישבת עם המארג הראייתי שנפרש בפני המותב היושב בדין – להיוותר תלויה על בלימה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ולהידחות</w:t>
      </w:r>
      <w:r>
        <w:rPr>
          <w:rFonts w:cs="FrankRuehl" w:ascii="FrankRuehl" w:hAnsi="FrankRuehl"/>
          <w:sz w:val="28"/>
          <w:rtl w:val="true"/>
        </w:rPr>
        <w:t>" (</w:t>
      </w:r>
      <w:r>
        <w:rPr>
          <w:rFonts w:ascii="FrankRuehl" w:hAnsi="FrankRuehl"/>
          <w:sz w:val="28"/>
          <w:sz w:val="28"/>
          <w:rtl w:val="true"/>
        </w:rPr>
        <w:t>ראו</w:t>
      </w:r>
      <w:r>
        <w:rPr>
          <w:rFonts w:cs="FrankRuehl" w:ascii="FrankRuehl" w:hAnsi="FrankRuehl"/>
          <w:sz w:val="28"/>
          <w:rtl w:val="true"/>
        </w:rPr>
        <w:t xml:space="preserve">: </w:t>
      </w:r>
      <w:hyperlink r:id="rId6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870-80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לדאני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פ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ד לו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cs="FrankRuehl" w:ascii="FrankRuehl" w:hAnsi="FrankRuehl"/>
          <w:sz w:val="28"/>
        </w:rPr>
        <w:t>35</w:t>
      </w:r>
      <w:r>
        <w:rPr>
          <w:rFonts w:cs="FrankRuehl" w:ascii="FrankRuehl" w:hAnsi="FrankRuehl"/>
          <w:sz w:val="28"/>
        </w:rPr>
        <w:t>,</w:t>
      </w:r>
      <w:r>
        <w:rPr>
          <w:rFonts w:cs="FrankRuehl" w:ascii="FrankRuehl" w:hAnsi="FrankRuehl"/>
          <w:sz w:val="28"/>
        </w:rPr>
        <w:t>29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1981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;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אדנני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34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sz w:val="22"/>
        </w:rPr>
        <w:t>55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ascii="Century" w:hAnsi="Century" w:cs="Century"/>
          <w:rtl w:val="true"/>
        </w:rPr>
        <w:t xml:space="preserve"> – אחריות כבדה מוטלת על הערכאה הדיונית בבואה להעריך את חוות דעתם של מומחים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>על הערכאה הדיונית להתרשם באופן בלתי אמצעי מהנאשם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מניעיו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מחומר הראיות שהונח לפניה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מהמומחים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ממסקנות המומחים הנבחנות באספקלריה של דרישות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עליה להשוות בין חוות הדעת ולהבחין בין נימוקים בעלי אחיזה בחומר הראיות לבין נימוקים שאינם אלא השערות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לשם הכרעה בין חוות</w:t>
      </w:r>
      <w:r>
        <w:rPr>
          <w:rtl w:val="true"/>
        </w:rPr>
        <w:t>-</w:t>
      </w:r>
      <w:r>
        <w:rPr>
          <w:rtl w:val="true"/>
        </w:rPr>
        <w:t>דעת מנוגדות יש לשקול בין היתר גם את רמתם המקצועית של המומחים אשר חיברו אותן</w:t>
      </w:r>
      <w:r>
        <w:rPr>
          <w:rtl w:val="true"/>
        </w:rPr>
        <w:t xml:space="preserve">, </w:t>
      </w:r>
      <w:r>
        <w:rPr>
          <w:rtl w:val="true"/>
        </w:rPr>
        <w:t xml:space="preserve">ובכלל זאת את טיב הכשרתם והיקף ניסיונם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1839/92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>.</w:t>
      </w:r>
      <w:r>
        <w:rPr>
          <w:rtl w:val="true"/>
        </w:rPr>
        <w:t xml:space="preserve">ב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4.9.1994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31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tl w:val="true"/>
        </w:rPr>
        <w:t>כפי שהדגשתי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אדנני</w:t>
      </w:r>
      <w:r>
        <w:rPr>
          <w:rtl w:val="true"/>
        </w:rPr>
        <w:t xml:space="preserve">, </w:t>
      </w:r>
      <w:r>
        <w:rPr>
          <w:rtl w:val="true"/>
        </w:rPr>
        <w:t xml:space="preserve">הערכת מקצועיותו של מומחה על בסיס התרשמות </w:t>
      </w:r>
      <w:r>
        <w:rPr>
          <w:rtl w:val="true"/>
        </w:rPr>
        <w:t>"</w:t>
      </w:r>
      <w:r>
        <w:rPr>
          <w:rtl w:val="true"/>
        </w:rPr>
        <w:t>יבשה</w:t>
      </w:r>
      <w:r>
        <w:rPr>
          <w:rtl w:val="true"/>
        </w:rPr>
        <w:t xml:space="preserve">" </w:t>
      </w:r>
      <w:r>
        <w:rPr>
          <w:rtl w:val="true"/>
        </w:rPr>
        <w:t>מקורות חייו ומהישגיו המקצועיים</w:t>
      </w:r>
      <w:r>
        <w:rPr>
          <w:rtl w:val="true"/>
        </w:rPr>
        <w:t xml:space="preserve">, </w:t>
      </w:r>
      <w:r>
        <w:rPr>
          <w:rtl w:val="true"/>
        </w:rPr>
        <w:t xml:space="preserve">היא אך </w:t>
      </w:r>
      <w:r>
        <w:rPr>
          <w:rtl w:val="true"/>
        </w:rPr>
        <w:t>"</w:t>
      </w:r>
      <w:r>
        <w:rPr>
          <w:rtl w:val="true"/>
        </w:rPr>
        <w:t>בבחינת מוצא ומשום הנחה הניתנת לסתירה</w:t>
      </w:r>
      <w:r>
        <w:rPr>
          <w:rtl w:val="true"/>
        </w:rPr>
        <w:t xml:space="preserve">, </w:t>
      </w:r>
      <w:r>
        <w:rPr>
          <w:rtl w:val="true"/>
        </w:rPr>
        <w:t>אשר לעד תיסוג מפני התרשמותה הישירה והבלתי אמצעית של הערכאה הדיונית ממהימנות עמדת המומחה בעניין הטעון הערכה</w:t>
      </w:r>
      <w:r>
        <w:rPr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משכך איני מוצא להידרש לטענת המשיבה לפיה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 לא למד במדינת ישראל והוא נעדר ידע בדבר דרישות הדין בישראל לשאלת העדר הכשירות במובנה המשפטי</w:t>
      </w:r>
      <w:r>
        <w:rPr>
          <w:rtl w:val="true"/>
        </w:rPr>
        <w:t xml:space="preserve">, </w:t>
      </w:r>
      <w:r>
        <w:rPr>
          <w:rtl w:val="true"/>
        </w:rPr>
        <w:t>בפרט משנקבע כי בחוות דעתו של 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 אין בסיס עובדתי להתרשמותו כי המערער היה בסיטואציות בהן הזה או איבד קשר עם המציאות</w:t>
      </w:r>
      <w:r>
        <w:rPr>
          <w:rtl w:val="true"/>
        </w:rPr>
        <w:t xml:space="preserve">, </w:t>
      </w:r>
      <w:r>
        <w:rPr>
          <w:rtl w:val="true"/>
        </w:rPr>
        <w:t>וכי לא ניתן לקבל את מסקנתו לפיה המערער היה בעל שיפוט לקוי ובלתי כשיר לעמוד לדין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cs="Century" w:ascii="Century" w:hAnsi="Century"/>
          <w:sz w:val="22"/>
        </w:rPr>
        <w:t>57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 לטענת המערער בעניין דברי בית המשפט</w:t>
      </w:r>
      <w:r>
        <w:rPr>
          <w:rtl w:val="true"/>
        </w:rPr>
        <w:t xml:space="preserve"> המחוזי</w:t>
      </w:r>
      <w:r>
        <w:rPr>
          <w:rtl w:val="true"/>
        </w:rPr>
        <w:t xml:space="preserve"> כי </w:t>
      </w:r>
      <w:r>
        <w:rPr>
          <w:rtl w:val="true"/>
        </w:rPr>
        <w:t>"</w:t>
      </w:r>
      <w:r>
        <w:rPr>
          <w:rtl w:val="true"/>
        </w:rPr>
        <w:t>בסופו של דבר כשירות תקבע על פי חוות הדעת</w:t>
      </w:r>
      <w:r>
        <w:rPr>
          <w:rtl w:val="true"/>
        </w:rPr>
        <w:t xml:space="preserve">", </w:t>
      </w:r>
      <w:r>
        <w:rPr>
          <w:rtl w:val="true"/>
        </w:rPr>
        <w:t>עיון בפרוטוקול הדיון מעלה כי הדברים נאמרו בהקשר לשאלה ה</w:t>
      </w:r>
      <w:r>
        <w:rPr>
          <w:rtl w:val="true"/>
        </w:rPr>
        <w:t>מתייחסת</w:t>
      </w:r>
      <w:r>
        <w:rPr>
          <w:rtl w:val="true"/>
        </w:rPr>
        <w:t xml:space="preserve"> למשך בדיקה שבוצעה למערער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</w:t>
      </w:r>
      <w:r>
        <w:rPr>
          <w:rtl w:val="true"/>
        </w:rPr>
        <w:t>נדרש</w:t>
      </w:r>
      <w:r>
        <w:rPr>
          <w:rtl w:val="true"/>
        </w:rPr>
        <w:t xml:space="preserve"> לחוות הדעת של המומחים שנבחנו לעומקן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כעולה מהכרעת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 xml:space="preserve">גם בחן לעומק את תוצאות הבדיקות השונות שנערכו למערער לאורך תקופה ארוכה על ידי מספר </w:t>
      </w:r>
      <w:r>
        <w:rPr>
          <w:rtl w:val="true"/>
        </w:rPr>
        <w:t>מומחים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שמועסקים כפסיכיאטריים עצמאיים בשירות בתי הסוהר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נתן משקל להתנהגויות שניצפו אצל המערער במהלך ההליך המשפטי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tl w:val="true"/>
        </w:rPr>
        <w:t xml:space="preserve"> בהן כדי להוות תימוכין לכך שהלה מבין את ההליך המתנהל נגדו וכשיר לעמוד לדין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ביקש המערער לשוחח עם אימו בטרם הודה בעובדות כתב האישום</w:t>
      </w:r>
      <w:r>
        <w:rPr>
          <w:rtl w:val="true"/>
        </w:rPr>
        <w:t xml:space="preserve">, </w:t>
      </w:r>
      <w:r>
        <w:rPr>
          <w:rtl w:val="true"/>
        </w:rPr>
        <w:t>השיב לשאלות שנשאל באופן ענייני בהמשך הדיון</w:t>
      </w:r>
      <w:r>
        <w:rPr>
          <w:rtl w:val="true"/>
        </w:rPr>
        <w:t xml:space="preserve">; </w:t>
      </w:r>
      <w:r>
        <w:rPr>
          <w:rtl w:val="true"/>
        </w:rPr>
        <w:t>זיהה את הצוותים המשפטיים ועוד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טוען בעיקרי טיעוניו כי המומחה מטעמו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>, "</w:t>
      </w:r>
      <w:r>
        <w:rPr>
          <w:rtl w:val="true"/>
        </w:rPr>
        <w:t>העיד כי במצבים שהחולה אינו משתף פעולה ושלא ניתן לקחת מידע מספיק מהחולה</w:t>
      </w:r>
      <w:r>
        <w:rPr>
          <w:rtl w:val="true"/>
        </w:rPr>
        <w:t xml:space="preserve">, </w:t>
      </w:r>
      <w:r>
        <w:rPr>
          <w:rtl w:val="true"/>
        </w:rPr>
        <w:t>מסתמכים על המידע החיצוני שמקבלים מאנשים מהסביבה שלו</w:t>
      </w:r>
      <w:r>
        <w:rPr>
          <w:rtl w:val="true"/>
        </w:rPr>
        <w:t xml:space="preserve">". </w:t>
      </w:r>
      <w:r>
        <w:rPr>
          <w:rtl w:val="true"/>
        </w:rPr>
        <w:t xml:space="preserve">עוד הדגיש המומחה </w:t>
      </w:r>
      <w:r>
        <w:rPr>
          <w:rtl w:val="true"/>
        </w:rPr>
        <w:t>"</w:t>
      </w:r>
      <w:r>
        <w:rPr>
          <w:rtl w:val="true"/>
        </w:rPr>
        <w:t>את החשיבות לדמיון החברתי</w:t>
      </w:r>
      <w:r>
        <w:rPr>
          <w:rtl w:val="true"/>
        </w:rPr>
        <w:t xml:space="preserve">, </w:t>
      </w:r>
      <w:r>
        <w:rPr>
          <w:rtl w:val="true"/>
        </w:rPr>
        <w:t>התרבותי והשפתי בינו לבין המערער</w:t>
      </w:r>
      <w:r>
        <w:rPr>
          <w:rtl w:val="true"/>
        </w:rPr>
        <w:t xml:space="preserve">, </w:t>
      </w:r>
      <w:r>
        <w:rPr>
          <w:rtl w:val="true"/>
        </w:rPr>
        <w:t>דבר שסייע לו לתקשר עימו ו</w:t>
      </w:r>
      <w:r>
        <w:rPr>
          <w:rtl w:val="true"/>
        </w:rPr>
        <w:t>נתן</w:t>
      </w:r>
      <w:r>
        <w:rPr>
          <w:rtl w:val="true"/>
        </w:rPr>
        <w:t xml:space="preserve"> לו עדיפות רבה על</w:t>
      </w:r>
      <w:r>
        <w:rPr>
          <w:rtl w:val="true"/>
        </w:rPr>
        <w:t>-</w:t>
      </w:r>
      <w:r>
        <w:rPr>
          <w:rtl w:val="true"/>
        </w:rPr>
        <w:t>פני הרופאים האחרים בהבנת מצבו של המערער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לעניין זה ייאמר כי המערער נחקר בשפתו</w:t>
      </w:r>
      <w:r>
        <w:rPr>
          <w:rtl w:val="true"/>
        </w:rPr>
        <w:t xml:space="preserve">, </w:t>
      </w:r>
      <w:r>
        <w:rPr>
          <w:rtl w:val="true"/>
        </w:rPr>
        <w:t>באמצעות מתורגמנית ולא זו אלא שבית המשפט המחוזי התרשם מעדויות לעניין התנהגותו של המערער לאורך תקופה ארוכה ופרקי זמן ממושכים</w:t>
      </w:r>
      <w:r>
        <w:rPr>
          <w:rtl w:val="true"/>
        </w:rPr>
        <w:t xml:space="preserve">, </w:t>
      </w:r>
      <w:r>
        <w:rPr>
          <w:rtl w:val="true"/>
        </w:rPr>
        <w:t>בניגוד לחוות דעתו של 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 שגובשה בזמנים קצרים</w:t>
      </w:r>
      <w:r>
        <w:rPr>
          <w:rtl w:val="true"/>
        </w:rPr>
        <w:t xml:space="preserve">, </w:t>
      </w:r>
      <w:r>
        <w:rPr>
          <w:rtl w:val="true"/>
        </w:rPr>
        <w:t>עת נועד עם המערער פעמיים בלבד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לפסק דיני ב</w:t>
      </w:r>
      <w:hyperlink r:id="rId62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27237-11-10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59</w:t>
      </w:r>
      <w:r>
        <w:rPr>
          <w:rtl w:val="true"/>
        </w:rPr>
        <w:t>.</w:t>
        <w:tab/>
      </w:r>
      <w:r>
        <w:rPr>
          <w:rtl w:val="true"/>
        </w:rPr>
        <w:t xml:space="preserve">לעניין </w:t>
      </w:r>
      <w:r>
        <w:rPr>
          <w:rtl w:val="true"/>
        </w:rPr>
        <w:t>"</w:t>
      </w:r>
      <w:r>
        <w:rPr>
          <w:rtl w:val="true"/>
        </w:rPr>
        <w:t>המראה המוזנח של המערער</w:t>
      </w:r>
      <w:r>
        <w:rPr>
          <w:rtl w:val="true"/>
        </w:rPr>
        <w:t xml:space="preserve">", </w:t>
      </w:r>
      <w:r>
        <w:rPr>
          <w:rtl w:val="true"/>
        </w:rPr>
        <w:t xml:space="preserve">התנהגותו במהלך הדיונים והטענה כי </w:t>
      </w:r>
      <w:r>
        <w:rPr>
          <w:rtl w:val="true"/>
        </w:rPr>
        <w:t>"</w:t>
      </w:r>
      <w:r>
        <w:rPr>
          <w:rtl w:val="true"/>
        </w:rPr>
        <w:t>אינו מתקשר עם בא</w:t>
      </w:r>
      <w:r>
        <w:rPr>
          <w:rtl w:val="true"/>
        </w:rPr>
        <w:t>-</w:t>
      </w:r>
      <w:r>
        <w:rPr>
          <w:rtl w:val="true"/>
        </w:rPr>
        <w:t>כוחו מזה דיונים ארוכים</w:t>
      </w:r>
      <w:r>
        <w:rPr>
          <w:rtl w:val="true"/>
        </w:rPr>
        <w:t xml:space="preserve">", </w:t>
      </w:r>
      <w:r>
        <w:rPr>
          <w:rtl w:val="true"/>
        </w:rPr>
        <w:t>כנטען על ידי ההגנה</w:t>
      </w:r>
      <w:r>
        <w:rPr>
          <w:rtl w:val="true"/>
        </w:rPr>
        <w:t xml:space="preserve">, </w:t>
      </w:r>
      <w:r>
        <w:rPr>
          <w:rtl w:val="true"/>
        </w:rPr>
        <w:t>אני נוטה להסכים כי מדובר בהתנהגות מגמתית</w:t>
      </w:r>
      <w:r>
        <w:rPr>
          <w:rtl w:val="true"/>
        </w:rPr>
        <w:t xml:space="preserve">, </w:t>
      </w:r>
      <w:r>
        <w:rPr>
          <w:rtl w:val="true"/>
        </w:rPr>
        <w:t>כעולה מחוות הדעת בעניינו שאינן מטעמו</w:t>
      </w:r>
      <w:r>
        <w:rPr>
          <w:rtl w:val="true"/>
        </w:rPr>
        <w:t xml:space="preserve">, </w:t>
      </w:r>
      <w:r>
        <w:rPr>
          <w:rtl w:val="true"/>
        </w:rPr>
        <w:t>ובכל אופן אין באלה כדי לסייע למערער ול</w:t>
      </w:r>
      <w:r>
        <w:rPr>
          <w:rFonts w:ascii="Arial TUR;Arial" w:hAnsi="Arial TUR;Arial" w:cs="Arial TUR;Arial"/>
          <w:rtl w:val="true"/>
        </w:rPr>
        <w:t>וּ</w:t>
      </w:r>
      <w:r>
        <w:rPr>
          <w:rtl w:val="true"/>
        </w:rPr>
        <w:t xml:space="preserve"> גם כדי להוכיח ספק סביר לעניין כשירותו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tl w:val="true"/>
        </w:rPr>
        <w:t>,</w:t>
      </w:r>
      <w:r>
        <w:rPr>
          <w:rFonts w:cs="Arial TUR;Arial" w:ascii="Arial TUR;Arial" w:hAnsi="Arial TUR;Arial"/>
          <w:rtl w:val="true"/>
        </w:rPr>
        <w:t xml:space="preserve"> </w:t>
      </w:r>
      <w:r>
        <w:rPr>
          <w:rFonts w:ascii="Arial TUR;Arial" w:hAnsi="Arial TUR;Arial" w:cs="Arial TUR;Arial"/>
          <w:rtl w:val="true"/>
        </w:rPr>
        <w:t>מקובלת עליי מסקנת בית המשפט המחוזי לפיה חוות דעתו של ד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ר אל</w:t>
      </w:r>
      <w:r>
        <w:rPr>
          <w:rFonts w:cs="Arial TUR;Arial" w:ascii="Arial TUR;Arial" w:hAnsi="Arial TUR;Arial"/>
          <w:rtl w:val="true"/>
        </w:rPr>
        <w:t>-</w:t>
      </w:r>
      <w:r>
        <w:rPr>
          <w:rFonts w:ascii="Arial TUR;Arial" w:hAnsi="Arial TUR;Arial" w:cs="Arial TUR;Arial"/>
          <w:rtl w:val="true"/>
        </w:rPr>
        <w:t>כוואג</w:t>
      </w:r>
      <w:r>
        <w:rPr>
          <w:rFonts w:cs="Arial TUR;Arial" w:ascii="Arial TUR;Arial" w:hAnsi="Arial TUR;Arial"/>
          <w:rtl w:val="true"/>
        </w:rPr>
        <w:t>'</w:t>
      </w:r>
      <w:r>
        <w:rPr>
          <w:rFonts w:ascii="Arial TUR;Arial" w:hAnsi="Arial TUR;Arial" w:cs="Arial TUR;Arial"/>
          <w:rtl w:val="true"/>
        </w:rPr>
        <w:t>ה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שהוגשה מטעם המערער בצירוף עדותו של ד</w:t>
      </w:r>
      <w:r>
        <w:rPr>
          <w:rFonts w:cs="Arial TUR;Arial" w:ascii="Arial TUR;Arial" w:hAnsi="Arial TUR;Arial"/>
          <w:rtl w:val="true"/>
        </w:rPr>
        <w:t>"</w:t>
      </w:r>
      <w:r>
        <w:rPr>
          <w:rFonts w:ascii="Arial TUR;Arial" w:hAnsi="Arial TUR;Arial" w:cs="Arial TUR;Arial"/>
          <w:rtl w:val="true"/>
        </w:rPr>
        <w:t>ר גריסרו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פסיכיאטר שבדק את המערער במסגרת טיפול שירות בתי הסוהר – אין בהן כדי לשנות את מסקנת המומחים הרבים מתחום הפסיכיאטריה שבדקו את המערער לאורך תקופה ארוכה</w:t>
      </w:r>
      <w:r>
        <w:rPr>
          <w:rFonts w:cs="Arial TUR;Arial" w:ascii="Arial TUR;Arial" w:hAnsi="Arial TUR;Arial"/>
          <w:rtl w:val="true"/>
        </w:rPr>
        <w:t xml:space="preserve">. </w:t>
      </w:r>
      <w:r>
        <w:rPr>
          <w:rFonts w:ascii="Arial TUR;Arial" w:hAnsi="Arial TUR;Arial" w:cs="Arial TUR;Arial"/>
          <w:rtl w:val="true"/>
        </w:rPr>
        <w:t>המערער נבדק על</w:t>
      </w:r>
      <w:r>
        <w:rPr>
          <w:rFonts w:cs="Arial TUR;Arial" w:ascii="Arial TUR;Arial" w:hAnsi="Arial TUR;Arial"/>
          <w:rtl w:val="true"/>
        </w:rPr>
        <w:t>-</w:t>
      </w:r>
      <w:r>
        <w:rPr>
          <w:rFonts w:ascii="Arial TUR;Arial" w:hAnsi="Arial TUR;Arial" w:cs="Arial TUR;Arial"/>
          <w:rtl w:val="true"/>
        </w:rPr>
        <w:t>ידם</w:t>
      </w:r>
      <w:r>
        <w:rPr>
          <w:rFonts w:ascii="Arial TUR;Arial" w:hAnsi="Arial TUR;Arial" w:cs="Arial TUR;Arial"/>
          <w:rtl w:val="true"/>
        </w:rPr>
        <w:t xml:space="preserve"> הן לצורך הכנת חוות דעת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הן במהלך אשפוז לצורך הסתכלות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והן במהלך בדיקות שגרתיות של המומחים העובדים עבור שירות בתי הסוהר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כאמור</w:t>
      </w:r>
      <w:r>
        <w:rPr>
          <w:rFonts w:cs="Arial TUR;Arial" w:ascii="Arial TUR;Arial" w:hAnsi="Arial TUR;Arial"/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>בדיקות שנמשכו על פני תקופה ארוכה מאוד וכללו תיעוד רב</w:t>
      </w:r>
      <w:r>
        <w:rPr>
          <w:rFonts w:cs="Arial TUR;Arial" w:ascii="Arial TUR;Arial" w:hAnsi="Arial TUR;Arial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Arial TUR;Arial" w:hAnsi="Arial TUR;Arial" w:cs="Arial TUR;Arial"/>
        </w:rPr>
      </w:pPr>
      <w:r>
        <w:rPr>
          <w:rFonts w:cs="Arial TUR;Arial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גריסרו אמנם ציין בסיכום חוות דעתו</w:t>
      </w:r>
      <w:r>
        <w:rPr>
          <w:rtl w:val="true"/>
        </w:rPr>
        <w:t xml:space="preserve">, </w:t>
      </w:r>
      <w:r>
        <w:rPr>
          <w:rtl w:val="true"/>
        </w:rPr>
        <w:t xml:space="preserve">כי מהבדיקה שנערכה למערער עלה כי </w:t>
      </w:r>
      <w:r>
        <w:rPr>
          <w:rtl w:val="true"/>
        </w:rPr>
        <w:t>"</w:t>
      </w:r>
      <w:r>
        <w:rPr>
          <w:rtl w:val="true"/>
        </w:rPr>
        <w:t>אין לשלול מצב פסיכוטי</w:t>
      </w:r>
      <w:r>
        <w:rPr>
          <w:rtl w:val="true"/>
        </w:rPr>
        <w:t xml:space="preserve">", </w:t>
      </w:r>
      <w:r>
        <w:rPr>
          <w:rtl w:val="true"/>
        </w:rPr>
        <w:t>אולם בהמשך העיד כי אין מדובר באבחנה</w:t>
      </w:r>
      <w:r>
        <w:rPr>
          <w:rtl w:val="true"/>
        </w:rPr>
        <w:t xml:space="preserve">, </w:t>
      </w:r>
      <w:r>
        <w:rPr>
          <w:rtl w:val="true"/>
        </w:rPr>
        <w:t>שלל קיומה של סכיזופרניה והוסיף כי המערער ידע היכן הוא נמצא</w:t>
      </w:r>
      <w:r>
        <w:rPr>
          <w:rtl w:val="true"/>
        </w:rPr>
        <w:t xml:space="preserve">, </w:t>
      </w:r>
      <w:r>
        <w:rPr>
          <w:rtl w:val="true"/>
        </w:rPr>
        <w:t>זיהה אנשים ובעלי תפקידים</w:t>
      </w:r>
      <w:r>
        <w:rPr>
          <w:rtl w:val="true"/>
        </w:rPr>
        <w:t xml:space="preserve">, </w:t>
      </w:r>
      <w:r>
        <w:rPr>
          <w:rtl w:val="true"/>
        </w:rPr>
        <w:t>דבר שמצביע על כשירות לעמוד לדין</w:t>
      </w:r>
      <w:r>
        <w:rPr>
          <w:rtl w:val="true"/>
        </w:rPr>
        <w:t xml:space="preserve">, </w:t>
      </w:r>
      <w:r>
        <w:rPr>
          <w:rtl w:val="true"/>
        </w:rPr>
        <w:t>ובכל אופן זו נקבעת על ידי הפסיכיאטר המחוזי בלבד</w:t>
      </w:r>
      <w:r>
        <w:rPr>
          <w:rtl w:val="true"/>
        </w:rPr>
        <w:t xml:space="preserve">, </w:t>
      </w:r>
      <w:r>
        <w:rPr>
          <w:rtl w:val="true"/>
        </w:rPr>
        <w:t>או מי מטעמו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>
          <w:rFonts w:cs="Century" w:ascii="Century" w:hAnsi="Century"/>
        </w:rPr>
        <w:t>62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לטענת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חוות הדעת של ד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ר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כוואג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ascii="Century" w:hAnsi="Century" w:cs="Century"/>
          <w:rtl w:val="true"/>
        </w:rPr>
        <w:t xml:space="preserve"> מעלה</w:t>
      </w:r>
      <w:r>
        <w:rPr>
          <w:rtl w:val="true"/>
        </w:rPr>
        <w:t xml:space="preserve"> כי  קיימים במערער תסמינים וסימנים המתאימים לאבחנה של הפרעת אישיות</w:t>
      </w:r>
      <w:r>
        <w:rPr>
          <w:rtl w:val="true"/>
        </w:rPr>
        <w:t xml:space="preserve">, </w:t>
      </w:r>
      <w:r>
        <w:rPr>
          <w:rtl w:val="true"/>
        </w:rPr>
        <w:t xml:space="preserve">יוער בשולי הדברים כי </w:t>
      </w:r>
      <w:r>
        <w:rPr>
          <w:rFonts w:ascii="Century" w:hAnsi="Century" w:cs="Century"/>
          <w:rtl w:val="true"/>
        </w:rPr>
        <w:t xml:space="preserve">גם תסמינים שונים של מחלות נפש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אינם</w:t>
      </w:r>
      <w:r>
        <w:rPr>
          <w:rFonts w:ascii="Century" w:hAnsi="Century" w:cs="Century"/>
          <w:rtl w:val="true"/>
        </w:rPr>
        <w:t xml:space="preserve"> בהכרח רלוונטיים לדרישות החוק בסוגיית הכשירות לעמוד לדין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גם ל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 xml:space="preserve"> היה נמצא כי המערער סובל ממחלת נפש</w:t>
      </w:r>
      <w:r>
        <w:rPr>
          <w:rtl w:val="true"/>
        </w:rPr>
        <w:t xml:space="preserve">, </w:t>
      </w:r>
      <w:r>
        <w:rPr>
          <w:rtl w:val="true"/>
        </w:rPr>
        <w:t>ולא כך בהליך שלפנינו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 המערער היה להוכיח תנאי מצטבר נוסף שעקב מחלתו לא היה מסוגל לעמוד לדין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7747/08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5.8.2010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  <w:tab w:val="left" w:pos="4735" w:leader="none"/>
        </w:tabs>
        <w:ind w:hanging="0" w:start="0" w:end="0"/>
        <w:jc w:val="both"/>
        <w:rPr/>
      </w:pPr>
      <w:r>
        <w:rPr/>
        <w:t>63</w:t>
      </w:r>
      <w:r>
        <w:rPr>
          <w:rtl w:val="true"/>
        </w:rPr>
        <w:t>.</w:t>
        <w:tab/>
      </w:r>
      <w:r>
        <w:rPr>
          <w:rtl w:val="true"/>
        </w:rPr>
        <w:t>משאלה פני הדברים אני מוצא כי לא קמה עילה שתצדיק את התערבותנו בקביעותיו העובדתיות של בית המשפט המחוזי ובמסקנותיו</w:t>
      </w:r>
      <w:r>
        <w:rPr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הן המומחים מטעם המשיבה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הן עורכי חוות הדעת והן אלה אשר בדקו את המערער בדיקות שגרתיות רבות במסגרת שירות בתי הסוהר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הציבו תשתית יסודית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יציבה ואיתנה לכך שהמערער אכן כשיר לעמוד לדין ואינו חולה במחלת נפש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מנגד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חוות דעתו של המומחה מטעם המערער לא עוררה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rtl w:val="true"/>
        </w:rPr>
        <w:t>ול</w:t>
      </w:r>
      <w:r>
        <w:rPr>
          <w:rFonts w:ascii="FrankRuehl" w:hAnsi="FrankRuehl" w:cs="FrankRuehl"/>
          <w:rtl w:val="true"/>
        </w:rPr>
        <w:t>וּ</w:t>
      </w:r>
      <w:r>
        <w:rPr>
          <w:rFonts w:ascii="Century" w:hAnsi="Century" w:cs="Century"/>
          <w:sz w:val="22"/>
          <w:sz w:val="22"/>
          <w:rtl w:val="true"/>
        </w:rPr>
        <w:t xml:space="preserve"> ספק סביר בקביעה זו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/>
        <w:t>64</w:t>
      </w:r>
      <w:r>
        <w:rPr>
          <w:rtl w:val="true"/>
        </w:rPr>
        <w:t>.</w:t>
        <w:tab/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אף על פי שהצדדים לא טענו 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מאחר שהרצח בוצע ביום </w:t>
      </w:r>
      <w:r>
        <w:rPr/>
        <w:t>7.2.2019</w:t>
      </w:r>
      <w:r>
        <w:rPr>
          <w:rtl w:val="true"/>
        </w:rPr>
        <w:t xml:space="preserve">, </w:t>
      </w:r>
      <w:r>
        <w:rPr>
          <w:rtl w:val="true"/>
        </w:rPr>
        <w:t xml:space="preserve">יש לבחון את </w:t>
      </w:r>
      <w:r>
        <w:rPr>
          <w:sz w:val="22"/>
          <w:sz w:val="22"/>
          <w:rtl w:val="true"/>
        </w:rPr>
        <w:t xml:space="preserve">השפעת תיקון </w:t>
      </w:r>
      <w:r>
        <w:rPr>
          <w:sz w:val="22"/>
        </w:rPr>
        <w:t>137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 xml:space="preserve">לחוק </w:t>
      </w:r>
      <w:r>
        <w:rPr>
          <w:sz w:val="22"/>
          <w:rtl w:val="true"/>
        </w:rPr>
        <w:t>(</w:t>
      </w:r>
      <w:hyperlink r:id="rId6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תיקון מס</w:t>
      </w:r>
      <w:r>
        <w:rPr>
          <w:sz w:val="22"/>
          <w:rtl w:val="true"/>
        </w:rPr>
        <w:t xml:space="preserve">' </w:t>
      </w:r>
      <w:r>
        <w:rPr>
          <w:sz w:val="22"/>
        </w:rPr>
        <w:t>137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התשע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ט</w:t>
      </w:r>
      <w:r>
        <w:rPr>
          <w:sz w:val="22"/>
          <w:rtl w:val="true"/>
        </w:rPr>
        <w:t>-</w:t>
      </w:r>
      <w:r>
        <w:rPr>
          <w:sz w:val="22"/>
        </w:rPr>
        <w:t>2019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 xml:space="preserve">ח </w:t>
      </w:r>
      <w:r>
        <w:rPr>
          <w:sz w:val="22"/>
        </w:rPr>
        <w:t>230</w:t>
      </w:r>
      <w:r>
        <w:rPr>
          <w:sz w:val="22"/>
          <w:rtl w:val="true"/>
        </w:rPr>
        <w:t>)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בעניינו של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>
          <w:rtl w:val="true"/>
        </w:rPr>
        <w:tab/>
      </w:r>
      <w:r>
        <w:rPr>
          <w:rtl w:val="true"/>
        </w:rPr>
        <w:t xml:space="preserve">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 xml:space="preserve">לתיקון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מכיל הוראות בדבר </w:t>
      </w:r>
      <w:r>
        <w:rPr>
          <w:rtl w:val="true"/>
        </w:rPr>
        <w:t>"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תחולה והוראות מעבר</w:t>
      </w:r>
      <w:r>
        <w:rPr>
          <w:rtl w:val="true"/>
        </w:rPr>
        <w:t>"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מתייחס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לשלושה מצבים שונים</w:t>
      </w:r>
      <w:r>
        <w:rPr>
          <w:rtl w:val="true"/>
        </w:rPr>
        <w:t xml:space="preserve">, </w:t>
      </w:r>
      <w:r>
        <w:rPr>
          <w:rtl w:val="true"/>
        </w:rPr>
        <w:t>הנסובים על יום התחילה – ה</w:t>
      </w:r>
      <w:r>
        <w:rPr>
          <w:rtl w:val="true"/>
        </w:rPr>
        <w:t>-</w:t>
      </w:r>
      <w:r>
        <w:rPr/>
        <w:t>10.7.2019</w:t>
      </w:r>
      <w:r>
        <w:rPr>
          <w:rtl w:val="true"/>
        </w:rPr>
        <w:t xml:space="preserve">. </w:t>
      </w:r>
      <w:r>
        <w:rPr>
          <w:rtl w:val="true"/>
        </w:rPr>
        <w:t>המצב הרלוונטי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כאשר העבירה בוצעה לפני יום התחילה וטרם ניתן פסק דין חלוט בעניינה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 xml:space="preserve">נקבע כי יחולו הוראות </w:t>
      </w:r>
      <w:hyperlink r:id="rId6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נעברה עבירה ובטרם ניתן פסק</w:t>
      </w:r>
      <w:r>
        <w:rPr>
          <w:rtl w:val="true"/>
        </w:rPr>
        <w:t>-</w:t>
      </w:r>
      <w:r>
        <w:rPr>
          <w:rtl w:val="true"/>
        </w:rPr>
        <w:t>דין חלוט לגביה</w:t>
      </w:r>
      <w:r>
        <w:rPr>
          <w:rtl w:val="true"/>
        </w:rPr>
        <w:t xml:space="preserve">, </w:t>
      </w:r>
      <w:r>
        <w:rPr>
          <w:rtl w:val="true"/>
        </w:rPr>
        <w:t>חל שינוי בנוגע להגדרתה או לאחריות לה</w:t>
      </w:r>
      <w:r>
        <w:rPr>
          <w:rtl w:val="true"/>
        </w:rPr>
        <w:t xml:space="preserve">, </w:t>
      </w:r>
      <w:r>
        <w:rPr>
          <w:rtl w:val="true"/>
        </w:rPr>
        <w:t xml:space="preserve">או בנוגע לעונש שנקבע </w:t>
      </w:r>
      <w:r>
        <w:rPr>
          <w:rtl w:val="true"/>
        </w:rPr>
        <w:t xml:space="preserve">לה </w:t>
      </w:r>
      <w:r>
        <w:rPr>
          <w:rtl w:val="true"/>
        </w:rPr>
        <w:t>–</w:t>
      </w:r>
      <w:r>
        <w:rPr>
          <w:rtl w:val="true"/>
        </w:rPr>
        <w:t xml:space="preserve"> יחול </w:t>
      </w:r>
      <w:r>
        <w:rPr>
          <w:rtl w:val="true"/>
        </w:rPr>
        <w:t>על הענ</w:t>
      </w:r>
      <w:r>
        <w:rPr>
          <w:rtl w:val="true"/>
        </w:rPr>
        <w:t>י</w:t>
      </w:r>
      <w:r>
        <w:rPr>
          <w:rtl w:val="true"/>
        </w:rPr>
        <w:t>ין החיקוק המקל עם העושה</w:t>
      </w:r>
      <w:r>
        <w:rPr>
          <w:rtl w:val="true"/>
        </w:rPr>
        <w:t xml:space="preserve">".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אם בנסיבות העניין יישום הוראות הרפורמה יהיה בגדר דין המקל עם אותו מבצע</w:t>
      </w:r>
      <w:r>
        <w:rPr>
          <w:rtl w:val="true"/>
        </w:rPr>
        <w:t xml:space="preserve">, </w:t>
      </w:r>
      <w:r>
        <w:rPr>
          <w:rtl w:val="true"/>
        </w:rPr>
        <w:t>יש להחילה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/>
        <w:t>65</w:t>
      </w:r>
      <w:r>
        <w:rPr>
          <w:rtl w:val="true"/>
        </w:rPr>
        <w:t>.</w:t>
        <w:tab/>
      </w:r>
      <w:r>
        <w:rPr>
          <w:rtl w:val="true"/>
        </w:rPr>
        <w:t>הרפורמה בעבירות ההמתה בעניינו של המערער</w:t>
      </w:r>
      <w:r>
        <w:rPr>
          <w:rtl w:val="true"/>
        </w:rPr>
        <w:t xml:space="preserve">, </w:t>
      </w:r>
      <w:r>
        <w:rPr>
          <w:rtl w:val="true"/>
        </w:rPr>
        <w:t>אינה בגדר דין מקל עמו</w:t>
      </w:r>
      <w:r>
        <w:rPr>
          <w:rtl w:val="true"/>
        </w:rPr>
        <w:t xml:space="preserve">. </w:t>
      </w:r>
      <w:r>
        <w:rPr>
          <w:rtl w:val="true"/>
        </w:rPr>
        <w:t xml:space="preserve">מעשיו נכללים בבירור בשתיים מבין הנסיבות המחמירות הקבועות </w:t>
      </w:r>
      <w:hyperlink r:id="rId66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 xml:space="preserve">הנסיבה הקבועה </w:t>
      </w:r>
      <w:hyperlink r:id="rId6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קטן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שלפיה </w:t>
      </w:r>
      <w:r>
        <w:rPr>
          <w:rtl w:val="true"/>
        </w:rPr>
        <w:t>"</w:t>
      </w:r>
      <w:r>
        <w:rPr>
          <w:rtl w:val="true"/>
        </w:rPr>
        <w:t>המעשה נעשה באכזריות מיוחדת</w:t>
      </w:r>
      <w:r>
        <w:rPr>
          <w:rtl w:val="true"/>
        </w:rPr>
        <w:t xml:space="preserve">, </w:t>
      </w:r>
      <w:r>
        <w:rPr>
          <w:rtl w:val="true"/>
        </w:rPr>
        <w:t>או תוך התעללות גופנית או נפשית בקורבן</w:t>
      </w:r>
      <w:r>
        <w:rPr>
          <w:rtl w:val="true"/>
        </w:rPr>
        <w:t xml:space="preserve">". </w:t>
      </w:r>
      <w:r>
        <w:rPr>
          <w:rtl w:val="true"/>
        </w:rPr>
        <w:t xml:space="preserve">על היקפה של נסיבה זו הרחבתי בעבר במספר מקרים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: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סרארי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52-50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</w:t>
      </w:r>
      <w:r>
        <w:rPr/>
        <w:t>2</w:t>
      </w:r>
      <w:r>
        <w:rPr/>
        <w:t>.2023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וכן חוות דעתי ב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3168/19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איילין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</w:t>
      </w:r>
      <w:r>
        <w:rPr/>
        <w:t>1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/>
        <w:t>66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מעשיו של המערער אכזריים במיוחד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המחוזי</w:t>
      </w:r>
      <w:r>
        <w:rPr>
          <w:rtl w:val="true"/>
        </w:rPr>
        <w:t xml:space="preserve">. </w:t>
      </w:r>
      <w:r>
        <w:rPr>
          <w:rtl w:val="true"/>
        </w:rPr>
        <w:t>המנוחה חוותה סבל רב בטרם נרצחה</w:t>
      </w:r>
      <w:r>
        <w:rPr>
          <w:rtl w:val="true"/>
        </w:rPr>
        <w:t xml:space="preserve">, </w:t>
      </w:r>
      <w:r>
        <w:rPr>
          <w:rtl w:val="true"/>
        </w:rPr>
        <w:t>וניתן רק לדמיין את הכאב והסבל שהיו מנת חלקה בעת שהמערער ביצע בה את מעשיו ואת זממו בעודה נאבקת בו ומנסה להתנגד לו באמצעות גופה</w:t>
      </w:r>
      <w:r>
        <w:rPr>
          <w:rtl w:val="true"/>
        </w:rPr>
        <w:t xml:space="preserve">. </w:t>
      </w:r>
      <w:r>
        <w:rPr>
          <w:rtl w:val="true"/>
        </w:rPr>
        <w:t xml:space="preserve">כפי שהדגשתי בעבר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במוקד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אפוא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ניצבים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והאכזריות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לקורבן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ייבחן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ועוצמת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ובכבודו</w:t>
      </w:r>
      <w:r>
        <w:rPr>
          <w:rtl w:val="true"/>
        </w:rPr>
        <w:t>" 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8199/20</w:t>
        </w:r>
      </w:hyperlink>
      <w:r>
        <w:rPr>
          <w:rtl w:val="true"/>
        </w:rPr>
        <w:t xml:space="preserve"> 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זיאדאת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</w:t>
      </w:r>
      <w:r>
        <w:rPr/>
        <w:t>4</w:t>
      </w:r>
      <w:r>
        <w:rPr/>
        <w:t>.2023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מעשיו של המערער נכללים באופן מובהק בנסיבה מחמירה זו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Arial TUR;Arial" w:ascii="Arial TUR;Arial" w:hAnsi="Arial TUR;Arial"/>
          <w:sz w:val="22"/>
          <w:rtl w:val="true"/>
        </w:rPr>
        <w:tab/>
      </w:r>
      <w:r>
        <w:rPr>
          <w:rFonts w:ascii="Arial TUR;Arial" w:hAnsi="Arial TUR;Arial" w:cs="Arial TUR;Arial"/>
          <w:sz w:val="22"/>
          <w:sz w:val="22"/>
          <w:rtl w:val="true"/>
        </w:rPr>
        <w:t>כמו כן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tl w:val="true"/>
        </w:rPr>
        <w:t xml:space="preserve">מעשיו של המשיב נכללים גם בנסיבה המחמירה הקבועה </w:t>
      </w:r>
      <w:hyperlink r:id="rId7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שלפיו  </w:t>
      </w:r>
      <w:r>
        <w:rPr>
          <w:rtl w:val="true"/>
        </w:rPr>
        <w:t>"</w:t>
      </w:r>
      <w:r>
        <w:rPr>
          <w:rtl w:val="true"/>
        </w:rPr>
        <w:t>המעשה הוא מעשה טרור כהגדרתו ב</w:t>
      </w:r>
      <w:hyperlink r:id="rId7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textAlignment w:val="baseline"/>
        <w:rPr/>
      </w:pPr>
      <w:r>
        <w:rPr/>
        <w:t>67</w:t>
      </w:r>
      <w:r>
        <w:rPr>
          <w:rtl w:val="true"/>
        </w:rPr>
        <w:t>.</w:t>
        <w:tab/>
      </w:r>
      <w:r>
        <w:rPr>
          <w:rtl w:val="true"/>
        </w:rPr>
        <w:t>הדרך הנוספת שבה הרפורמה בעבירות ההמתה עשויה הייתה לכאורה להיות דין מקל עם המערער</w:t>
      </w:r>
      <w:r>
        <w:rPr>
          <w:rtl w:val="true"/>
        </w:rPr>
        <w:t xml:space="preserve">, </w:t>
      </w:r>
      <w:r>
        <w:rPr>
          <w:rtl w:val="true"/>
        </w:rPr>
        <w:t>היא ל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 xml:space="preserve"> היה מקום להחיל בעניינו את </w:t>
      </w:r>
      <w:r>
        <w:rPr>
          <w:rtl w:val="true"/>
        </w:rPr>
        <w:t>"</w:t>
      </w:r>
      <w:r>
        <w:rPr>
          <w:rtl w:val="true"/>
        </w:rPr>
        <w:t>פתח המילוט</w:t>
      </w:r>
      <w:r>
        <w:rPr>
          <w:rtl w:val="true"/>
        </w:rPr>
        <w:t xml:space="preserve">" </w:t>
      </w:r>
      <w:r>
        <w:rPr>
          <w:rtl w:val="true"/>
        </w:rPr>
        <w:t xml:space="preserve">שלפיו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הוראות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כאמור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מתקיימות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שבשלהן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במיוחד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להרשיע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300</w:t>
      </w:r>
      <w:r>
        <w:rPr>
          <w:rtl w:val="true"/>
        </w:rPr>
        <w:t>" (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על פרשנות סעיף זה קבעתי בעבר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"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. </w:t>
      </w:r>
      <w:r>
        <w:rPr>
          <w:rtl w:val="true"/>
        </w:rPr>
        <w:t>[...]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שבשלהן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301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" 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6338/20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</w:t>
      </w:r>
      <w:r>
        <w:rPr/>
        <w:t>7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‏‏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המצדיקים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>
          <w:rFonts w:ascii="Century" w:hAnsi="Century" w:cs="Century"/>
        </w:rPr>
      </w:pPr>
      <w:r>
        <w:rPr/>
        <w:t>68</w:t>
      </w:r>
      <w:r>
        <w:rPr>
          <w:rtl w:val="true"/>
        </w:rPr>
        <w:t>.</w:t>
        <w:tab/>
      </w:r>
      <w:r>
        <w:rPr>
          <w:rtl w:val="true"/>
        </w:rPr>
        <w:t>מעשיו של המערער</w:t>
      </w:r>
      <w:r>
        <w:rPr>
          <w:rtl w:val="true"/>
        </w:rPr>
        <w:t xml:space="preserve">, </w:t>
      </w:r>
      <w:r>
        <w:rPr>
          <w:rtl w:val="true"/>
        </w:rPr>
        <w:t>כנלמד מכל החומרים בתיק 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פגעו פגיעה קשה מנשוא בחייה של משפחה שלמה –</w:t>
      </w:r>
      <w:r>
        <w:rPr>
          <w:rtl w:val="true"/>
        </w:rPr>
        <w:t xml:space="preserve"> </w:t>
      </w:r>
      <w:r>
        <w:rPr>
          <w:rtl w:val="true"/>
        </w:rPr>
        <w:t>הורי</w:t>
      </w:r>
      <w:r>
        <w:rPr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אחיה ואחיותיה</w:t>
      </w:r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לעולם לא ישובו להיות כפי שהיו בעודה בחיים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-52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-52" w:end="0"/>
        <w:jc w:val="both"/>
        <w:rPr/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>לקראת סיום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בוחר</w:t>
      </w:r>
      <w:r>
        <w:rPr>
          <w:rFonts w:ascii="Century" w:hAnsi="Century" w:cs="Century"/>
          <w:rtl w:val="true"/>
        </w:rPr>
        <w:t xml:space="preserve"> להביא מדבריה הכואבים של אם המנוחה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נועה אנסבכר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עת </w:t>
      </w:r>
      <w:r>
        <w:rPr>
          <w:rFonts w:ascii="Century" w:hAnsi="Century" w:cs="Century"/>
          <w:rtl w:val="true"/>
        </w:rPr>
        <w:t xml:space="preserve">ביקשה </w:t>
      </w:r>
      <w:r>
        <w:rPr>
          <w:rFonts w:ascii="Century" w:hAnsi="Century" w:cs="Century"/>
          <w:rtl w:val="true"/>
        </w:rPr>
        <w:t>לומר מילים מספר</w:t>
      </w:r>
      <w:r>
        <w:rPr>
          <w:rFonts w:ascii="Century" w:hAnsi="Century" w:cs="Century"/>
          <w:rtl w:val="true"/>
        </w:rPr>
        <w:t xml:space="preserve"> על בתה</w:t>
      </w:r>
      <w:r>
        <w:rPr>
          <w:rFonts w:ascii="Century" w:hAnsi="Century" w:cs="Century"/>
          <w:rtl w:val="true"/>
        </w:rPr>
        <w:t xml:space="preserve"> המנוחה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5"/>
        <w:ind w:start="-52" w:end="1985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אהבה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ז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בשירים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אורי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. </w:t>
      </w:r>
      <w:r>
        <w:rPr>
          <w:rtl w:val="true"/>
        </w:rPr>
        <w:t>וביער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ניצח</w:t>
      </w:r>
      <w:r>
        <w:rPr>
          <w:rtl w:val="true"/>
        </w:rPr>
        <w:t xml:space="preserve">. </w:t>
      </w:r>
      <w:r>
        <w:rPr>
          <w:rtl w:val="true"/>
        </w:rPr>
        <w:t>והאור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',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'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 xml:space="preserve">'....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...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'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בעולם</w:t>
      </w:r>
      <w:r>
        <w:rPr>
          <w:rtl w:val="true"/>
        </w:rPr>
        <w:t xml:space="preserve">,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החושך</w:t>
      </w:r>
      <w:r>
        <w:rPr>
          <w:rtl w:val="true"/>
        </w:rPr>
        <w:t>".</w:t>
      </w:r>
    </w:p>
    <w:p>
      <w:pPr>
        <w:pStyle w:val="Ruller5"/>
        <w:ind w:start="2216" w:end="1282"/>
        <w:jc w:val="star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color w:val="C00000"/>
        </w:rPr>
      </w:pPr>
      <w:r>
        <w:rPr>
          <w:rFonts w:cs="Century" w:ascii="Century" w:hAnsi="Century"/>
          <w:color w:val="C00000"/>
          <w:rtl w:val="true"/>
        </w:rPr>
        <w:tab/>
      </w:r>
    </w:p>
    <w:p>
      <w:pPr>
        <w:pStyle w:val="Ruller42"/>
        <w:numPr>
          <w:ilvl w:val="0"/>
          <w:numId w:val="0"/>
        </w:numPr>
        <w:tabs>
          <w:tab w:val="clear" w:pos="720"/>
          <w:tab w:val="left" w:pos="1049" w:leader="none"/>
        </w:tabs>
        <w:ind w:hanging="0" w:start="0" w:end="0"/>
        <w:jc w:val="both"/>
        <w:rPr/>
      </w:pPr>
      <w:r>
        <w:rPr/>
        <w:t>69</w:t>
      </w:r>
      <w:r>
        <w:rPr>
          <w:rtl w:val="true"/>
        </w:rPr>
        <w:t>.</w:t>
        <w:tab/>
      </w:r>
      <w:r>
        <w:rPr>
          <w:rtl w:val="true"/>
        </w:rPr>
        <w:t>סיכומם של דברים</w:t>
      </w:r>
      <w:r>
        <w:rPr>
          <w:rtl w:val="true"/>
        </w:rPr>
        <w:t xml:space="preserve">, </w:t>
      </w:r>
      <w:r>
        <w:rPr>
          <w:rtl w:val="true"/>
        </w:rPr>
        <w:t>אציע לחבר</w:t>
      </w:r>
      <w:r>
        <w:rPr>
          <w:rtl w:val="true"/>
        </w:rPr>
        <w:t>ותיי</w:t>
      </w:r>
      <w:r>
        <w:rPr>
          <w:rtl w:val="true"/>
        </w:rPr>
        <w:t xml:space="preserve"> לדחות את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>
                <w:color w:val="000000"/>
              </w:rPr>
            </w:pPr>
            <w:r>
              <w:rPr>
                <w:color w:val="000000"/>
                <w:rtl w:val="true"/>
              </w:rPr>
              <w:t>ש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ו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color w:val="000000"/>
          <w:spacing w:val="0"/>
          <w:szCs w:val="24"/>
          <w:u w:val="single"/>
        </w:rPr>
      </w:pPr>
      <w:r>
        <w:rPr>
          <w:rFonts w:cs="Miriam" w:ascii="Century" w:hAnsi="Century"/>
          <w:b/>
          <w:color w:val="000000"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אני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מסכימה</w:t>
      </w:r>
      <w:r>
        <w:rPr>
          <w:color w:val="000000"/>
          <w:rtl w:val="true"/>
        </w:rPr>
        <w:t>.</w:t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>
                <w:color w:val="000000"/>
              </w:rPr>
            </w:pPr>
            <w:r>
              <w:rPr>
                <w:color w:val="000000"/>
                <w:rtl w:val="true"/>
              </w:rPr>
              <w:t>ש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ו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ט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color w:val="000000"/>
          <w:spacing w:val="0"/>
          <w:szCs w:val="24"/>
          <w:u w:val="single"/>
        </w:rPr>
      </w:pPr>
      <w:r>
        <w:rPr>
          <w:rFonts w:cs="Miriam" w:ascii="Century" w:hAnsi="Century"/>
          <w:b/>
          <w:color w:val="000000"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אני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מסכימה</w:t>
      </w:r>
      <w:r>
        <w:rPr>
          <w:color w:val="000000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color w:val="000000"/>
        </w:rPr>
      </w:pPr>
      <w:r>
        <w:rPr>
          <w:rFonts w:cs="Century" w:ascii="Century" w:hAnsi="Century"/>
          <w:color w:val="00000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both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>
                <w:color w:val="000000"/>
              </w:rPr>
            </w:pPr>
            <w:r>
              <w:rPr>
                <w:color w:val="000000"/>
                <w:rtl w:val="true"/>
              </w:rPr>
              <w:t>ש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ו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ט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b/>
          <w:color w:val="000000"/>
          <w:sz w:val="6"/>
          <w:szCs w:val="6"/>
          <w:u w:val="single"/>
        </w:rPr>
      </w:pPr>
      <w:r>
        <w:rPr>
          <w:b/>
          <w:color w:val="000000"/>
          <w:sz w:val="6"/>
          <w:szCs w:val="6"/>
          <w:u w:val="single"/>
          <w:rtl w:val="true"/>
        </w:rPr>
      </w:r>
    </w:p>
    <w:p>
      <w:pPr>
        <w:pStyle w:val="Ruller41"/>
        <w:ind w:end="0"/>
        <w:jc w:val="both"/>
        <w:rPr>
          <w:b/>
          <w:color w:val="000000"/>
          <w:sz w:val="6"/>
          <w:szCs w:val="6"/>
          <w:u w:val="single"/>
        </w:rPr>
      </w:pPr>
      <w:r>
        <w:rPr>
          <w:b/>
          <w:color w:val="000000"/>
          <w:sz w:val="6"/>
          <w:szCs w:val="6"/>
          <w:u w:val="single"/>
          <w:rtl w:val="true"/>
        </w:rPr>
      </w:r>
    </w:p>
    <w:p>
      <w:pPr>
        <w:pStyle w:val="Ruller41"/>
        <w:ind w:end="0"/>
        <w:jc w:val="both"/>
        <w:rPr>
          <w:b/>
          <w:color w:val="000000"/>
          <w:sz w:val="6"/>
          <w:szCs w:val="6"/>
          <w:u w:val="single"/>
        </w:rPr>
      </w:pPr>
      <w:r>
        <w:rPr>
          <w:b/>
          <w:color w:val="000000"/>
          <w:sz w:val="6"/>
          <w:szCs w:val="6"/>
          <w:u w:val="single"/>
          <w:rtl w:val="true"/>
        </w:rPr>
      </w:r>
    </w:p>
    <w:p>
      <w:pPr>
        <w:pStyle w:val="Ruller41"/>
        <w:ind w:end="0"/>
        <w:jc w:val="both"/>
        <w:rPr>
          <w:b/>
          <w:color w:val="000000"/>
          <w:sz w:val="6"/>
          <w:szCs w:val="6"/>
          <w:u w:val="single"/>
        </w:rPr>
      </w:pPr>
      <w:r>
        <w:rPr>
          <w:b/>
          <w:color w:val="000000"/>
          <w:sz w:val="6"/>
          <w:szCs w:val="6"/>
          <w:u w:val="single"/>
          <w:rtl w:val="true"/>
        </w:rPr>
      </w:r>
    </w:p>
    <w:p>
      <w:pPr>
        <w:pStyle w:val="Ruller41"/>
        <w:ind w:end="0"/>
        <w:jc w:val="both"/>
        <w:rPr>
          <w:b/>
          <w:color w:val="000000"/>
          <w:sz w:val="6"/>
          <w:szCs w:val="6"/>
          <w:u w:val="single"/>
        </w:rPr>
      </w:pPr>
      <w:r>
        <w:rPr>
          <w:b/>
          <w:color w:val="000000"/>
          <w:sz w:val="6"/>
          <w:szCs w:val="6"/>
          <w:u w:val="single"/>
          <w:rtl w:val="true"/>
        </w:rPr>
      </w:r>
    </w:p>
    <w:p>
      <w:pPr>
        <w:pStyle w:val="Ruller41"/>
        <w:ind w:end="0"/>
        <w:jc w:val="both"/>
        <w:rPr>
          <w:b/>
          <w:color w:val="000000"/>
          <w:sz w:val="6"/>
          <w:szCs w:val="6"/>
          <w:u w:val="single"/>
        </w:rPr>
      </w:pPr>
      <w:r>
        <w:rPr>
          <w:b/>
          <w:color w:val="000000"/>
          <w:sz w:val="6"/>
          <w:szCs w:val="6"/>
          <w:u w:val="single"/>
          <w:rtl w:val="true"/>
        </w:rPr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הוחלט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כאמור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בפסק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color w:val="000000"/>
          <w:rtl w:val="true"/>
        </w:rPr>
        <w:t>.</w:t>
      </w:r>
    </w:p>
    <w:p>
      <w:pPr>
        <w:pStyle w:val="Ruller41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bookmarkStart w:id="18" w:name="Nitan"/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היום</w:t>
      </w:r>
      <w:r>
        <w:rPr>
          <w:color w:val="000000"/>
          <w:rtl w:val="true"/>
        </w:rPr>
        <w:t>, ‏</w:t>
      </w:r>
      <w:r>
        <w:rPr>
          <w:color w:val="000000"/>
          <w:rtl w:val="true"/>
        </w:rPr>
        <w:t>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באדר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התשפ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(‏</w:t>
      </w:r>
      <w:r>
        <w:rPr>
          <w:color w:val="000000"/>
        </w:rPr>
        <w:t>12.3.2024</w:t>
      </w:r>
      <w:r>
        <w:rPr>
          <w:color w:val="000000"/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Ruller41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000000"/>
                <w:rtl w:val="true"/>
              </w:rPr>
              <w:t>ש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ו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>
                <w:color w:val="000000"/>
              </w:rPr>
            </w:pPr>
            <w:r>
              <w:rPr>
                <w:color w:val="000000"/>
                <w:rtl w:val="true"/>
              </w:rPr>
              <w:t>ש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ו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ט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>
                <w:color w:val="000000"/>
              </w:rPr>
            </w:pPr>
            <w:r>
              <w:rPr>
                <w:color w:val="000000"/>
                <w:rtl w:val="true"/>
              </w:rPr>
              <w:t>ש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ו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פ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ט</w:t>
            </w:r>
            <w:r>
              <w:rPr>
                <w:rFonts w:eastAsia="Arial TUR;Arial" w:cs="Arial TUR;Arial"/>
                <w:color w:val="000000"/>
                <w:rtl w:val="true"/>
              </w:rPr>
              <w:t xml:space="preserve"> </w:t>
            </w:r>
            <w:r>
              <w:rPr>
                <w:color w:val="000000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23020740</w:t>
      </w:r>
      <w:r>
        <w:rPr>
          <w:sz w:val="16"/>
          <w:rtl w:val="true"/>
        </w:rPr>
        <w:t>_</w:t>
      </w:r>
      <w:r>
        <w:rPr>
          <w:sz w:val="16"/>
        </w:rPr>
        <w:t>J10.docx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של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5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54678313-2074/23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7"/>
      <w:footerReference w:type="default" r:id="rId78"/>
      <w:type w:val="nextPage"/>
      <w:pgSz w:w="11906" w:h="16838"/>
      <w:pgMar w:left="1797" w:right="1797" w:gutter="0" w:header="567" w:top="1701" w:footer="397" w:bottom="453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2074/23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ערפאת רפאיעה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ind w:hanging="0" w:start="720" w:end="0"/>
      <w:textAlignment w:val="auto"/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021423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.a" TargetMode="External"/><Relationship Id="rId5" Type="http://schemas.openxmlformats.org/officeDocument/2006/relationships/hyperlink" Target="http://www.nevo.co.il/law/70301/34h" TargetMode="External"/><Relationship Id="rId6" Type="http://schemas.openxmlformats.org/officeDocument/2006/relationships/hyperlink" Target="http://www.nevo.co.il/law/70301/300.a.2" TargetMode="External"/><Relationship Id="rId7" Type="http://schemas.openxmlformats.org/officeDocument/2006/relationships/hyperlink" Target="http://www.nevo.co.il/law/70301/301a.7" TargetMode="External"/><Relationship Id="rId8" Type="http://schemas.openxmlformats.org/officeDocument/2006/relationships/hyperlink" Target="http://www.nevo.co.il/law/70301/301a.a" TargetMode="External"/><Relationship Id="rId9" Type="http://schemas.openxmlformats.org/officeDocument/2006/relationships/hyperlink" Target="http://www.nevo.co.il/law/70301/301a.a.10" TargetMode="External"/><Relationship Id="rId10" Type="http://schemas.openxmlformats.org/officeDocument/2006/relationships/hyperlink" Target="http://www.nevo.co.il/law/70301/301a.b" TargetMode="External"/><Relationship Id="rId11" Type="http://schemas.openxmlformats.org/officeDocument/2006/relationships/hyperlink" Target="http://www.nevo.co.il/law/70301/345.b.2" TargetMode="External"/><Relationship Id="rId12" Type="http://schemas.openxmlformats.org/officeDocument/2006/relationships/hyperlink" Target="http://www.nevo.co.il/law/70301/345.b.3" TargetMode="External"/><Relationship Id="rId13" Type="http://schemas.openxmlformats.org/officeDocument/2006/relationships/hyperlink" Target="http://www.nevo.co.il/law/70301/345.b.4" TargetMode="External"/><Relationship Id="rId14" Type="http://schemas.openxmlformats.org/officeDocument/2006/relationships/hyperlink" Target="http://www.nevo.co.il/law/141771" TargetMode="External"/><Relationship Id="rId15" Type="http://schemas.openxmlformats.org/officeDocument/2006/relationships/hyperlink" Target="http://www.nevo.co.il/law/141771/37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law/90721/12" TargetMode="External"/><Relationship Id="rId18" Type="http://schemas.openxmlformats.org/officeDocument/2006/relationships/hyperlink" Target="http://www.nevo.co.il/law/70314" TargetMode="External"/><Relationship Id="rId19" Type="http://schemas.openxmlformats.org/officeDocument/2006/relationships/hyperlink" Target="http://www.nevo.co.il/law/70314/15.c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170" TargetMode="External"/><Relationship Id="rId22" Type="http://schemas.openxmlformats.org/officeDocument/2006/relationships/hyperlink" Target="http://www.nevo.co.il/law/74903/170.a" TargetMode="External"/><Relationship Id="rId23" Type="http://schemas.openxmlformats.org/officeDocument/2006/relationships/hyperlink" Target="http://www.nevo.co.il/law/74903/186" TargetMode="External"/><Relationship Id="rId24" Type="http://schemas.openxmlformats.org/officeDocument/2006/relationships/hyperlink" Target="http://www.nevo.co.il/law/74247" TargetMode="External"/><Relationship Id="rId25" Type="http://schemas.openxmlformats.org/officeDocument/2006/relationships/hyperlink" Target="http://www.nevo.co.il/law/74903/170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0301/301a.a" TargetMode="External"/><Relationship Id="rId28" Type="http://schemas.openxmlformats.org/officeDocument/2006/relationships/hyperlink" Target="http://www.nevo.co.il/law/70301/301a.7" TargetMode="External"/><Relationship Id="rId29" Type="http://schemas.openxmlformats.org/officeDocument/2006/relationships/hyperlink" Target="http://www.nevo.co.il/law/70301/301a.a.10" TargetMode="External"/><Relationship Id="rId30" Type="http://schemas.openxmlformats.org/officeDocument/2006/relationships/hyperlink" Target="http://www.nevo.co.il/law/141771" TargetMode="External"/><Relationship Id="rId31" Type="http://schemas.openxmlformats.org/officeDocument/2006/relationships/hyperlink" Target="http://www.nevo.co.il/case/30214232" TargetMode="External"/><Relationship Id="rId32" Type="http://schemas.openxmlformats.org/officeDocument/2006/relationships/hyperlink" Target="http://www.nevo.co.il/law/70301/300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141771/37" TargetMode="External"/><Relationship Id="rId35" Type="http://schemas.openxmlformats.org/officeDocument/2006/relationships/hyperlink" Target="http://www.nevo.co.il/law/141771" TargetMode="External"/><Relationship Id="rId36" Type="http://schemas.openxmlformats.org/officeDocument/2006/relationships/hyperlink" Target="http://www.nevo.co.il/law/70301/345.b.2" TargetMode="External"/><Relationship Id="rId37" Type="http://schemas.openxmlformats.org/officeDocument/2006/relationships/hyperlink" Target="http://www.nevo.co.il/law/70301/345.b.3" TargetMode="External"/><Relationship Id="rId38" Type="http://schemas.openxmlformats.org/officeDocument/2006/relationships/hyperlink" Target="http://www.nevo.co.il/law/70301/345.b.4" TargetMode="External"/><Relationship Id="rId39" Type="http://schemas.openxmlformats.org/officeDocument/2006/relationships/hyperlink" Target="http://www.nevo.co.il/law/90721/12" TargetMode="External"/><Relationship Id="rId40" Type="http://schemas.openxmlformats.org/officeDocument/2006/relationships/hyperlink" Target="http://www.nevo.co.il/law/90721" TargetMode="External"/><Relationship Id="rId41" Type="http://schemas.openxmlformats.org/officeDocument/2006/relationships/hyperlink" Target="http://www.nevo.co.il/law/70314/15.c" TargetMode="External"/><Relationship Id="rId42" Type="http://schemas.openxmlformats.org/officeDocument/2006/relationships/hyperlink" Target="http://www.nevo.co.il/law/70314" TargetMode="External"/><Relationship Id="rId43" Type="http://schemas.openxmlformats.org/officeDocument/2006/relationships/hyperlink" Target="http://www.nevo.co.il/law/141771/37" TargetMode="External"/><Relationship Id="rId44" Type="http://schemas.openxmlformats.org/officeDocument/2006/relationships/hyperlink" Target="http://www.nevo.co.il/law/74903/186" TargetMode="External"/><Relationship Id="rId45" Type="http://schemas.openxmlformats.org/officeDocument/2006/relationships/hyperlink" Target="http://www.nevo.co.il/law/74903" TargetMode="External"/><Relationship Id="rId46" Type="http://schemas.openxmlformats.org/officeDocument/2006/relationships/hyperlink" Target="http://www.nevo.co.il/case/13041923" TargetMode="External"/><Relationship Id="rId47" Type="http://schemas.openxmlformats.org/officeDocument/2006/relationships/hyperlink" Target="http://www.nevo.co.il/case/21651517" TargetMode="External"/><Relationship Id="rId48" Type="http://schemas.openxmlformats.org/officeDocument/2006/relationships/hyperlink" Target="http://www.nevo.co.il/case/6243138" TargetMode="External"/><Relationship Id="rId49" Type="http://schemas.openxmlformats.org/officeDocument/2006/relationships/hyperlink" Target="http://www.nevo.co.il/law/70301/34h" TargetMode="External"/><Relationship Id="rId50" Type="http://schemas.openxmlformats.org/officeDocument/2006/relationships/hyperlink" Target="http://www.nevo.co.il/law/74903/170.a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case/25608107" TargetMode="External"/><Relationship Id="rId53" Type="http://schemas.openxmlformats.org/officeDocument/2006/relationships/hyperlink" Target="http://www.nevo.co.il/law/74903/170" TargetMode="External"/><Relationship Id="rId54" Type="http://schemas.openxmlformats.org/officeDocument/2006/relationships/hyperlink" Target="http://www.nevo.co.il/law/74903" TargetMode="External"/><Relationship Id="rId55" Type="http://schemas.openxmlformats.org/officeDocument/2006/relationships/hyperlink" Target="http://www.nevo.co.il/law/70314" TargetMode="External"/><Relationship Id="rId56" Type="http://schemas.openxmlformats.org/officeDocument/2006/relationships/hyperlink" Target="http://www.nevo.co.il/law/74247" TargetMode="External"/><Relationship Id="rId57" Type="http://schemas.openxmlformats.org/officeDocument/2006/relationships/hyperlink" Target="http://www.nevo.co.il/law/70314/15.c" TargetMode="External"/><Relationship Id="rId58" Type="http://schemas.openxmlformats.org/officeDocument/2006/relationships/hyperlink" Target="http://www.nevo.co.il/law/70314" TargetMode="External"/><Relationship Id="rId59" Type="http://schemas.openxmlformats.org/officeDocument/2006/relationships/hyperlink" Target="http://www.nevo.co.il/case/206658" TargetMode="External"/><Relationship Id="rId60" Type="http://schemas.openxmlformats.org/officeDocument/2006/relationships/hyperlink" Target="http://www.nevo.co.il/case/17932343" TargetMode="External"/><Relationship Id="rId61" Type="http://schemas.openxmlformats.org/officeDocument/2006/relationships/hyperlink" Target="http://www.nevo.co.il/case/17913523" TargetMode="External"/><Relationship Id="rId62" Type="http://schemas.openxmlformats.org/officeDocument/2006/relationships/hyperlink" Target="http://www.nevo.co.il/case/5338000" TargetMode="External"/><Relationship Id="rId63" Type="http://schemas.openxmlformats.org/officeDocument/2006/relationships/hyperlink" Target="http://www.nevo.co.il/case/5691865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5.a" TargetMode="External"/><Relationship Id="rId66" Type="http://schemas.openxmlformats.org/officeDocument/2006/relationships/hyperlink" Target="http://www.nevo.co.il/law/70301/301a.a" TargetMode="External"/><Relationship Id="rId67" Type="http://schemas.openxmlformats.org/officeDocument/2006/relationships/hyperlink" Target="http://www.nevo.co.il/law/70301/301a.7" TargetMode="External"/><Relationship Id="rId68" Type="http://schemas.openxmlformats.org/officeDocument/2006/relationships/hyperlink" Target="http://www.nevo.co.il/case/27355022" TargetMode="External"/><Relationship Id="rId69" Type="http://schemas.openxmlformats.org/officeDocument/2006/relationships/hyperlink" Target="http://www.nevo.co.il/case/25679793" TargetMode="External"/><Relationship Id="rId70" Type="http://schemas.openxmlformats.org/officeDocument/2006/relationships/hyperlink" Target="http://www.nevo.co.il/case/27189912" TargetMode="External"/><Relationship Id="rId71" Type="http://schemas.openxmlformats.org/officeDocument/2006/relationships/hyperlink" Target="http://www.nevo.co.il/law/70301/301a.a.10" TargetMode="External"/><Relationship Id="rId72" Type="http://schemas.openxmlformats.org/officeDocument/2006/relationships/hyperlink" Target="http://www.nevo.co.il/law/141771" TargetMode="External"/><Relationship Id="rId73" Type="http://schemas.openxmlformats.org/officeDocument/2006/relationships/hyperlink" Target="http://www.nevo.co.il/law/70301/301a.b" TargetMode="External"/><Relationship Id="rId74" Type="http://schemas.openxmlformats.org/officeDocument/2006/relationships/hyperlink" Target="http://www.nevo.co.il/case/26995434" TargetMode="External"/><Relationship Id="rId75" Type="http://schemas.openxmlformats.org/officeDocument/2006/relationships/hyperlink" Target="https://supreme.court.gov.il/" TargetMode="External"/><Relationship Id="rId76" Type="http://schemas.openxmlformats.org/officeDocument/2006/relationships/hyperlink" Target="http://www.nevo.co.il/advertisements/nevo-100.doc" TargetMode="External"/><Relationship Id="rId77" Type="http://schemas.openxmlformats.org/officeDocument/2006/relationships/header" Target="header1.xml"/><Relationship Id="rId78" Type="http://schemas.openxmlformats.org/officeDocument/2006/relationships/footer" Target="footer1.xm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<Relationship Id="rId8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2024-03-13T08:43:00Z</dcterms:created>
  <dc:creator>h4</dc:creator>
  <dc:description/>
  <cp:keywords/>
  <dc:language>en-IL</dc:language>
  <cp:lastModifiedBy>orly</cp:lastModifiedBy>
  <cp:lastPrinted>2024-03-12T08:15:00Z</cp:lastPrinted>
  <dcterms:modified xsi:type="dcterms:W3CDTF">2024-03-13T08:43:00Z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ערפאת רפאיעה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ישראל;עזבון המנוחה אורי אנסבכר ז#ל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30214232:2;13041923;21651517;6243138;25608107;206658;17932343;17913523;5338000;5691865;27355022;25679793;27189912;26995434</vt:lpwstr>
  </property>
  <property fmtid="{D5CDD505-2E9C-101B-9397-08002B2CF9AE}" pid="9" name="CITY">
    <vt:lpwstr/>
  </property>
  <property fmtid="{D5CDD505-2E9C-101B-9397-08002B2CF9AE}" pid="10" name="DATE">
    <vt:lpwstr>20240312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אלרון;ג' כנפי שטייניץ;ר' רונן</vt:lpwstr>
  </property>
  <property fmtid="{D5CDD505-2E9C-101B-9397-08002B2CF9AE}" pid="14" name="LAWLISTTMP1">
    <vt:lpwstr>70301/300.a.2;345.b.2;345.b.3;345.b.4;034h;005.a;301a.a;301a.7;301a.a.10;301a.b</vt:lpwstr>
  </property>
  <property fmtid="{D5CDD505-2E9C-101B-9397-08002B2CF9AE}" pid="15" name="LAWLISTTMP2">
    <vt:lpwstr>141771/037:2</vt:lpwstr>
  </property>
  <property fmtid="{D5CDD505-2E9C-101B-9397-08002B2CF9AE}" pid="16" name="LAWLISTTMP3">
    <vt:lpwstr>90721/012</vt:lpwstr>
  </property>
  <property fmtid="{D5CDD505-2E9C-101B-9397-08002B2CF9AE}" pid="17" name="LAWLISTTMP4">
    <vt:lpwstr>70314/015.c:2</vt:lpwstr>
  </property>
  <property fmtid="{D5CDD505-2E9C-101B-9397-08002B2CF9AE}" pid="18" name="LAWLISTTMP5">
    <vt:lpwstr>74903/186;170.a;170</vt:lpwstr>
  </property>
  <property fmtid="{D5CDD505-2E9C-101B-9397-08002B2CF9AE}" pid="19" name="LAWLISTTMP6">
    <vt:lpwstr>74247</vt:lpwstr>
  </property>
  <property fmtid="{D5CDD505-2E9C-101B-9397-08002B2CF9AE}" pid="20" name="LAWYER">
    <vt:lpwstr>רחלי זוארץ לוי;סואעד ריאד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ראיות</vt:lpwstr>
  </property>
  <property fmtid="{D5CDD505-2E9C-101B-9397-08002B2CF9AE}" pid="34" name="NOSE13">
    <vt:lpwstr>עונשין</vt:lpwstr>
  </property>
  <property fmtid="{D5CDD505-2E9C-101B-9397-08002B2CF9AE}" pid="35" name="NOSE14">
    <vt:lpwstr/>
  </property>
  <property fmtid="{D5CDD505-2E9C-101B-9397-08002B2CF9AE}" pid="36" name="NOSE15">
    <vt:lpwstr/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77;89;77</vt:lpwstr>
  </property>
  <property fmtid="{D5CDD505-2E9C-101B-9397-08002B2CF9AE}" pid="42" name="NOSE21">
    <vt:lpwstr>אחריות פלילית</vt:lpwstr>
  </property>
  <property fmtid="{D5CDD505-2E9C-101B-9397-08002B2CF9AE}" pid="43" name="NOSE210">
    <vt:lpwstr/>
  </property>
  <property fmtid="{D5CDD505-2E9C-101B-9397-08002B2CF9AE}" pid="44" name="NOSE22">
    <vt:lpwstr>מומחים</vt:lpwstr>
  </property>
  <property fmtid="{D5CDD505-2E9C-101B-9397-08002B2CF9AE}" pid="45" name="NOSE23">
    <vt:lpwstr>עבירת הרצח</vt:lpwstr>
  </property>
  <property fmtid="{D5CDD505-2E9C-101B-9397-08002B2CF9AE}" pid="46" name="NOSE24">
    <vt:lpwstr/>
  </property>
  <property fmtid="{D5CDD505-2E9C-101B-9397-08002B2CF9AE}" pid="47" name="NOSE25">
    <vt:lpwstr/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1428;1636;12455</vt:lpwstr>
  </property>
  <property fmtid="{D5CDD505-2E9C-101B-9397-08002B2CF9AE}" pid="53" name="NOSE31">
    <vt:lpwstr>כשירות לעמוד לדין</vt:lpwstr>
  </property>
  <property fmtid="{D5CDD505-2E9C-101B-9397-08002B2CF9AE}" pid="54" name="NOSE310">
    <vt:lpwstr/>
  </property>
  <property fmtid="{D5CDD505-2E9C-101B-9397-08002B2CF9AE}" pid="55" name="NOSE32">
    <vt:lpwstr>הסתמכות בית-המשפט עליהם</vt:lpwstr>
  </property>
  <property fmtid="{D5CDD505-2E9C-101B-9397-08002B2CF9AE}" pid="56" name="NOSE33">
    <vt:lpwstr>תיקון 137</vt:lpwstr>
  </property>
  <property fmtid="{D5CDD505-2E9C-101B-9397-08002B2CF9AE}" pid="57" name="NOSE34">
    <vt:lpwstr/>
  </property>
  <property fmtid="{D5CDD505-2E9C-101B-9397-08002B2CF9AE}" pid="58" name="NOSE35">
    <vt:lpwstr/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8651;10205;18905</vt:lpwstr>
  </property>
  <property fmtid="{D5CDD505-2E9C-101B-9397-08002B2CF9AE}" pid="64" name="PADIDATE">
    <vt:lpwstr>20240313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2074</vt:lpwstr>
  </property>
  <property fmtid="{D5CDD505-2E9C-101B-9397-08002B2CF9AE}" pid="70" name="PROCYEAR">
    <vt:lpwstr>23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410120240312</vt:lpwstr>
  </property>
  <property fmtid="{D5CDD505-2E9C-101B-9397-08002B2CF9AE}" pid="74" name="TYPE_N_DATE">
    <vt:lpwstr>41020240312</vt:lpwstr>
  </property>
  <property fmtid="{D5CDD505-2E9C-101B-9397-08002B2CF9AE}" pid="75" name="VOLUME">
    <vt:lpwstr/>
  </property>
  <property fmtid="{D5CDD505-2E9C-101B-9397-08002B2CF9AE}" pid="76" name="WORDNUMPAGES">
    <vt:lpwstr>24</vt:lpwstr>
  </property>
</Properties>
</file>