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2076/21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ואכד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נ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'.</w:t>
            </w:r>
            <w:r>
              <w:rPr>
                <w:rtl w:val="true"/>
              </w:rPr>
              <w:t>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14708-07-19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14.2.2021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קולה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צרפתי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גלפז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מוקדי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7.6.2023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0"/>
        <w:gridCol w:w="4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5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מלמדות כי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בעודו רכוב על קטנוע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אשר ירה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ופצע אדם </w:t>
      </w:r>
      <w:r>
        <w:rPr>
          <w:rFonts w:ascii="Times New Roman" w:hAnsi="Times New Roman" w:cs="Times New Roman"/>
          <w:spacing w:val="0"/>
          <w:szCs w:val="26"/>
          <w:rtl w:val="true"/>
        </w:rPr>
        <w:t>ורצח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שהוא אדיש לאפשרות גרימת המוות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 בעבירת רצח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בנוסחו קודם הרפורמה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יסודה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רצח המנוח בוצע תוך כדי שהמערער מבצע עבירה אחרת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הואיל ובמעשי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מלבד רצח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נוצרה סכנה ממשית גם לחיי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באים אף בגדר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עבירת הרצח בנסיבות מחמירות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מהווה דין מקל ע</w:t>
      </w:r>
      <w:r>
        <w:rPr>
          <w:rFonts w:ascii="Times New Roman" w:hAnsi="Times New Roman" w:cs="Times New Roman"/>
          <w:spacing w:val="0"/>
          <w:szCs w:val="26"/>
          <w:rtl w:val="true"/>
        </w:rPr>
        <w:t>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ואין להחילה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רצח בנסיבות מחמירות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תוך כדי ביצוע עבירה אחרת‏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זיהוי – הרשעה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חקירה במשטרה – מחדלי חקירה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אדם </w:t>
      </w:r>
      <w:r>
        <w:rPr>
          <w:rFonts w:ascii="Times New Roman" w:hAnsi="Times New Roman" w:cs="Times New Roman"/>
          <w:spacing w:val="0"/>
          <w:szCs w:val="26"/>
          <w:rtl w:val="true"/>
        </w:rPr>
        <w:t>אחר קשרו קשר לירות בסלים אבו נאג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והאחר רכבו על קטנוע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תוך כדי נסיעה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ירה שלושה כדורים לעבר סלים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שנפצע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המשיך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וירה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כדור אחד פגע בליבו של תאופיק זהר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שפסע יד ביד עם נכדתו הקטינה בדר</w:t>
      </w:r>
      <w:r>
        <w:rPr>
          <w:rFonts w:ascii="Times New Roman" w:hAnsi="Times New Roman" w:cs="Times New Roman"/>
          <w:spacing w:val="0"/>
          <w:szCs w:val="26"/>
          <w:rtl w:val="true"/>
        </w:rPr>
        <w:t>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מהגן לביתם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כדורים פגעו ברכב בו ישבה גאדה אספניולי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רצח תוך כדי ביצוע עבירה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כהגדרתה טרם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ועבירות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נשיאה והובלה של נשק ושיבוש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 נגזר עונש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משיג על הרשעתו בעבירת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וכפועל יוצא על חומרת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וילנר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חולק </w:t>
      </w:r>
      <w:r>
        <w:rPr>
          <w:rFonts w:ascii="Times New Roman" w:hAnsi="Times New Roman" w:cs="Times New Roman"/>
          <w:spacing w:val="0"/>
          <w:szCs w:val="26"/>
          <w:rtl w:val="true"/>
        </w:rPr>
        <w:t>שהמנוח נהרג מירי שב</w:t>
      </w:r>
      <w:r>
        <w:rPr>
          <w:rFonts w:ascii="Times New Roman" w:hAnsi="Times New Roman" w:cs="Times New Roman"/>
          <w:spacing w:val="0"/>
          <w:szCs w:val="26"/>
          <w:rtl w:val="true"/>
        </w:rPr>
        <w:t>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אדם אשר רכב על קטנוע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נדרש לבחון האם המערער הוא אשר נסע על הקטנוע באותה העת וירה את הירייה הקטלנית שהמיתה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ביסוד המארג הראייתי לחובת המערער מצויים עדויות עדי ראייה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תיעוד מקיף ואיכותי של מצלמות אבטחה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זוהה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חברו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שכנו ואחותו כאדם המופיע בתיעוד המצלמות בסמוך לביתו עובר לאירוע הירי ולאחריו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זוהה הקטנוע על יושביו ופריטי לבושם באמצעות תיעוד מצלמות מרחבי העיר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זיהוי המערער והשוואת פריטי הלבוש ניצבים במוקד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המסגרת הנורמטיבית הנוגעת ל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זיהוי נאשם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עד ראייה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ובכלל זה על המבחנים שפותחו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בפסיקה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כדי </w:t>
      </w:r>
      <w:r>
        <w:rPr>
          <w:rFonts w:ascii="Times New Roman" w:hAnsi="Times New Roman" w:cs="Times New Roman"/>
          <w:spacing w:val="0"/>
          <w:szCs w:val="26"/>
          <w:rtl w:val="true"/>
        </w:rPr>
        <w:t>להתמודד עם המורכבות הראייתית הנלווית לעדות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כוחה של ההיכרות המוקדמת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עם הנאשם </w:t>
      </w:r>
      <w:r>
        <w:rPr>
          <w:rFonts w:ascii="Times New Roman" w:hAnsi="Times New Roman" w:cs="Times New Roman"/>
          <w:spacing w:val="0"/>
          <w:szCs w:val="26"/>
          <w:rtl w:val="true"/>
        </w:rPr>
        <w:t>שביכולתה להפחית את הסיכוי לטעות כנה בזיהוי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נסמך על זיהוי המערער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שכנו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אחותו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חברו ומי שנחשד כנהג הקטנוע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זיהוי זה צולח את שני המבחנים הנדרשים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מהימנות העדים וכנות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התיעוד איכותי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מ</w:t>
      </w:r>
      <w:r>
        <w:rPr>
          <w:rFonts w:ascii="Times New Roman" w:hAnsi="Times New Roman" w:cs="Times New Roman"/>
          <w:spacing w:val="0"/>
          <w:szCs w:val="26"/>
          <w:rtl w:val="true"/>
        </w:rPr>
        <w:t>קובלת מסקנת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לזיהוי פריטי הלבוש של המערער והשוואתם לפריטי הלבוש של רוכב הקטנוע שביצע את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איות הזיהוי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עדויות עדי הראייה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מסקנות הצפייה בתיעוד המצלמות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אמינות ומהימנות ומהוות נדבך ראייתי משמעותי לחובת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צירו</w:t>
      </w:r>
      <w:r>
        <w:rPr>
          <w:rFonts w:ascii="Times New Roman" w:hAnsi="Times New Roman" w:cs="Times New Roman"/>
          <w:spacing w:val="0"/>
          <w:szCs w:val="26"/>
          <w:rtl w:val="true"/>
        </w:rPr>
        <w:t>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הראיות הנסיבתיות יחד וקביעות 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ממלאים את החלל הראייתי שנפער בדמות </w:t>
      </w:r>
      <w:r>
        <w:rPr>
          <w:rFonts w:cs="Times New Roman" w:ascii="Times New Roman" w:hAnsi="Times New Roman"/>
          <w:spacing w:val="0"/>
          <w:szCs w:val="26"/>
        </w:rPr>
        <w:t>190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מטר מבית המערער ועד לנקודה הראשונה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האחרונה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 תועדו רוכבי הקטנוע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ומלמדים כי המערער הוא האדם שנצפה רוכב על הקטנוע ורוצח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צבר הראיות המכביד לחובת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 או העדרו של מניע אינו מעלה או מוריד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באופן המקים ספק סביר באשר לאפשרות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למול מארג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גרסתו נותרה חסרת בסיס ומופרכת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מלבד היותה רצופה בסתירות פנימיות ואי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התאמות לראיות האובייקטיביות כשלעצמן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תרחיש חלופי ומזכה לטובת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 מול הראיות לחובתו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מארג הראיות לחובת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בכלל זה עדויות ותיעוד מצלמות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 מול שקריו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גרסתו הרעועה והעדר הסבר חלופי מזכה המתיישב עם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מלמדים כי המערער הוא רוכב הקטנוע שרצח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טענות המערער בדבר </w:t>
      </w:r>
      <w:r>
        <w:rPr>
          <w:rFonts w:ascii="Times New Roman" w:hAnsi="Times New Roman" w:cs="Times New Roman"/>
          <w:spacing w:val="0"/>
          <w:szCs w:val="26"/>
          <w:rtl w:val="true"/>
        </w:rPr>
        <w:t>מחדלי חקירה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אכיפה בררנית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משנקבע כי המערער הוא שירה את היריות לעבר סלים אשר כתוצאה מהן נרצח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בדין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הרצח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קודם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בעבירה תוצאתית שהיסוד העובדתי בה מתגבש כאשר מעשה ההמתה בוצע במהלך ביצוע עבירה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ולצורך הרשעה בעבירה זו לא נדרש יסוד של תכנון עובר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במישור היסוד הנפשי די במודעות ליסוד העובדתי של העבירה ולהתקיימות נסיבותיה וביחס חפצי של פזיזות ביחס לאפשרות גרימת המוות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כי בפסיקה נקבע כי נדרשת אדישות לתוצאה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האחרת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 נדרשת להיות עבירה עצמאית במובן זה שיסודותיה אינם נבלעים ביסודות עבירת גרימת המוות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די בכך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 האחרת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תהיה כל עבירה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נדרשים מאפיינים ייחודיים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היותה כרוכה באלימות או מסכנת 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שהמערער חלף רכוב על קטנוע הוא ירה צרור יריות לעבר סלים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כדורים פגעו ברכב של גאדה אספניול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וכדור אחד פגע בלבו של המנוח והמיתו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 התרחש 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צהרי היום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טבורה של 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כי המערער היה אדיש לאפשרות גרימת המוות שבמעשיו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נוסף על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רצח המנוח בוצע תוך כדי שהמערער מבצע עבירה אחרת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המערער ירה לעבר רגליו של סלים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במטרה לפגוע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זו עומדת בפני עצמה ואינה נבלעת בעבירת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ולכן מהווה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שמדובר בעבירה אחת שבוצעה כלפי סלים ועבירה אחרת שבוצעה כלפי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נחוש לפגוע בסלים תוך שהוא אדיש לאפשרות כי חיי אדם אחר יגדעו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הרפורמה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בעבירות ההמתה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אינה מהווה דין מקל עם המערער כך שאין ליישמה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התרחשות אירוע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רצח המנוח בא בגדרי עבירת הרצח בנסיבות מחמירות שלפי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בוצע תוך יצירת סכנה ממשית לחייו של אדם אחר נוסף על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בפסיקה הוצעה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רשימה בלתי ממצה של נסיבות עזר לצורך בחינת התגבשות הנסיבה המחמירה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סוג האמצעי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אופן השימוש באמצעי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אופי זירת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האנשים ומידת הצפיפות מסביב לנרצח והנזק שנגרם בפועל לאחרים בזירה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ביישום נסיבות העזר מתקבלת מסקנה 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משמעית כי מעשה הרצח נכנס בגדרי 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BODYVERDICT"/>
        <w:ind w:end="0"/>
        <w:jc w:val="start"/>
        <w:rPr>
          <w:rFonts w:cs="David"/>
          <w:sz w:val="24"/>
          <w:szCs w:val="24"/>
          <w:u w:val="single"/>
        </w:rPr>
      </w:pPr>
      <w:bookmarkStart w:id="18" w:name="Writer_Name"/>
      <w:bookmarkEnd w:id="18"/>
      <w:r>
        <w:rPr>
          <w:rFonts w:cs="David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</w:t>
      </w:r>
      <w:r>
        <w:rPr>
          <w:rFonts w:cs="David"/>
          <w:sz w:val="24"/>
          <w:szCs w:val="24"/>
          <w:u w:val="single"/>
          <w:rtl w:val="true"/>
        </w:rPr>
        <w:t xml:space="preserve">' </w:t>
      </w:r>
      <w:r>
        <w:rPr>
          <w:rFonts w:cs="David"/>
          <w:sz w:val="24"/>
          <w:sz w:val="24"/>
          <w:szCs w:val="24"/>
          <w:u w:val="single"/>
          <w:rtl w:val="true"/>
        </w:rPr>
        <w:t>אלרון</w:t>
      </w:r>
      <w:r>
        <w:rPr>
          <w:rFonts w:cs="David"/>
          <w:sz w:val="24"/>
          <w:szCs w:val="24"/>
          <w:u w:val="single"/>
          <w:rtl w:val="true"/>
        </w:rPr>
        <w:t>:</w:t>
      </w:r>
      <w:bookmarkStart w:id="19" w:name="Start_Write"/>
      <w:bookmarkEnd w:id="19"/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לפנינו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הכרעת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וגזר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בנצרת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סגן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הנשיא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קולה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השופט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צרפתי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והשופטת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גלפז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מוקדי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hyperlink r:id="rId14">
        <w:r>
          <w:rPr>
            <w:rStyle w:val="Hyperlink"/>
            <w:rFonts w:cs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14708-07-19</w:t>
        </w:r>
      </w:hyperlink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מיום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10.2.2021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ומיום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14.2.2021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בהתאמה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בגדרו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אלמג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ואכד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כהגדרתה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טרם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נשיאה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והובלה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ושיבוש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נגזר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נלווית</w:t>
      </w:r>
      <w:r>
        <w:rPr>
          <w:rFonts w:cs="David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משיג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וכפועל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עונשו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המתואר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קשרו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נאג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סלים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לצורך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הצטיידו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SANYANG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דגם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JOYRIDE</w:t>
      </w:r>
      <w:r>
        <w:rPr>
          <w:rFonts w:cs="David"/>
        </w:rPr>
        <w:t xml:space="preserve"> EVO 200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הקטנוע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ואקדח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תחמושת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מתאימה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בקוטר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האקדח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6.5.2019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הצהריים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'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</w:t>
      </w:r>
      <w:r>
        <w:rPr>
          <w:rFonts w:cs="David" w:ascii="Century" w:hAnsi="Century"/>
          <w:b/>
          <w:spacing w:val="0"/>
          <w:szCs w:val="24"/>
          <w:rtl w:val="true"/>
        </w:rPr>
        <w:t>'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הביואיק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אזור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שבבעלות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המאפייה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יתצפת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וידווח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13:00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בסמוך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14:30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התקין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רישוי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מזויפת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הנושאת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91068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ייקרא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ההתארגנות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לכיוון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קסדות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נוהג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ומאחוריו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15:09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לערך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רכובים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שעמד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המדרכה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בחזית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ושוחח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לקוח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היריות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בירכיו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התמוטט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ונפל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המדרכה</w:t>
      </w:r>
      <w:r>
        <w:rPr>
          <w:rFonts w:cs="David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המשיך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חמישה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כדור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rtl w:val="true"/>
        </w:rPr>
        <w:t>פגע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בליבו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תאופיק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David" w:ascii="Century" w:hAnsi="Century"/>
          <w:sz w:val="22"/>
          <w:rtl w:val="true"/>
        </w:rPr>
        <w:t>)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שפסע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נכדתו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בדרכם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מהגן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לביתם</w:t>
      </w:r>
      <w:r>
        <w:rPr>
          <w:rFonts w:cs="David"/>
          <w:rtl w:val="true"/>
        </w:rPr>
        <w:t xml:space="preserve">;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שלושה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כדורים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שחנה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בחזית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גאדה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אספניולי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גאדה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שהמתינה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פיתות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גאדה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נבהלה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וכתוצאה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בנסיעה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רגלו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וחלק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מהכדורים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הכניסה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למאפייה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כתוצאה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המנוח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והתמוטט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נכדתו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פעולות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החייאה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החולים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החולים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טופל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ואושפז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מיד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נמלטו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אמצעות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בסמוך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15:24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החליף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בגדיו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נעליו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מטעמו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פירקו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והעמיסו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חלקיו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הביואיק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מטעמו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הביואיק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בגין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המתואר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יוחסו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1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300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6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1997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החוק</w:t>
      </w:r>
      <w:r>
        <w:rPr>
          <w:rFonts w:cs="David"/>
          <w:rtl w:val="true"/>
        </w:rPr>
        <w:t>),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בנוסחו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חבלה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1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329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נשיאה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והובלה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1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שיבוש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19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244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20">
        <w:r>
          <w:rPr>
            <w:rStyle w:val="Hyperlink"/>
            <w:rFonts w:cs="David"/>
          </w:rPr>
          <w:t>29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שהמנוח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נהרג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שבוצע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חולף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הקטלנית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שהמיתה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לאו</w:t>
      </w:r>
      <w:r>
        <w:rPr>
          <w:rFonts w:cs="David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לצורך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הכרעה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בשאלה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נפרסה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תשתית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ראייתית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רחבה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במוקדה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אבטחה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מקצועיות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תחילה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להצגתן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המרכזיות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הרלוונטיות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העידו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</w:t>
      </w:r>
      <w:r>
        <w:rPr>
          <w:rFonts w:cs="David"/>
          <w:rtl w:val="true"/>
        </w:rPr>
        <w:t>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נשמעו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חמישה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מרכזיים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רשאד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שאער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עדן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אלקאדר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שנחשד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כנהג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נאג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שיפורט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בעדותם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</w:t>
      </w:r>
      <w:r>
        <w:rPr>
          <w:rFonts w:cs="David"/>
          <w:rtl w:val="true"/>
        </w:rPr>
        <w:t>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מרביתם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הגרסה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שמסרו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הסתבכו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במענה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לשאלות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והצדדים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וחלקם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שיקרו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במצח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נחושה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כלשון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למעורבותם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ולמעורבות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לבכר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ולאמץ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הגרסה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שמסרו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חלקם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רשאד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שאער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חקירתו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מצלמה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הממוקמת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משפחת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מצלמת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שאער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וזיהה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המופיע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14:28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כשהוא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בחולצת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פולו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לבנה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וזיהה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16:44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משוחח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בחולצה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שחורה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הדפס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גולג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לת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למרות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בעדותו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רשאד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הכחיש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הגרסה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שמסר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ניתנה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בלחץ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חוקרי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לבכר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הגרסה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שמסר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ascii="Century" w:hAnsi="Century" w:cs="David"/>
          <w:b/>
          <w:b/>
          <w:spacing w:val="0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אלקאדר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שאער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הנחזית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14:28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ואישר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ascii="Century" w:hAnsi="Century" w:cs="David"/>
          <w:b/>
          <w:b/>
          <w:spacing w:val="0"/>
          <w:szCs w:val="24"/>
          <w:rtl w:val="true"/>
        </w:rPr>
        <w:t>עדן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ואכד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צפתה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וזיהתה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17:03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חולצה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שחורה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לסחוב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שולחן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התבלבלה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לעדן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David"/>
          <w:b/>
          <w:b/>
          <w:spacing w:val="0"/>
          <w:szCs w:val="24"/>
          <w:rtl w:val="true"/>
        </w:rPr>
        <w:t>סלים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נאג</w:t>
      </w:r>
      <w:r>
        <w:rPr>
          <w:rFonts w:cs="David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הצהיר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לפתע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רוכבים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הרוכב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בחולצה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מהירי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בזירה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הנתמכת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בשחזור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המקצועית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פרשת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הוגשו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מקצועיות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המתייחסות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המעורבים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לבושם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התבקשה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מומחית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במעבדה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לראיה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דיגיטלית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במז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להשוות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דעתה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תמונות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תמונות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החשוד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הנחזות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נדרשה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להשוות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מהמופעים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החשוד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רוכבי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112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113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יצוין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בעדותה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הבהירה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המומחית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וההשוואה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עיניה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התבוננות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וצפייה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פרו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הדיון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1.7.2020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257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27-24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נמוכה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ונמצאה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סוגיים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מובהקת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השוללים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בינונית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רוכבי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המופעים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סוגיים</w:t>
      </w:r>
      <w:r>
        <w:rPr>
          <w:rFonts w:cs="David"/>
          <w:rtl w:val="true"/>
        </w:rPr>
        <w:t xml:space="preserve">".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127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160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התרחש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לפניו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ולאחריו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אבטחה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הפרושות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הוצג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מקרבת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129</w:t>
      </w:r>
      <w:r>
        <w:rPr>
          <w:rFonts w:cs="David"/>
          <w:rtl w:val="true"/>
        </w:rPr>
        <w:t>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מצלמת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שאער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מקרבת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שורטט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שסומן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תצ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128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זוהה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ההתארגנות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רשאד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שאער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אלקאדר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14:18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סמוך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בחולצת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פולו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לבנה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ייחודית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מכנסי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ינס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ונעלי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נייק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בצבע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שחור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ספורות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וזוהה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שהשליך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שאריות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רישוי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צהובה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רשאד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שאער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</w:rPr>
        <w:t>:</w:t>
      </w:r>
      <w:r>
        <w:rPr>
          <w:rFonts w:cs="David"/>
        </w:rPr>
        <w:t>44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בחולצה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שחורה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הדפס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גולג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לת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נועל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נעלי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אדידס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פסים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מטעמו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מעמיס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הביואיק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חפצים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הנחזים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17:03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שריפת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חולצה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שחורה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שעזר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לסחוב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שולחן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לבן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צוין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אמנם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הוסק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נמוכה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שמכירים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היטב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לשיטת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המומחית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ואמין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מומחה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פרו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הדיון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1.7.2020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258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11-3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הדגיש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למומחית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עדיפות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עיניו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נראים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התרשם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שנצפה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התייחס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ופרטיו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14:18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15:24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ישנו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רצף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ועליו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רוכבים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הבגדים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נצפו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ההתארגנות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שצוין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רצף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דקה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ודקה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פורט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והרוכבים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תועדו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לראשונה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הסמוך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15:09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הרוכב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הנהג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התמוטט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נמלט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לבסוף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15:24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הנקודה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הרוכב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במושב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האחורי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יורד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וצועד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רגלית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הוסי</w:t>
      </w:r>
      <w:r>
        <w:rPr>
          <w:rFonts w:cs="David"/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לפריטי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האחורי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rtl w:val="true"/>
        </w:rPr>
        <w:t>לממצאי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חוות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הדעת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שלפיהם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בינונית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לבושו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ההסתברות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אקראי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זמנים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לבושים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rtl w:val="true"/>
        </w:rPr>
        <w:t>אפסית</w:t>
      </w:r>
      <w:r>
        <w:rPr>
          <w:rFonts w:cs="David"/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eastAsia="Garamond" w:cs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בסיס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והתאמת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כמפורט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הנסיעה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ובמהלכו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הרצח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התרחיש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גברים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הזהים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בלבוש</w:t>
      </w:r>
      <w:r>
        <w:rPr>
          <w:rFonts w:cs="David"/>
          <w:rtl w:val="true"/>
        </w:rPr>
        <w:t>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 xml:space="preserve">[...] </w:t>
      </w:r>
      <w:r>
        <w:rPr>
          <w:rFonts w:cs="David"/>
          <w:rtl w:val="true"/>
        </w:rPr>
        <w:t>הופיעו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במרחק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מחצר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</w:t>
      </w:r>
      <w:r>
        <w:rPr>
          <w:rFonts w:cs="David" w:ascii="Century" w:hAnsi="Century"/>
          <w:b/>
          <w:spacing w:val="0"/>
          <w:szCs w:val="24"/>
          <w:rtl w:val="true"/>
        </w:rPr>
        <w:t>'</w:t>
      </w:r>
      <w:r>
        <w:rPr>
          <w:rFonts w:cs="David"/>
          <w:rtl w:val="true"/>
        </w:rPr>
        <w:t>]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וחזרו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יורד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מהקטנוע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לכיוון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חצר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</w:t>
      </w:r>
      <w:r>
        <w:rPr>
          <w:rFonts w:cs="David" w:ascii="Century" w:hAnsi="Century"/>
          <w:b/>
          <w:spacing w:val="0"/>
          <w:szCs w:val="24"/>
          <w:rtl w:val="true"/>
        </w:rPr>
        <w:t>'</w:t>
      </w:r>
      <w:r>
        <w:rPr>
          <w:rFonts w:cs="David"/>
          <w:rtl w:val="true"/>
        </w:rPr>
        <w:t>]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בגדים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ללא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חולצה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הינו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תרחיש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דמיוני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ובלתי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לחלוטין</w:t>
      </w:r>
      <w:r>
        <w:rPr>
          <w:rFonts w:cs="David"/>
          <w:rtl w:val="true"/>
        </w:rPr>
        <w:t>".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לסיכום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להשתלשלות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העובדתית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בצהרי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יתצפת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ויודיע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ולשותפו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פתחה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חזר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ועסק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בהכנות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זיוף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רישוי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בסמוך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ושותפו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מסביבת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ביצעו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וחזרו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יצאו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החליף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בגדיו</w:t>
      </w:r>
      <w:r>
        <w:rPr>
          <w:rFonts w:cs="David"/>
          <w:rtl w:val="true"/>
        </w:rPr>
        <w:t>, "</w:t>
      </w:r>
      <w:r>
        <w:rPr>
          <w:rFonts w:cs="David"/>
          <w:rtl w:val="true"/>
        </w:rPr>
        <w:t>והוא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מטעמ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פירקו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והעמיסו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הביואיק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יצאו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לאזור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והציתו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למול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המקיף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והאיכותי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הנוספות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שנערמו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בגרסתו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נתגלו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דיוקים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פנימיים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סתירות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היגיון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כשלעצמה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מתחילתו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והצהיר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המיוחס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הרמדאן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אולי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למכולת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למסגד</w:t>
      </w:r>
      <w:r>
        <w:rPr>
          <w:rFonts w:cs="David"/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בחקירותיו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ובעדותו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התחמק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תשובות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להעדר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זיכרון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והסתבך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בסתירות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אמת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בדבריו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שיקר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לפנינו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נחושה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הכחיש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שקר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הנוגע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לליבת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cs="David"/>
          <w:rtl w:val="true"/>
        </w:rPr>
        <w:t xml:space="preserve">".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David"/>
          <w:sz w:val="22"/>
        </w:rPr>
      </w:pPr>
      <w:r>
        <w:rPr>
          <w:rFonts w:ascii="Century" w:hAnsi="Century" w:cs="David"/>
          <w:sz w:val="22"/>
          <w:sz w:val="22"/>
          <w:rtl w:val="true"/>
        </w:rPr>
        <w:t>לבסוף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המחוזי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דחה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להתקיימותם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מחדלי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חקירה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היתר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נדרש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לבדוק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תוצרי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המצלמות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כבר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משעות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הבוקר</w:t>
      </w:r>
      <w:r>
        <w:rPr>
          <w:rFonts w:cs="David" w:ascii="Century" w:hAnsi="Century"/>
          <w:sz w:val="22"/>
          <w:rtl w:val="true"/>
        </w:rPr>
        <w:t xml:space="preserve">; </w:t>
      </w:r>
      <w:r>
        <w:rPr>
          <w:rFonts w:ascii="Century" w:hAnsi="Century" w:cs="David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נגבו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עדויות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מעדי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ראייה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משמעותיים</w:t>
      </w:r>
      <w:r>
        <w:rPr>
          <w:rFonts w:cs="David" w:ascii="Century" w:hAnsi="Century"/>
          <w:sz w:val="22"/>
          <w:rtl w:val="true"/>
        </w:rPr>
        <w:t xml:space="preserve">; </w:t>
      </w:r>
      <w:r>
        <w:rPr>
          <w:rFonts w:ascii="Century" w:hAnsi="Century" w:cs="David"/>
          <w:sz w:val="22"/>
          <w:sz w:val="22"/>
          <w:rtl w:val="true"/>
        </w:rPr>
        <w:t>וכי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ישנם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חוסרים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במארג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הראיות</w:t>
      </w:r>
      <w:r>
        <w:rPr>
          <w:rFonts w:cs="David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David"/>
          <w:sz w:val="22"/>
        </w:rPr>
      </w:pPr>
      <w:r>
        <w:rPr>
          <w:rFonts w:cs="David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נבחנו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התקיימות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יסודות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2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300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בנוסחו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במזיד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נקבע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לחבלה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מחמירה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וכיוון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לרגליו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אדיש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לתוצאות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ולסיכון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האינהרנטי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באמצע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במרכזה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כתוצאה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ממעשי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הכדורים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שנורה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בליבו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והמיתו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22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300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בנוסחו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cs="David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יודגש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הסכימו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שהרפורמה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23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תיקון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137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>-</w:t>
      </w:r>
      <w:r>
        <w:rPr>
          <w:rFonts w:cs="David"/>
        </w:rPr>
        <w:t>2019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230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cs="David"/>
          <w:rtl w:val="true"/>
        </w:rPr>
        <w:t xml:space="preserve">)) </w:t>
      </w:r>
      <w:r>
        <w:rPr>
          <w:rFonts w:cs="David"/>
          <w:rtl w:val="true"/>
        </w:rPr>
        <w:t>אינה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אופן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יישומה</w:t>
      </w:r>
      <w:r>
        <w:rPr>
          <w:rFonts w:cs="David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יוחסו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שיבוש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בגין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cs="David"/>
          <w:rtl w:val="true"/>
        </w:rPr>
        <w:t xml:space="preserve">;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למשך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;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כלשהי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למשך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;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שיבוש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למשך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פיצוי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למשפחתו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233,000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פיצוי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לסלים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פיצוי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לגאדה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ופיצוי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לאברהים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זועבי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ומכחיש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מעורבותו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בהודעת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ובטיעוניו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ישנם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חורים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כלשונו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במארג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הנסיבתיות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שהוצג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מאפשרים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להרשיעו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הוצג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מניע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בעטיו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שמנגד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ישנן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המסוכסכות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ייתכן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שתפקידו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לתצפת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במרחק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מהמאפי</w:t>
      </w:r>
      <w:r>
        <w:rPr>
          <w:rFonts w:cs="David"/>
          <w:rtl w:val="true"/>
        </w:rPr>
        <w:t>יה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רציף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שישנו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המעמיס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לאו</w:t>
      </w:r>
      <w:r>
        <w:rPr>
          <w:rFonts w:cs="David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להסתמך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סותרים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עדויותיהם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וסותרות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החיצוניות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מנגד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המומחית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קבעה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נמוכה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בזיהויו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יתרה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הסתמכות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</w:t>
      </w:r>
      <w:r>
        <w:rPr>
          <w:rFonts w:cs="David"/>
          <w:rtl w:val="true"/>
        </w:rPr>
        <w:t>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רוכבי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שערורייתית</w:t>
      </w:r>
      <w:r>
        <w:rPr>
          <w:rFonts w:cs="David"/>
          <w:rtl w:val="true"/>
        </w:rPr>
        <w:t>",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כלשונו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רקייק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2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3055/18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רקייק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4.8.2020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להידרש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לבחינת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נפוצות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באוכלוסייה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הרלוונטית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ובפרט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מובחנים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וייחודיים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ועמד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חקירה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שפגעו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בהגנתו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נפרקו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ונבדקו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הבוקר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נחקרו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הוואקף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העלמין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רוכבי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ארוכות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להרשעת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לרפורמה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במעשיו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מתקיימת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אדישות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לחיי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שכיוון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לרגליו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לתחולת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אמנם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הסכימו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תחולתה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מתקיימת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ובפרט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נוצרה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Fonts w:cs="David"/>
          <w:rtl w:val="true"/>
        </w:rPr>
        <w:t>" (</w:t>
      </w:r>
      <w:hyperlink r:id="rId2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9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מאחר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כיוון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לרגליו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לעמדת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מארג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מותיר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הודגש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בתיעוד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איכותי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לזהות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בבירור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</w:t>
      </w:r>
      <w:r>
        <w:rPr>
          <w:rFonts w:cs="David"/>
          <w:rtl w:val="true"/>
        </w:rPr>
        <w:t>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הייחודיים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שלבש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הרישוי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המזויפת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גביו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התצפית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שערך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העמסת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והצתתם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סמוך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הנחזה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איכותי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המכירים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לפריטי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הכוח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המצרפי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פריטים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שההסתברות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אקראי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זמנים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לבושים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אפסית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תפקידה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בסרטונים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לפריטי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מסורים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להתקיימות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יסודות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במעשיו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לאפשרות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בחיי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לנוכח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באמצע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ובמרכזה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ותלמידים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אירוע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נמשך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בודדות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שחלקן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ברכבה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גאדה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וכדור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בליבו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והמיתו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לאפשרות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גרימת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בחיי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כנדרש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בהרשעה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2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300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בנוסחו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לתחולת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ליישומה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חזית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cs="David"/>
          <w:rtl w:val="true"/>
        </w:rPr>
        <w:t>".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בנסיבה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cs="David"/>
          </w:rPr>
          <w:t>301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9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ברחובה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בצהרי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אקדים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בערעור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המרכזיות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שלובות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ותומכות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האחת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ברעותה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שיחדיו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מלמדות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בעודו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רכוב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לאפשרות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גרימת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2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300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בנוסחו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יסודה</w:t>
      </w:r>
      <w:r>
        <w:rPr>
          <w:rFonts w:cs="David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הואיל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ובמעשיו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נוצרה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סכנה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לחיי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מעשיו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בגדרי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2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9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הרפורמה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להחילה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עניינו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הזיהוי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ביסוד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המארג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מצויים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מאירוע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וההתרחשויות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קדמו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מקיף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ואיכותי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אבטחה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ובפרט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מקרבת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 w:ascii="Century" w:hAnsi="Century"/>
          <w:sz w:val="22"/>
          <w:rtl w:val="true"/>
        </w:rPr>
        <w:tab/>
      </w:r>
      <w:r>
        <w:rPr>
          <w:rFonts w:ascii="Century" w:hAnsi="Century" w:cs="David"/>
          <w:sz w:val="22"/>
          <w:sz w:val="22"/>
          <w:rtl w:val="true"/>
        </w:rPr>
        <w:t>כמפורט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לעיל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ראשון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זוהה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על</w:t>
      </w:r>
      <w:r>
        <w:rPr>
          <w:rFonts w:cs="David" w:ascii="Century" w:hAnsi="Century"/>
          <w:sz w:val="22"/>
          <w:rtl w:val="true"/>
        </w:rPr>
        <w:t>-</w:t>
      </w:r>
      <w:r>
        <w:rPr>
          <w:rFonts w:ascii="Century" w:hAnsi="Century" w:cs="David"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חברו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שכנו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ואחותו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כאדם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המופיע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בתיעוד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המצלמות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בסמוך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לביתו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עובר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הירי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והן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לאחריו</w:t>
      </w:r>
      <w:r>
        <w:rPr>
          <w:rFonts w:cs="David" w:ascii="Century" w:hAnsi="Century"/>
          <w:sz w:val="22"/>
          <w:rtl w:val="true"/>
        </w:rPr>
        <w:t xml:space="preserve">; </w:t>
      </w:r>
      <w:r>
        <w:rPr>
          <w:rFonts w:ascii="Century" w:hAnsi="Century" w:cs="David"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שני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זוהה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הקטנוע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יושביו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ופריטי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לבושם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באמצעות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תיעוד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מצלמות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מרחבי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העיר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נצרת</w:t>
      </w:r>
      <w:r>
        <w:rPr>
          <w:rFonts w:cs="David" w:ascii="Century" w:hAnsi="Century"/>
          <w:sz w:val="22"/>
          <w:rtl w:val="true"/>
        </w:rPr>
        <w:t xml:space="preserve">.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והשוואת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ניצבים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אפוא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במוקד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הכרעת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ביסוד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אקדים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ואציג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בקצרה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מסגרת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נורמטיבית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רלוונטית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אגש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ליישומה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ענייננו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לכאורה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אמין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הסתמכות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הסקת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מסקנות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נסיבתיות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בעיניו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במעורבותו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התרשמותו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יתרונה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וקוץ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בהיותה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סברה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הנסמכת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ההבחנה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ומהימנותה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ניצבים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מכשולים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קליטת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קלסתר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בעיני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שמירת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התמונה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בזיכרונו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בעיבוד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זיכרון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מסקנה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המובילה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וכלה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בהעברת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ההתרשמות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0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347/88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דמיאניוק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מז</w:t>
      </w:r>
      <w:r>
        <w:rPr>
          <w:rFonts w:cs="David"/>
          <w:rtl w:val="true"/>
        </w:rPr>
        <w:t>(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221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392-391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1993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דמיאניוק</w:t>
      </w:r>
      <w:r>
        <w:rPr>
          <w:rFonts w:cs="David"/>
          <w:rtl w:val="true"/>
        </w:rPr>
        <w:t xml:space="preserve">)). </w:t>
      </w:r>
      <w:r>
        <w:rPr>
          <w:rFonts w:cs="David"/>
          <w:rtl w:val="true"/>
        </w:rPr>
        <w:t>ואכן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פרסומם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מחקרים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מודעות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לסיכונים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חששות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למהימנותה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להרחבה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יניב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ואקי</w:t>
      </w:r>
      <w:r>
        <w:rPr>
          <w:rFonts w:eastAsia="Garamond"/>
          <w:rtl w:val="true"/>
        </w:rPr>
        <w:t xml:space="preserve"> </w:t>
      </w:r>
      <w:hyperlink r:id="rId31">
        <w:r>
          <w:rPr>
            <w:rStyle w:val="Hyperlink"/>
            <w:rFonts w:ascii="Century" w:hAnsi="Century" w:cs="David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David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1126-1125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2020</w:t>
      </w:r>
      <w:r>
        <w:rPr>
          <w:rFonts w:cs="David"/>
          <w:rtl w:val="true"/>
        </w:rPr>
        <w:t>)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cs="David"/>
          <w:rtl w:val="true"/>
        </w:rPr>
        <w:t xml:space="preserve">)). </w:t>
      </w:r>
      <w:r>
        <w:rPr>
          <w:rFonts w:cs="David"/>
          <w:rtl w:val="true"/>
        </w:rPr>
        <w:t>בכל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כמבצע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מגבלותיו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ונותר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מהכלים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הראייתיים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החשובים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שהשימוש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ייעשה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ובזהירות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המתבקשת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להרשעה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יחידה</w:t>
      </w:r>
      <w:r>
        <w:rPr>
          <w:rFonts w:cs="David"/>
          <w:rtl w:val="true"/>
        </w:rPr>
        <w:t xml:space="preserve">: </w:t>
      </w:r>
      <w:hyperlink r:id="rId32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339/80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לד</w:t>
      </w:r>
      <w:r>
        <w:rPr>
          <w:rFonts w:cs="David"/>
          <w:rtl w:val="true"/>
        </w:rPr>
        <w:t>(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106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110-109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1980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במרוצת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פותחו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בפסיקה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מבחנים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המורכבות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הראייתית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הנלווית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ובפרט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נקודות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התורפה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וטעות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3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8902/11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חזיזה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48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15.11.2012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David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ובמוקדו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סובייקטיבית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המזהה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וכנות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ייבחנו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העדות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בהירותה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היעדרן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ובאיזה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עיניו</w:t>
      </w:r>
      <w:r>
        <w:rPr>
          <w:rFonts w:cs="David"/>
          <w:rtl w:val="true"/>
        </w:rPr>
        <w:t>" (</w:t>
      </w:r>
      <w:r>
        <w:rPr>
          <w:rFonts w:cs="David"/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רקייק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David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ובמוקדו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ייבחנו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שאפפו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ובכללם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זווית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ומצב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התאורה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החשוד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שנחשף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לחשוד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ההשתייכות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האתנית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חברת</w:t>
      </w:r>
      <w:r>
        <w:rPr>
          <w:rFonts w:cs="David"/>
          <w:rtl w:val="true"/>
        </w:rPr>
        <w:t>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במישור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המעשי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צמחה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הפרקטיקה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עריכת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מסדר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החקירה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טביעת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במבחנים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אובייקטיביים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מסדר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היכרות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מוקדמת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בהצבעה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הנסמכת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מהימנותו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התחשבות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ומהימנותה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המבחנים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המפורטים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779/19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22.</w:t>
      </w:r>
      <w:r>
        <w:rPr>
          <w:rFonts w:cs="David"/>
        </w:rPr>
        <w:t>7</w:t>
      </w:r>
      <w:r>
        <w:rPr>
          <w:rFonts w:cs="David"/>
        </w:rPr>
        <w:t>.2019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;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בעמוד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1178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לטעות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קולו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הליכתו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תנועות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וגופו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מהיכרותו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חזיזה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61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ההיכרות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שטחית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ואקי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1171</w:t>
      </w:r>
      <w:r>
        <w:rPr>
          <w:rFonts w:cs="David"/>
          <w:rtl w:val="true"/>
        </w:rPr>
        <w:t>).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הזדמן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קרוביו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אבטחה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ופשר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זאהדה</w:t>
      </w:r>
      <w:r>
        <w:rPr>
          <w:rFonts w:cs="David"/>
          <w:rtl w:val="true"/>
        </w:rPr>
        <w:t>: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David" w:ascii="Century" w:hAnsi="Century"/>
          <w:rtl w:val="true"/>
        </w:rPr>
        <w:t>"</w:t>
      </w:r>
      <w:r>
        <w:rPr>
          <w:rFonts w:ascii="Century" w:hAnsi="Century" w:cs="David"/>
          <w:rtl w:val="true"/>
        </w:rPr>
        <w:t>סרטון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זה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הוצג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ידי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חוקרי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המשטרה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לשלושה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עדים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נוספים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חיריה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זאהדה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David" w:ascii="Century" w:hAnsi="Century"/>
          <w:rtl w:val="true"/>
        </w:rPr>
        <w:t>(</w:t>
      </w:r>
      <w:r>
        <w:rPr>
          <w:rFonts w:ascii="Century" w:hAnsi="Century" w:cs="David"/>
          <w:rtl w:val="true"/>
        </w:rPr>
        <w:t>בתו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הנאשם</w:t>
      </w:r>
      <w:r>
        <w:rPr>
          <w:rFonts w:cs="David" w:ascii="Century" w:hAnsi="Century"/>
          <w:rtl w:val="true"/>
        </w:rPr>
        <w:t xml:space="preserve">), </w:t>
      </w:r>
      <w:r>
        <w:rPr>
          <w:rFonts w:ascii="Century" w:hAnsi="Century" w:cs="David"/>
          <w:rtl w:val="true"/>
        </w:rPr>
        <w:t>קארין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זאהדה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David" w:ascii="Century" w:hAnsi="Century"/>
          <w:rtl w:val="true"/>
        </w:rPr>
        <w:t>(</w:t>
      </w:r>
      <w:r>
        <w:rPr>
          <w:rFonts w:ascii="Century" w:hAnsi="Century" w:cs="David"/>
          <w:rtl w:val="true"/>
        </w:rPr>
        <w:t>רעיית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הנאשם</w:t>
      </w:r>
      <w:r>
        <w:rPr>
          <w:rFonts w:cs="David" w:ascii="Century" w:hAnsi="Century"/>
          <w:rtl w:val="true"/>
        </w:rPr>
        <w:t xml:space="preserve">) </w:t>
      </w:r>
      <w:r>
        <w:rPr>
          <w:rFonts w:ascii="Century" w:hAnsi="Century" w:cs="David"/>
          <w:rtl w:val="true"/>
        </w:rPr>
        <w:t>ואסעד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מחמיד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David" w:ascii="Century" w:hAnsi="Century"/>
          <w:rtl w:val="true"/>
        </w:rPr>
        <w:t>(</w:t>
      </w:r>
      <w:r>
        <w:rPr>
          <w:rFonts w:ascii="Century" w:hAnsi="Century" w:cs="David"/>
          <w:rtl w:val="true"/>
        </w:rPr>
        <w:t>נהגו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הנאשם</w:t>
      </w:r>
      <w:r>
        <w:rPr>
          <w:rFonts w:cs="David" w:ascii="Century" w:hAnsi="Century"/>
          <w:rtl w:val="true"/>
        </w:rPr>
        <w:t xml:space="preserve">). </w:t>
      </w:r>
      <w:r>
        <w:rPr>
          <w:rFonts w:ascii="Century" w:hAnsi="Century" w:cs="David"/>
          <w:rtl w:val="true"/>
        </w:rPr>
        <w:t>השלושה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ששתיים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מהן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מכירות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הנאשם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היטב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זיהו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הנאשם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מספר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פעמים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באופן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מיידי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וספונטאני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כמי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שירד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מרכב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הפיג</w:t>
      </w:r>
      <w:r>
        <w:rPr>
          <w:rFonts w:cs="David" w:ascii="Century" w:hAnsi="Century"/>
          <w:rtl w:val="true"/>
        </w:rPr>
        <w:t>'</w:t>
      </w:r>
      <w:r>
        <w:rPr>
          <w:rFonts w:ascii="Century" w:hAnsi="Century" w:cs="David"/>
          <w:rtl w:val="true"/>
        </w:rPr>
        <w:t>ו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לפי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חולצתו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הירוקה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תיקו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השחור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ואופן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הליכתו</w:t>
      </w:r>
      <w:r>
        <w:rPr>
          <w:rFonts w:cs="David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David"/>
        </w:rPr>
      </w:pPr>
      <w:r>
        <w:rPr>
          <w:rFonts w:cs="David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David"/>
          <w:rtl w:val="true"/>
        </w:rPr>
        <w:t>העדה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חיריה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זאהדה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בעדותה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צפתה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שהוקרן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וזיהתה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מיידי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וספונטאני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השניה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ואח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הרביעית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ודחתה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שהבינה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החוקרים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התברר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המנוחה</w:t>
      </w:r>
      <w:r>
        <w:rPr>
          <w:rFonts w:cs="David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David"/>
        </w:rPr>
      </w:pPr>
      <w:r>
        <w:rPr>
          <w:rFonts w:cs="David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David"/>
        </w:rPr>
      </w:pPr>
      <w:r>
        <w:rPr>
          <w:rFonts w:cs="David" w:ascii="Century" w:hAnsi="Century"/>
          <w:rtl w:val="true"/>
        </w:rPr>
        <w:t xml:space="preserve">[...] </w:t>
      </w:r>
      <w:r>
        <w:rPr>
          <w:rFonts w:ascii="Century" w:hAnsi="Century" w:cs="David"/>
          <w:rtl w:val="true"/>
        </w:rPr>
        <w:t>אישרה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העדה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אין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דבר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המייחד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האדם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היורד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מהרכב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אך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הוסיפה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זיהתה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הנאשם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David" w:ascii="Century" w:hAnsi="Century"/>
          <w:rtl w:val="true"/>
        </w:rPr>
        <w:t>'</w:t>
      </w:r>
      <w:r>
        <w:rPr>
          <w:rFonts w:ascii="Century" w:hAnsi="Century" w:cs="David"/>
          <w:rtl w:val="true"/>
        </w:rPr>
        <w:t>איך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הוא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יורד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מהאוטו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איך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הוא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לבש</w:t>
      </w:r>
      <w:r>
        <w:rPr>
          <w:rFonts w:cs="David" w:ascii="Century" w:hAnsi="Century"/>
          <w:rtl w:val="true"/>
        </w:rPr>
        <w:t>'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כלשונה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ובהמשך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הוסיפה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גם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תנועות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גופו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כמו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גם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תיקו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השחור</w:t>
      </w:r>
      <w:r>
        <w:rPr>
          <w:rFonts w:cs="David" w:ascii="Century" w:hAnsi="Century"/>
          <w:rtl w:val="true"/>
        </w:rPr>
        <w:t>" (</w:t>
      </w:r>
      <w:hyperlink r:id="rId35">
        <w:r>
          <w:rPr>
            <w:rStyle w:val="Hyperlink"/>
            <w:rFonts w:ascii="Century" w:hAnsi="Century" w:cs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David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Century" w:hAnsi="Century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Century" w:hAnsi="Century"/>
            <w:color w:val="0000FF"/>
            <w:u w:val="single"/>
          </w:rPr>
          <w:t>42731-07-12</w:t>
        </w:r>
      </w:hyperlink>
      <w:r>
        <w:rPr>
          <w:rFonts w:cs="David" w:ascii="Century" w:hAnsi="Century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זאהדה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 w:ascii="Century" w:hAnsi="Century"/>
          <w:rtl w:val="true"/>
        </w:rPr>
        <w:t>(</w:t>
      </w:r>
      <w:r>
        <w:rPr>
          <w:rFonts w:cs="David" w:ascii="Century" w:hAnsi="Century"/>
        </w:rPr>
        <w:t>9.9.2014</w:t>
      </w:r>
      <w:r>
        <w:rPr>
          <w:rFonts w:cs="David" w:ascii="Century" w:hAnsi="Century"/>
          <w:rtl w:val="true"/>
        </w:rPr>
        <w:t>)</w:t>
      </w:r>
      <w:r>
        <w:rPr>
          <w:rFonts w:cs="David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David"/>
        </w:rPr>
      </w:pPr>
      <w:r>
        <w:rPr>
          <w:rFonts w:cs="David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יתרה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רשאי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להתרשם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ממראה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עיניו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ולקבוע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קביעות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שתפקידו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השיפוטי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מחייבו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בסמכותו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לזהות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נדרשת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השוואת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דמותו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לדמות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הניבטת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תמונה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מצלמה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לעיתים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בהכרח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יתרון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מומחה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מקצועי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התרשמות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עיניו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דורש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מומחיות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היכרות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ייחודית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דמיאניוק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בעמודים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330-329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נותרים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קשיים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מובנים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מהימנות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כשלעצמו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משהתרשמות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עומדת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למבחן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החקירה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שכנגד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לנקוט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עיניו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6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4204/07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סוויסה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23.10.2008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ומן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הפרט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השתכנעתי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קביעותיו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מבוססות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ומעוגנות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cs="David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רשאד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שאער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שכנו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עדן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אחותו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ועבד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אלקאדר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שנחשד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כנהג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צולח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שני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המבחנים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cs="David"/>
          <w:rtl w:val="true"/>
        </w:rPr>
        <w:t>הנדרשים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בבחינת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וכנות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נקודת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לדיוננו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ערכאת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נוהגת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בממצאי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עובדה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ומהימנות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נקבעו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הערכאה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הדיונית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שהתרשמה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באורח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שהובאו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בפניה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ומהשתלבותן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במארג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נדרשת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מלאכת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מחשבת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מהערכאה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הדיונית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שנשמעות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לפניה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כוללות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סתירות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ושינויי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גרסאות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המצריכים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מוץ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הגרסה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המהימנה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7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6322/20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פסקאות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28-26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18.9.2022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; </w:t>
      </w:r>
      <w:hyperlink r:id="rId38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8199/20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זיאדאת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27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30.</w:t>
      </w:r>
      <w:r>
        <w:rPr>
          <w:rFonts w:cs="David"/>
        </w:rPr>
        <w:t>4</w:t>
      </w:r>
      <w:r>
        <w:rPr>
          <w:rFonts w:cs="David"/>
        </w:rPr>
        <w:t>.2023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נכונים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בענייננו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שחלק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מגרסתם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הכחישו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במפורש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דבריהם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בחקירות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היתממו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במסקנת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קמא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ביכר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בחקירתם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גרסה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צולח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הזיהוי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כשלעצמו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ונכונות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העדות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מהימן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ואיכותי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אמת</w:t>
      </w:r>
      <w:r>
        <w:rPr>
          <w:rFonts w:cs="David"/>
          <w:rtl w:val="true"/>
        </w:rPr>
        <w:t xml:space="preserve">" – </w:t>
      </w:r>
      <w:r>
        <w:rPr>
          <w:rFonts w:cs="David"/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אמצעי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נצפו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ונוכחו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עבורם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ולתאר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עיניהם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התבשרו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אופיו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המפליל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למערער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מכירים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בעדן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ברשאד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שכנו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ואכד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</w:t>
      </w:r>
      <w:r>
        <w:rPr>
          <w:rFonts w:cs="David" w:ascii="Century" w:hAnsi="Century"/>
          <w:b/>
          <w:spacing w:val="0"/>
          <w:szCs w:val="24"/>
          <w:rtl w:val="true"/>
        </w:rPr>
        <w:t>'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השכן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שגדלנו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בשכונה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>" 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161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34-33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איכותי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וברמה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גבוהה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וברובו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באיכות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שזווית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הצילום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מתעדת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המעורב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הצילום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הנצפה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מהימן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David"/>
          <w:sz w:val="22"/>
        </w:rPr>
      </w:pP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המקצועית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איכות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ותנאיו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יתרון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המומחית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התרשמות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היכרות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קרובה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וטובה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הבהירה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המומחית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cs="David" w:ascii="Century" w:hAnsi="Century"/>
          <w:sz w:val="22"/>
          <w:rtl w:val="true"/>
        </w:rPr>
        <w:t>"</w:t>
      </w:r>
      <w:r>
        <w:rPr>
          <w:rFonts w:ascii="Century" w:hAnsi="Century" w:cs="David"/>
          <w:sz w:val="22"/>
          <w:sz w:val="22"/>
          <w:rtl w:val="true"/>
        </w:rPr>
        <w:t>אנחנו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מאוד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מאוד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טובים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לזהות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אנשים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שאנחנו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מכירים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cs="David" w:ascii="Century" w:hAnsi="Century"/>
          <w:sz w:val="22"/>
          <w:rtl w:val="true"/>
        </w:rPr>
        <w:t xml:space="preserve">[...]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ממומחה</w:t>
      </w:r>
      <w:r>
        <w:rPr>
          <w:rFonts w:cs="David" w:ascii="Century" w:hAnsi="Century"/>
          <w:sz w:val="22"/>
          <w:rtl w:val="true"/>
        </w:rPr>
        <w:t>" (</w:t>
      </w:r>
      <w:r>
        <w:rPr>
          <w:rFonts w:ascii="Century" w:hAnsi="Century" w:cs="David"/>
          <w:sz w:val="22"/>
          <w:sz w:val="22"/>
          <w:rtl w:val="true"/>
        </w:rPr>
        <w:t>פרו</w:t>
      </w:r>
      <w:r>
        <w:rPr>
          <w:rFonts w:cs="David" w:ascii="Century" w:hAnsi="Century"/>
          <w:sz w:val="22"/>
          <w:rtl w:val="true"/>
        </w:rPr>
        <w:t xml:space="preserve">' </w:t>
      </w:r>
      <w:r>
        <w:rPr>
          <w:rFonts w:ascii="Century" w:hAnsi="Century" w:cs="David"/>
          <w:sz w:val="22"/>
          <w:sz w:val="22"/>
          <w:rtl w:val="true"/>
        </w:rPr>
        <w:t>הדיון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מיום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cs="David" w:ascii="Century" w:hAnsi="Century"/>
          <w:sz w:val="22"/>
        </w:rPr>
        <w:t>1.7.2020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עמ</w:t>
      </w:r>
      <w:r>
        <w:rPr>
          <w:rFonts w:cs="David" w:ascii="Century" w:hAnsi="Century"/>
          <w:sz w:val="22"/>
          <w:rtl w:val="true"/>
        </w:rPr>
        <w:t xml:space="preserve">' </w:t>
      </w:r>
      <w:r>
        <w:rPr>
          <w:rFonts w:cs="David" w:ascii="Century" w:hAnsi="Century"/>
          <w:sz w:val="22"/>
        </w:rPr>
        <w:t>257</w:t>
      </w:r>
      <w:r>
        <w:rPr>
          <w:rFonts w:cs="David" w:ascii="Century" w:hAnsi="Century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</w:t>
      </w:r>
      <w:r>
        <w:rPr>
          <w:rFonts w:cs="David" w:ascii="Century" w:hAnsi="Century"/>
          <w:sz w:val="22"/>
          <w:rtl w:val="true"/>
        </w:rPr>
        <w:t xml:space="preserve">' </w:t>
      </w:r>
      <w:r>
        <w:rPr>
          <w:rFonts w:cs="David" w:ascii="Century" w:hAnsi="Century"/>
          <w:sz w:val="22"/>
        </w:rPr>
        <w:t>31</w:t>
      </w:r>
      <w:r>
        <w:rPr>
          <w:rFonts w:cs="David" w:ascii="Century" w:hAnsi="Century"/>
          <w:sz w:val="22"/>
          <w:rtl w:val="true"/>
        </w:rPr>
        <w:t>-</w:t>
      </w:r>
      <w:r>
        <w:rPr>
          <w:rFonts w:ascii="Century" w:hAnsi="Century" w:cs="David"/>
          <w:sz w:val="22"/>
          <w:sz w:val="22"/>
          <w:rtl w:val="true"/>
        </w:rPr>
        <w:t>עמ</w:t>
      </w:r>
      <w:r>
        <w:rPr>
          <w:rFonts w:cs="David" w:ascii="Century" w:hAnsi="Century"/>
          <w:sz w:val="22"/>
          <w:rtl w:val="true"/>
        </w:rPr>
        <w:t xml:space="preserve">' </w:t>
      </w:r>
      <w:r>
        <w:rPr>
          <w:rFonts w:cs="David" w:ascii="Century" w:hAnsi="Century"/>
          <w:sz w:val="22"/>
        </w:rPr>
        <w:t>258</w:t>
      </w:r>
      <w:r>
        <w:rPr>
          <w:rFonts w:cs="David" w:ascii="Century" w:hAnsi="Century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</w:t>
      </w:r>
      <w:r>
        <w:rPr>
          <w:rFonts w:cs="David" w:ascii="Century" w:hAnsi="Century"/>
          <w:sz w:val="22"/>
          <w:rtl w:val="true"/>
        </w:rPr>
        <w:t xml:space="preserve">' </w:t>
      </w:r>
      <w:r>
        <w:rPr>
          <w:rFonts w:cs="David" w:ascii="Century" w:hAnsi="Century"/>
          <w:sz w:val="22"/>
        </w:rPr>
        <w:t>5</w:t>
      </w:r>
      <w:r>
        <w:rPr>
          <w:rFonts w:cs="David" w:ascii="Century" w:hAnsi="Century"/>
          <w:sz w:val="22"/>
          <w:rtl w:val="true"/>
        </w:rPr>
        <w:t xml:space="preserve">) </w:t>
      </w:r>
      <w:r>
        <w:rPr>
          <w:rFonts w:ascii="Century" w:hAnsi="Century" w:cs="David"/>
          <w:sz w:val="22"/>
          <w:sz w:val="22"/>
          <w:rtl w:val="true"/>
        </w:rPr>
        <w:t>והוסיפה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cs="David" w:ascii="Century" w:hAnsi="Century"/>
          <w:sz w:val="22"/>
          <w:rtl w:val="true"/>
        </w:rPr>
        <w:t>"</w:t>
      </w:r>
      <w:r>
        <w:rPr>
          <w:rFonts w:ascii="Century" w:hAnsi="Century" w:cs="David"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שאני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הגעתי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לתמיכה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נמוכה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משווה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חשוד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תמונות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חשוד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שאני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מכירה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ורואה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בפעם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הראשונה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אנשים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מהאזור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מגורים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הורים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cs="David" w:ascii="Century" w:hAnsi="Century"/>
          <w:sz w:val="22"/>
          <w:rtl w:val="true"/>
        </w:rPr>
        <w:t xml:space="preserve">[...] </w:t>
      </w:r>
      <w:r>
        <w:rPr>
          <w:rFonts w:ascii="Century" w:hAnsi="Century" w:cs="David"/>
          <w:sz w:val="22"/>
          <w:sz w:val="22"/>
          <w:rtl w:val="true"/>
        </w:rPr>
        <w:t>אז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מצב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יצליחו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לזהות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ודאית</w:t>
      </w:r>
      <w:r>
        <w:rPr>
          <w:rFonts w:cs="David" w:ascii="Century" w:hAnsi="Century"/>
          <w:sz w:val="22"/>
          <w:rtl w:val="true"/>
        </w:rPr>
        <w:t>" (</w:t>
      </w:r>
      <w:r>
        <w:rPr>
          <w:rFonts w:ascii="Century" w:hAnsi="Century" w:cs="David"/>
          <w:sz w:val="22"/>
          <w:sz w:val="22"/>
          <w:rtl w:val="true"/>
        </w:rPr>
        <w:t>שם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בעמ</w:t>
      </w:r>
      <w:r>
        <w:rPr>
          <w:rFonts w:cs="David" w:ascii="Century" w:hAnsi="Century"/>
          <w:sz w:val="22"/>
          <w:rtl w:val="true"/>
        </w:rPr>
        <w:t xml:space="preserve">' </w:t>
      </w:r>
      <w:r>
        <w:rPr>
          <w:rFonts w:cs="David" w:ascii="Century" w:hAnsi="Century"/>
          <w:sz w:val="22"/>
        </w:rPr>
        <w:t>258</w:t>
      </w:r>
      <w:r>
        <w:rPr>
          <w:rFonts w:cs="David" w:ascii="Century" w:hAnsi="Century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</w:t>
      </w:r>
      <w:r>
        <w:rPr>
          <w:rFonts w:cs="David" w:ascii="Century" w:hAnsi="Century"/>
          <w:sz w:val="22"/>
          <w:rtl w:val="true"/>
        </w:rPr>
        <w:t xml:space="preserve">' </w:t>
      </w:r>
      <w:r>
        <w:rPr>
          <w:rFonts w:cs="David" w:ascii="Century" w:hAnsi="Century"/>
          <w:sz w:val="22"/>
        </w:rPr>
        <w:t>9-7</w:t>
      </w:r>
      <w:r>
        <w:rPr>
          <w:rFonts w:cs="David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David"/>
          <w:sz w:val="22"/>
        </w:rPr>
      </w:pPr>
      <w:r>
        <w:rPr>
          <w:rFonts w:cs="David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באולמו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והעיד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מומחיות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תווי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תאורה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משופרים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עיניה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מסוימות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ותג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הנחזה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והשוואתם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והשוו</w:t>
      </w:r>
      <w:r>
        <w:rPr>
          <w:rFonts w:cs="David"/>
          <w:rtl w:val="true"/>
        </w:rPr>
        <w:t xml:space="preserve">: </w:t>
      </w:r>
      <w:hyperlink r:id="rId39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87/53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אל</w:t>
      </w:r>
      <w:r>
        <w:rPr>
          <w:rFonts w:cs="David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נבארי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964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972-973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1953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מכאן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קצרה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לדחיית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היאחזות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רקייק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והשוואתו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רקייק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כעולה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מפסק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התבצע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בהקלטת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מטושטש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בחלקו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בחלקו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מואר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בוהק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פניו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מכוסים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ונחזים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לקו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לפרק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והיכרות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המזהה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מפגשים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ספורדיים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במרוצת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המקרה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בתכלית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לאמינות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למהימנותו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כמפורט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תנאי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התאורה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באיכות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בזמן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אמת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היכרות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קרובה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וטובה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נכון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הרחיק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והבדיל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רקייק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מהמקרה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מקובלת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עליי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מסקנתו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פריטי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והשוואתם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המקיף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והאיכותי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האבטחה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בוודאות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בחצר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cs="David"/>
          <w:rtl w:val="true"/>
        </w:rPr>
        <w:t xml:space="preserve">,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זורק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רישוי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האשפה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בחצר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רכוב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ומבצע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cs="David"/>
          <w:rtl w:val="true"/>
        </w:rPr>
        <w:t xml:space="preserve">,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בדיוק</w:t>
      </w:r>
      <w:r>
        <w:rPr>
          <w:rFonts w:cs="David"/>
          <w:rtl w:val="true"/>
        </w:rPr>
        <w:t>" (</w:t>
      </w:r>
      <w:r>
        <w:rPr>
          <w:rFonts w:cs="David"/>
          <w:rtl w:val="true"/>
        </w:rPr>
        <w:t>הכרעת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מסקנת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נעשתה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ובהסתמך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לנוכח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הסימנים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המזהים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והצטברותם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כוחם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המצרפי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אפוא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שכנע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בהשוואת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יתרון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נערכה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בסיס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עיניו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להבנתי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ממילא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מצביעה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מסקנת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בינונית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האירועים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משמעות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מסקנה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בהתאם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למפורט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נמצאה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במאפיינים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סוגיים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מאפיינים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הנובעים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לרוב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מתהליך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היצור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המוצר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אקראיים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דוגמאות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למאפיינים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גוון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דפוס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דגם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וזאת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ממאפיינים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אקראיים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מאפיינים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שהתרחשו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באקראי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ויכולים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להתרחש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מתהליכי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ייצור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במוצר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הנובעת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מתהליך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הייצור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מתהליכים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המאוחרים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לייצור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החפץ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כגון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תהליכי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קריעה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תהליכי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החפץ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וכד</w:t>
      </w:r>
      <w:r>
        <w:rPr>
          <w:rFonts w:cs="David"/>
          <w:rtl w:val="true"/>
        </w:rPr>
        <w:t xml:space="preserve">'). </w:t>
      </w:r>
      <w:r>
        <w:rPr>
          <w:rFonts w:cs="David"/>
          <w:rtl w:val="true"/>
        </w:rPr>
        <w:t>מאפיינים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לייחודיותו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המוצר</w:t>
      </w:r>
      <w:r>
        <w:rPr>
          <w:rFonts w:cs="David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רוצה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המסקנה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בינונית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גרידא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התאמה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שזוהתה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המומחית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לזקוף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מבטאת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מסקנה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צנועה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נמצאה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מאפיינים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סוגיים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בלבד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אותרו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כלל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קיומם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rtl w:val="true"/>
        </w:rPr>
        <w:t>מאפיינים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אקראיים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ביכולתם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לשכלל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בחינת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ההתאמה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לכדי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תמיכה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גבוהה</w:t>
      </w:r>
      <w:r>
        <w:rPr>
          <w:rFonts w:cs="David" w:ascii="Century" w:hAnsi="Century"/>
          <w:sz w:val="22"/>
          <w:rtl w:val="true"/>
        </w:rPr>
        <w:t xml:space="preserve">. </w:t>
      </w:r>
      <w:r>
        <w:rPr>
          <w:rFonts w:ascii="Century" w:hAnsi="Century" w:cs="David"/>
          <w:sz w:val="22"/>
          <w:sz w:val="22"/>
          <w:rtl w:val="true"/>
        </w:rPr>
        <w:t>כך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המומחית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הסבירה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ממצאי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חוות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הדעת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באומרה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cs="David" w:ascii="Century" w:hAnsi="Century"/>
          <w:sz w:val="22"/>
          <w:rtl w:val="true"/>
        </w:rPr>
        <w:t>"</w:t>
      </w:r>
      <w:r>
        <w:rPr>
          <w:rFonts w:ascii="Century" w:hAnsi="Century" w:cs="David"/>
          <w:sz w:val="22"/>
          <w:sz w:val="22"/>
          <w:rtl w:val="true"/>
        </w:rPr>
        <w:t>תמיכה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בינונית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אומר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שזה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אותה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סדרה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הקסדה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אותה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סדרה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החולצה</w:t>
      </w:r>
      <w:r>
        <w:rPr>
          <w:rFonts w:cs="David" w:ascii="Century" w:hAnsi="Century"/>
          <w:sz w:val="22"/>
          <w:rtl w:val="true"/>
        </w:rPr>
        <w:t xml:space="preserve">, </w:t>
      </w:r>
      <w:r>
        <w:rPr>
          <w:rFonts w:ascii="Century" w:hAnsi="Century" w:cs="David"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הפריט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הספציפי</w:t>
      </w:r>
      <w:r>
        <w:rPr>
          <w:rFonts w:cs="David" w:ascii="Century" w:hAnsi="Century"/>
          <w:sz w:val="22"/>
          <w:rtl w:val="true"/>
        </w:rPr>
        <w:t xml:space="preserve">? </w:t>
      </w:r>
      <w:r>
        <w:rPr>
          <w:rFonts w:ascii="Century" w:hAnsi="Century" w:cs="David"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יכולה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David"/>
          <w:sz w:val="22"/>
          <w:sz w:val="22"/>
          <w:rtl w:val="true"/>
        </w:rPr>
        <w:t>להגיד</w:t>
      </w:r>
      <w:r>
        <w:rPr>
          <w:rFonts w:cs="David" w:ascii="Century" w:hAnsi="Century"/>
          <w:sz w:val="22"/>
          <w:rtl w:val="true"/>
        </w:rPr>
        <w:t>"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פרו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הדיון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1.7.2020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258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19-18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משכך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סבור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מסקנת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סותרת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שראו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המותב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קמא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עיני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ועיניי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בהקשר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רקייק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רקייק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השוואה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נמצאו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גופו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כמבצע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שכיחות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באוכלוסייה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הרלוונטית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לעומת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שנדרש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השוואה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סמוכים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תמונות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האחת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דקות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בודדות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ממסלול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ואירוע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יודגש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טרם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הרוכב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שזוהה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cs="David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הנה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אמיתי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ומהימן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זוהו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מתאים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ומדויק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ברחבי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ומבצע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בעקבותיו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הזיהוי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אפוא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מסקנות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הצפייה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אמינות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ומהימנות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נדבך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rtl w:val="true"/>
        </w:rPr>
        <w:t>מארג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משזוהה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ונמצאה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במופעים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כמפורט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להסיק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להשיב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לשאלה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להשלים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חור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ברצף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בדמות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לנקודה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תועדו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רוכבי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מארג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הנסיבתיות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ומסקנות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בסיסן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ממלאים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הראייתי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ואינם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מותירים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שזוהה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הצטברות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בצהרי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למאפייה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יתצפת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ויתדרך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ושותפו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זייף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רישוי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שתועד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שאריות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הרישוי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בודדות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הזהה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בלבושו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לפריטי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איכותי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שרוכבי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זממם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היציאה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הסמוכה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הועמסו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השייך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והדגם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תועד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ודגם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שרופים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צירופן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בסיסן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ממלאים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שנפער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ורוצח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משיג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בפירוט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ואחת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קביעות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ואחרות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בראי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הכלל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הידוע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שערכאת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תטה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בממצאי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עובדה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ומהימנות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נקבעו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הערכאה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הדיונית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ומשלא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מצאתי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לחרוג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בהקשר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להידחות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לטענת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המשיבה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הוכיחה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קיומו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מניע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כידוע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שהמניע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יסודות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קיומו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היעדרו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עשויים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להוות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נסיבתית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רלוונטית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ובעלת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0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1130/19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27.12.2020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לנוכח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המכביד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קיומו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היעדרו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מניע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מוריד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המקים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לאפשרות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למול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מארג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גרסתו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נותרה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חסרת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בסיס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ומופרכת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היותה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רצופה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בסתירות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פנימיות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התאמות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האובייקטיביות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כשלעצמן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כמפורט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גרסתו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הבסיסית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ייתכן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הואיל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הרמדאן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לטענתו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אולי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למכולת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למסגד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אולם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התקשה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לצקת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ופרטים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לגרסתו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הבסיסית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והדלה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שבחקירותיו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סרב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לאיזה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מכולת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מסגד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בעדותו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נידב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המידע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הדרוש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והסביר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בחקירותיו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זכר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לאן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ושינה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גרסתו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בתחילה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הבהיר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וכך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לפתע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נזכר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משתמש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הביואיק</w:t>
      </w:r>
      <w:r>
        <w:rPr>
          <w:rFonts w:cs="David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שהובהר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בחצר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המכירים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התכחש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לזיהויו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והתמיד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שכונת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מגוריו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ובהמשך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הכחיש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המתועד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בתמונה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ואיכותית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צולמה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חקירתו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נגועה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היורדים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לליבת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הניצבות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מצטרפים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למארג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ועולים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1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3965/22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29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30.</w:t>
      </w:r>
      <w:r>
        <w:rPr>
          <w:rFonts w:cs="David"/>
        </w:rPr>
        <w:t>3</w:t>
      </w:r>
      <w:r>
        <w:rPr>
          <w:rFonts w:cs="David"/>
        </w:rPr>
        <w:t>.2023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תרחיש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חלופי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ומזכה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הרשעת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נסמכת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התלת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שלבי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הדרוש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בהרשעה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נסיבתיות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ובכלל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הדרישה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לבחינת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חלופי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הבהרתי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ימנע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מעצמו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בחינת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קיומו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תרחיש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מזכה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בכוחו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בגרסת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יודגש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תרחיש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להתיישב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חלופי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2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8030/21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43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25.12.2022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רוכבים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לבושים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בבגדים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לבגדים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נצפו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ושותפו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ההתארגנות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רוכבים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בתרחיש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דמיוני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לחלוטין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היטיב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לסכם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כוחן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בהדגישו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cs="David"/>
          <w:rtl w:val="true"/>
        </w:rPr>
        <w:t>: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5"/>
        <w:ind w:end="1282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נדיר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דמיוני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מהרשעת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</w:t>
      </w:r>
      <w:r>
        <w:rPr>
          <w:rFonts w:cs="David" w:ascii="Century" w:hAnsi="Century"/>
          <w:b/>
          <w:spacing w:val="0"/>
          <w:szCs w:val="24"/>
          <w:rtl w:val="true"/>
        </w:rPr>
        <w:t>'</w:t>
      </w:r>
      <w:r>
        <w:rPr>
          <w:rFonts w:cs="David"/>
          <w:rtl w:val="true"/>
        </w:rPr>
        <w:t xml:space="preserve">]. </w:t>
      </w:r>
      <w:r>
        <w:rPr>
          <w:rFonts w:cs="David"/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הביגוד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הרוכב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לזיהויו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מצולם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בזמנים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החולצות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הלבנה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חולצת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הגולגולת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שהופקו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מהמכשיר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שאחיו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משוחח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המאפיה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שחלקי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שרופים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הועמסו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מחצר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שבבעלו</w:t>
      </w:r>
      <w:r>
        <w:rPr>
          <w:rFonts w:cs="David"/>
          <w:rtl w:val="true"/>
        </w:rPr>
        <w:t>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צירופי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למסקנה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Fonts w:cs="David"/>
          <w:rtl w:val="true"/>
        </w:rPr>
        <w:t>" (</w:t>
      </w:r>
      <w:r>
        <w:rPr>
          <w:rFonts w:cs="David"/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139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הנה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שוכנעתי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מארג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המשמעותי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עדויות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שקריו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גרסתו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הרעועה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והיעדר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חלופי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מזכה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המתיישב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מלמדים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David"/>
          <w:b/>
          <w:spacing w:val="0"/>
          <w:sz w:val="22"/>
          <w:szCs w:val="24"/>
        </w:rPr>
      </w:pP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חקירה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 w:val="22"/>
          <w:szCs w:val="24"/>
        </w:rPr>
      </w:pPr>
      <w:r>
        <w:rPr>
          <w:rFonts w:cs="David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חלק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נכבד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מהטענות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בערעור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נסובות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מחדלי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חקירה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לטענת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בהגנתו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טענות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ואחרות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נטענו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מכבר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התמודד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עמן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והפריכן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כידוע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מחדלים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שנפלו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בחקירת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להוביל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לזיכויו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יבחן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השפיע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מחדל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החקירה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הגנת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והאם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נגלה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לאשמתו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3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2261/21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34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24.10.2022</w:t>
      </w:r>
      <w:r>
        <w:rPr>
          <w:rFonts w:cs="David"/>
          <w:rtl w:val="true"/>
        </w:rPr>
        <w:t xml:space="preserve">)). </w:t>
      </w:r>
      <w:r>
        <w:rPr>
          <w:rFonts w:cs="David"/>
          <w:rtl w:val="true"/>
        </w:rPr>
        <w:t>יתרה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תשתית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ראייתית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מספקת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להוכחת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בקיומם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מחדלי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חקירה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כשלעצמם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לזיכויו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5066/18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רוזקוב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57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4.9.2022</w:t>
      </w:r>
      <w:r>
        <w:rPr>
          <w:rFonts w:cs="David"/>
          <w:rtl w:val="true"/>
        </w:rPr>
        <w:t>)).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rFonts w:cs="David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חלק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רביעי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1985-1984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2009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; </w:t>
      </w:r>
      <w:hyperlink r:id="rId46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8957/21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קרא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48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21.</w:t>
      </w:r>
      <w:r>
        <w:rPr>
          <w:rFonts w:cs="David"/>
        </w:rPr>
        <w:t>5</w:t>
      </w:r>
      <w:r>
        <w:rPr>
          <w:rFonts w:cs="David"/>
        </w:rPr>
        <w:t>.2023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קרא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תשאול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הוואקף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הקברות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שרוכבי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תשאול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שכני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בשכונה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המוקד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אינו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האם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ניתן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היה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לנקוט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בצעדי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חקירה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נוספים</w:t>
      </w:r>
      <w:r>
        <w:rPr>
          <w:rFonts w:cs="David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אלא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האם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ישנן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די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ראיות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המוכיחות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את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האישום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מעבר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לספק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סבי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ר</w:t>
      </w:r>
      <w:r>
        <w:rPr>
          <w:rFonts w:cs="David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זאת</w:t>
      </w:r>
      <w:r>
        <w:rPr>
          <w:rFonts w:ascii="FrankRuehl" w:hAnsi="FrankRuehl" w:eastAsia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shd w:fill="FFFFFF" w:val="clear"/>
          <w:rtl w:val="true"/>
        </w:rPr>
        <w:t>ועוד</w:t>
      </w:r>
      <w:r>
        <w:rPr>
          <w:rFonts w:cs="David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>קירה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כבקשתך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קנויה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מכלכלת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צעדיה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ומקצה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משאביה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החקירתיים</w:t>
      </w:r>
      <w:r>
        <w:rPr>
          <w:rFonts w:cs="David"/>
          <w:rtl w:val="true"/>
        </w:rPr>
        <w:t>" (</w:t>
      </w:r>
      <w:hyperlink r:id="rId47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9306/20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ברגות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29.</w:t>
      </w:r>
      <w:r>
        <w:rPr>
          <w:rFonts w:cs="David"/>
        </w:rPr>
        <w:t>4</w:t>
      </w:r>
      <w:r>
        <w:rPr>
          <w:rFonts w:cs="David"/>
        </w:rPr>
        <w:t>.2021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החוסר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הראייתי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מהמאפייה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נפרקו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ונבדקו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משעות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הבוקר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כידוע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מחויבות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בהבאת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המקסימלית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בקיומן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מספקות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בכוחן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8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2127/17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עלוש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38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28.2.2018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קרא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>).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שישנן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מספקות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שנצבר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ומסתברת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אוסיף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במחדלי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הנטענים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וכולם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לקפח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לאשמתו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9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9284/17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חורש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5.3.2020</w:t>
      </w:r>
      <w:r>
        <w:rPr>
          <w:rFonts w:cs="David"/>
          <w:rtl w:val="true"/>
        </w:rPr>
        <w:t>)).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כמו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בטענת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אכיפה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בררנית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משהועמד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שנהג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שותפו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הועמד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תנאי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בסיסי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לקיומה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אכיפה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בררנית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הוכחת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הפליה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סטייה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ממדיניות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50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6322/20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42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18.</w:t>
      </w:r>
      <w:r>
        <w:rPr>
          <w:rFonts w:cs="David"/>
        </w:rPr>
        <w:t>9</w:t>
      </w:r>
      <w:r>
        <w:rPr>
          <w:rFonts w:cs="David"/>
        </w:rPr>
        <w:t>.2022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הבהירה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המשיבה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בתגובתה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להבחין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פריטי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הלבוש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הייחודיים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השותף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המשמעות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ידועה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להוכיח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אחריותו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לספק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שיקולים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ראייתיים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מהווים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שוני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ושותפו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לעניין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העמדתם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רחאל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עמדתי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מנע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במוצא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להעמיד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מעורבים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גרסאות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סותרות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מהימנות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לדחות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טענתו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אכיפה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בררנית</w:t>
      </w:r>
      <w:r>
        <w:rPr>
          <w:rFonts w:cs="David"/>
          <w:rtl w:val="true"/>
        </w:rPr>
        <w:t>" (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43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משנקבע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5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300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בנוסחו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לשונו</w:t>
      </w:r>
      <w:r>
        <w:rPr>
          <w:rFonts w:cs="David"/>
          <w:rtl w:val="true"/>
        </w:rPr>
        <w:t>: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David"/>
          <w:rtl w:val="true"/>
        </w:rPr>
        <w:t>"</w:t>
      </w:r>
      <w:r>
        <w:rPr>
          <w:rFonts w:cs="David"/>
        </w:rPr>
        <w:t>300</w:t>
      </w:r>
      <w:r>
        <w:rPr>
          <w:rFonts w:cs="David"/>
          <w:rtl w:val="true"/>
        </w:rPr>
        <w:t>. 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   </w:t>
      </w:r>
      <w:r>
        <w:rPr>
          <w:rFonts w:cs="David"/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ודינו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>: [...]</w:t>
      </w:r>
    </w:p>
    <w:p>
      <w:pPr>
        <w:pStyle w:val="Ruller5"/>
        <w:ind w:end="1282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הכנות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ביצועה</w:t>
      </w:r>
      <w:r>
        <w:rPr>
          <w:rFonts w:cs="David"/>
          <w:rtl w:val="true"/>
        </w:rPr>
        <w:t>"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תוצאתית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מתגבש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ולצורך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52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1102/22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ראדי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29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23.</w:t>
      </w:r>
      <w:r>
        <w:rPr>
          <w:rFonts w:cs="David"/>
        </w:rPr>
        <w:t>4</w:t>
      </w:r>
      <w:r>
        <w:rPr>
          <w:rFonts w:cs="David"/>
        </w:rPr>
        <w:t>.2023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ולהתקיימות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חפצי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המוות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לתוצא</w:t>
      </w:r>
      <w:r>
        <w:rPr>
          <w:rFonts w:cs="David"/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53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6026/11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טמטאווי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86-85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24.8.2015</w:t>
      </w:r>
      <w:r>
        <w:rPr>
          <w:rFonts w:cs="David"/>
          <w:rtl w:val="true"/>
        </w:rPr>
        <w:t>)).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האחרת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פורש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שיסודותיה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נבלעים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5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97/57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כדורי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לממשלה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יב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1345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1357-1356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1958</w:t>
      </w:r>
      <w:r>
        <w:rPr>
          <w:rFonts w:cs="David"/>
          <w:rtl w:val="true"/>
        </w:rPr>
        <w:t>))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האחרת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ייחודיים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כרוכה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מסכנת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55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4711/03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זייד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44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15.1.2009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לרפורמה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hyperlink r:id="rId5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cs="David"/>
          </w:rPr>
          <w:t>301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hyperlink r:id="rId57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2083/22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33-28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5</w:t>
      </w:r>
      <w:r>
        <w:rPr>
          <w:rFonts w:cs="David"/>
        </w:rPr>
        <w:t>.</w:t>
      </w:r>
      <w:r>
        <w:rPr>
          <w:rFonts w:cs="David"/>
        </w:rPr>
        <w:t>2</w:t>
      </w:r>
      <w:r>
        <w:rPr>
          <w:rFonts w:cs="David"/>
        </w:rPr>
        <w:t>.2023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יין</w:t>
      </w:r>
      <w:r>
        <w:rPr>
          <w:rFonts w:cs="David"/>
          <w:rtl w:val="true"/>
        </w:rPr>
        <w:t>)).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בענייננו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רכוב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צרור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לעברה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ולכיוונו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ניצב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בפתחה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לפחות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בכיוון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כפי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שהעיד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המשיך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לאחור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כמפורט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ברכבה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גאדה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אספניול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וכדור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פגע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בליבו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והמיתו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צהרי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נוסעות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בכביש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ותלמידים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דרכם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הספר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מתנפצת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מבליח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רוכבים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הרוכב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נשען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לאחור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צרור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ומותיר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מאחוריו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נזק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rtl w:val="true"/>
        </w:rPr>
        <w:t>והרוג</w:t>
      </w:r>
      <w:r>
        <w:rPr>
          <w:rFonts w:cs="David" w:ascii="Century" w:hAnsi="Century"/>
          <w:rtl w:val="true"/>
        </w:rPr>
        <w:t xml:space="preserve">. </w:t>
      </w:r>
      <w:r>
        <w:rPr>
          <w:rFonts w:ascii="Century" w:hAnsi="Century" w:cs="David"/>
          <w:rtl w:val="true"/>
        </w:rPr>
        <w:t>במעשים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אלו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ניכר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המערער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היה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אדיש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לאפשרות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גרימת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המוות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שבמעשיו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הוא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גמר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אומר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לירות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לעברו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סלים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כאשר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David" w:ascii="Century" w:hAnsi="Century"/>
          <w:rtl w:val="true"/>
        </w:rPr>
        <w:t>"</w:t>
      </w:r>
      <w:r>
        <w:rPr>
          <w:rFonts w:ascii="Century" w:hAnsi="Century" w:cs="David"/>
          <w:rtl w:val="true"/>
        </w:rPr>
        <w:t>לא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אכפת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לו</w:t>
      </w:r>
      <w:r>
        <w:rPr>
          <w:rFonts w:cs="David" w:ascii="Century" w:hAnsi="Century"/>
          <w:rtl w:val="true"/>
        </w:rPr>
        <w:t xml:space="preserve">" </w:t>
      </w:r>
      <w:r>
        <w:rPr>
          <w:rFonts w:ascii="Century" w:hAnsi="Century" w:cs="David"/>
          <w:rtl w:val="true"/>
        </w:rPr>
        <w:t>אם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ייפגעו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חיי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אדם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אף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אלו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אשר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אינם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מעורבים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כלל</w:t>
      </w:r>
      <w:r>
        <w:rPr>
          <w:rFonts w:cs="David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David"/>
        </w:rPr>
      </w:pPr>
      <w:r>
        <w:rPr>
          <w:rFonts w:cs="David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</w:rPr>
      </w:pPr>
      <w:r>
        <w:rPr>
          <w:rFonts w:cs="David" w:ascii="Century" w:hAnsi="Century"/>
          <w:rtl w:val="true"/>
        </w:rPr>
        <w:tab/>
      </w:r>
      <w:r>
        <w:rPr>
          <w:rFonts w:ascii="Century" w:hAnsi="Century" w:cs="David"/>
          <w:rtl w:val="true"/>
        </w:rPr>
        <w:t>נוסף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כך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רצח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המנוח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בוצע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כאמור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תוך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כדי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שהמערער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מבצע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עבירה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אחרת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חבלה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בכוונה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מחמירה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כאשר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המערער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כיוון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וירה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לעבר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רגליו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סלים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וזאת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במטרה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לפגוע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בו</w:t>
      </w:r>
      <w:r>
        <w:rPr>
          <w:rFonts w:cs="David" w:ascii="Century" w:hAnsi="Century"/>
          <w:rtl w:val="true"/>
        </w:rPr>
        <w:t xml:space="preserve">. </w:t>
      </w:r>
      <w:r>
        <w:rPr>
          <w:rFonts w:ascii="Century" w:hAnsi="Century" w:cs="David"/>
          <w:rtl w:val="true"/>
        </w:rPr>
        <w:t>בדין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קבע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בית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המשפט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המחוזי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עבירה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זו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עומדת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בפני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עצמה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ואינה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נבלעת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בעבירת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הרצח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ועל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מהווה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David" w:ascii="Century" w:hAnsi="Century"/>
          <w:rtl w:val="true"/>
        </w:rPr>
        <w:t>"</w:t>
      </w:r>
      <w:r>
        <w:rPr>
          <w:rFonts w:ascii="Century" w:hAnsi="Century" w:cs="David"/>
          <w:rtl w:val="true"/>
        </w:rPr>
        <w:t>עבירה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אחרת</w:t>
      </w:r>
      <w:r>
        <w:rPr>
          <w:rFonts w:cs="David" w:ascii="Century" w:hAnsi="Century"/>
          <w:rtl w:val="true"/>
        </w:rPr>
        <w:t xml:space="preserve">", </w:t>
      </w:r>
      <w:r>
        <w:rPr>
          <w:rFonts w:ascii="Century" w:hAnsi="Century" w:cs="David"/>
          <w:rtl w:val="true"/>
        </w:rPr>
        <w:t>מאחר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שמדובר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בעבירה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אחת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שבוצעה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כלפי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סלים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ועבירה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אחרת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שבוצעה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כלפי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המנוח</w:t>
      </w:r>
      <w:r>
        <w:rPr>
          <w:rFonts w:cs="David" w:ascii="Century" w:hAnsi="Century"/>
          <w:rtl w:val="true"/>
        </w:rPr>
        <w:t xml:space="preserve">. </w:t>
      </w:r>
      <w:r>
        <w:rPr>
          <w:rFonts w:ascii="Century" w:hAnsi="Century" w:cs="David"/>
          <w:rtl w:val="true"/>
        </w:rPr>
        <w:t>כך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גם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יש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לחדד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קביעה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זו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עולה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בקנה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אחד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תכלית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ההרשעה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בעבירת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הרצח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שלפי</w:t>
      </w:r>
      <w:r>
        <w:rPr>
          <w:rFonts w:ascii="Century" w:hAnsi="Century" w:eastAsia="Century" w:cs="Century"/>
          <w:rtl w:val="true"/>
        </w:rPr>
        <w:t xml:space="preserve"> </w:t>
      </w:r>
      <w:hyperlink r:id="rId58">
        <w:r>
          <w:rPr>
            <w:rStyle w:val="Hyperlink"/>
            <w:rFonts w:ascii="Century" w:hAnsi="Century" w:cs="David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rtl w:val="true"/>
          </w:rPr>
          <w:t xml:space="preserve"> </w:t>
        </w:r>
        <w:r>
          <w:rPr>
            <w:rStyle w:val="Hyperlink"/>
            <w:rFonts w:cs="David" w:ascii="Century" w:hAnsi="Century"/>
          </w:rPr>
          <w:t>300</w:t>
        </w:r>
        <w:r>
          <w:rPr>
            <w:rStyle w:val="Hyperlink"/>
            <w:rFonts w:cs="David" w:ascii="Century" w:hAnsi="Century"/>
            <w:rtl w:val="true"/>
          </w:rPr>
          <w:t>(</w:t>
        </w:r>
        <w:r>
          <w:rPr>
            <w:rStyle w:val="Hyperlink"/>
            <w:rFonts w:ascii="Century" w:hAnsi="Century" w:cs="David"/>
            <w:rtl w:val="true"/>
          </w:rPr>
          <w:t>א</w:t>
        </w:r>
        <w:r>
          <w:rPr>
            <w:rStyle w:val="Hyperlink"/>
            <w:rFonts w:cs="David" w:ascii="Century" w:hAnsi="Century"/>
            <w:rtl w:val="true"/>
          </w:rPr>
          <w:t>)(</w:t>
        </w:r>
        <w:r>
          <w:rPr>
            <w:rStyle w:val="Hyperlink"/>
            <w:rFonts w:cs="David" w:ascii="Century" w:hAnsi="Century"/>
          </w:rPr>
          <w:t>3</w:t>
        </w:r>
        <w:r>
          <w:rPr>
            <w:rStyle w:val="Hyperlink"/>
            <w:rFonts w:cs="David" w:ascii="Century" w:hAnsi="Century"/>
            <w:rtl w:val="true"/>
          </w:rPr>
          <w:t>)</w:t>
        </w:r>
      </w:hyperlink>
      <w:r>
        <w:rPr>
          <w:rFonts w:cs="David" w:ascii="Century" w:hAnsi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לחוק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המבטאת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חומרת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נכונות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הרוצח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להגשים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תכניתו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האלימה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אפילו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בחשבון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פגיעה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בחיי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אדם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אחר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David" w:ascii="Century" w:hAnsi="Century"/>
          <w:rtl w:val="true"/>
        </w:rPr>
        <w:t>(</w:t>
      </w:r>
      <w:r>
        <w:rPr>
          <w:rFonts w:ascii="Century" w:hAnsi="Century" w:cs="David"/>
          <w:rtl w:val="true"/>
        </w:rPr>
        <w:t>ראו</w:t>
      </w:r>
      <w:r>
        <w:rPr>
          <w:rFonts w:cs="David" w:ascii="Century" w:hAnsi="Century"/>
          <w:rtl w:val="true"/>
        </w:rPr>
        <w:t xml:space="preserve">: </w:t>
      </w:r>
      <w:r>
        <w:rPr>
          <w:rFonts w:ascii="Century" w:hAnsi="Century" w:cs="David"/>
          <w:rtl w:val="true"/>
        </w:rPr>
        <w:t>עניין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יין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בפסקאות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David" w:ascii="Century" w:hAnsi="Century"/>
        </w:rPr>
        <w:t>29-28</w:t>
      </w:r>
      <w:r>
        <w:rPr>
          <w:rFonts w:cs="David" w:ascii="Century" w:hAnsi="Century"/>
          <w:rtl w:val="true"/>
        </w:rPr>
        <w:t xml:space="preserve">). </w:t>
      </w:r>
      <w:r>
        <w:rPr>
          <w:rFonts w:ascii="Century" w:hAnsi="Century" w:cs="David"/>
          <w:rtl w:val="true"/>
        </w:rPr>
        <w:t>בענייננו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המערער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היה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נחוש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לפגוע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בסלים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וזאת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תוך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שהוא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אדיש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לאפשרות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חיי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אדם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אחר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יגדעו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חייו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המנוח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כפי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שהתרחש</w:t>
      </w:r>
      <w:r>
        <w:rPr>
          <w:rFonts w:cs="David" w:ascii="Century" w:hAnsi="Century"/>
          <w:rtl w:val="true"/>
        </w:rPr>
        <w:t xml:space="preserve">. </w:t>
      </w:r>
      <w:r>
        <w:rPr>
          <w:rFonts w:ascii="Century" w:hAnsi="Century" w:cs="David"/>
          <w:rtl w:val="true"/>
        </w:rPr>
        <w:t>משכך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מעשי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המערער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באים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בגדר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עבירת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הרצח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שלפי</w:t>
      </w:r>
      <w:r>
        <w:rPr>
          <w:rFonts w:ascii="Century" w:hAnsi="Century" w:eastAsia="Century" w:cs="Century"/>
          <w:rtl w:val="true"/>
        </w:rPr>
        <w:t xml:space="preserve"> </w:t>
      </w:r>
      <w:hyperlink r:id="rId59">
        <w:r>
          <w:rPr>
            <w:rStyle w:val="Hyperlink"/>
            <w:rFonts w:ascii="Century" w:hAnsi="Century" w:cs="David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rtl w:val="true"/>
          </w:rPr>
          <w:t xml:space="preserve"> </w:t>
        </w:r>
        <w:r>
          <w:rPr>
            <w:rStyle w:val="Hyperlink"/>
            <w:rFonts w:cs="David" w:ascii="Century" w:hAnsi="Century"/>
          </w:rPr>
          <w:t>300</w:t>
        </w:r>
        <w:r>
          <w:rPr>
            <w:rStyle w:val="Hyperlink"/>
            <w:rFonts w:cs="David" w:ascii="Century" w:hAnsi="Century"/>
            <w:rtl w:val="true"/>
          </w:rPr>
          <w:t>(</w:t>
        </w:r>
        <w:r>
          <w:rPr>
            <w:rStyle w:val="Hyperlink"/>
            <w:rFonts w:ascii="Century" w:hAnsi="Century" w:cs="David"/>
            <w:rtl w:val="true"/>
          </w:rPr>
          <w:t>א</w:t>
        </w:r>
        <w:r>
          <w:rPr>
            <w:rStyle w:val="Hyperlink"/>
            <w:rFonts w:cs="David" w:ascii="Century" w:hAnsi="Century"/>
            <w:rtl w:val="true"/>
          </w:rPr>
          <w:t>)(</w:t>
        </w:r>
        <w:r>
          <w:rPr>
            <w:rStyle w:val="Hyperlink"/>
            <w:rFonts w:cs="David" w:ascii="Century" w:hAnsi="Century"/>
          </w:rPr>
          <w:t>3</w:t>
        </w:r>
        <w:r>
          <w:rPr>
            <w:rStyle w:val="Hyperlink"/>
            <w:rFonts w:cs="David" w:ascii="Century" w:hAnsi="Century"/>
            <w:rtl w:val="true"/>
          </w:rPr>
          <w:t>)</w:t>
        </w:r>
      </w:hyperlink>
      <w:r>
        <w:rPr>
          <w:rFonts w:cs="David" w:ascii="Century" w:hAnsi="Century"/>
          <w:rtl w:val="true"/>
        </w:rPr>
        <w:t xml:space="preserve"> </w:t>
      </w:r>
      <w:r>
        <w:rPr>
          <w:rFonts w:ascii="Century" w:hAnsi="Century" w:cs="David"/>
          <w:rtl w:val="true"/>
        </w:rPr>
        <w:t>לחוק</w:t>
      </w:r>
      <w:r>
        <w:rPr>
          <w:rFonts w:cs="David" w:ascii="Century" w:hAnsi="Century"/>
          <w:rtl w:val="true"/>
        </w:rPr>
        <w:t xml:space="preserve">, </w:t>
      </w:r>
      <w:r>
        <w:rPr>
          <w:rFonts w:ascii="Century" w:hAnsi="Century" w:cs="David"/>
          <w:rtl w:val="true"/>
        </w:rPr>
        <w:t>בנוסחו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קודם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David"/>
          <w:rtl w:val="true"/>
        </w:rPr>
        <w:t>הרפורמה</w:t>
      </w:r>
      <w:r>
        <w:rPr>
          <w:rFonts w:cs="David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David"/>
        </w:rPr>
      </w:pPr>
      <w:r>
        <w:rPr>
          <w:rFonts w:cs="David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ההמתה</w:t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ייאמר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משהסכימו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במפורש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יישומה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תמוהה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התנהלותו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הדיונית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סוגיה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חרף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הסכמת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ומבלי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שהוצג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יודגש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הסכים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בלשונו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החדש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בשל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eastAsia="Garamond"/>
          <w:rtl w:val="true"/>
        </w:rPr>
        <w:t xml:space="preserve"> </w:t>
      </w:r>
      <w:hyperlink r:id="rId60">
        <w:r>
          <w:rPr>
            <w:rStyle w:val="Hyperlink"/>
            <w:rFonts w:cs="David"/>
            <w:rtl w:val="true"/>
          </w:rPr>
          <w:t>בסעיף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9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1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מצאנו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Fonts w:cs="David"/>
          <w:rtl w:val="true"/>
        </w:rPr>
        <w:t>" (</w:t>
      </w:r>
      <w:r>
        <w:rPr>
          <w:rFonts w:cs="David"/>
          <w:rtl w:val="true"/>
        </w:rPr>
        <w:t>פסקה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177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לסיכומי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דומה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להעלאת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הרשעת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התועלת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עשויה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לצמוח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ותתקבל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במצב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עונש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יהא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חלף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ומשהטענה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הוכרעה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מקצה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שיפורים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62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1526/21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54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11.</w:t>
      </w:r>
      <w:r>
        <w:rPr>
          <w:rFonts w:cs="David"/>
        </w:rPr>
        <w:t>8</w:t>
      </w:r>
      <w:r>
        <w:rPr>
          <w:rFonts w:cs="David"/>
        </w:rPr>
        <w:t>.2022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בבחינת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הצורך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אבהיר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ממילא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ליישמה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בענייננו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התרחשות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בגדרי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שלפי</w:t>
      </w:r>
      <w:r>
        <w:rPr>
          <w:rFonts w:eastAsia="Garamond"/>
          <w:rtl w:val="true"/>
        </w:rPr>
        <w:t xml:space="preserve"> </w:t>
      </w:r>
      <w:hyperlink r:id="rId6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9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לשונו</w:t>
      </w:r>
      <w:r>
        <w:rPr>
          <w:rFonts w:cs="David"/>
          <w:rtl w:val="true"/>
        </w:rPr>
        <w:t>:</w:t>
      </w:r>
    </w:p>
    <w:p>
      <w:pPr>
        <w:pStyle w:val="Ruller5"/>
        <w:ind w:end="1282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5"/>
        <w:ind w:end="1282"/>
        <w:jc w:val="both"/>
        <w:rPr>
          <w:rFonts w:cs="David"/>
          <w:color w:val="000000"/>
          <w:szCs w:val="22"/>
        </w:rPr>
      </w:pPr>
      <w:r>
        <w:rPr>
          <w:rFonts w:cs="David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המעשה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בוצע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תוך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יצירת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סכנה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ממשית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לחייו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של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אדם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אחר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נוסף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על</w:t>
      </w:r>
      <w:r>
        <w:rPr>
          <w:rFonts w:ascii="FrankRuehl" w:hAnsi="FrankRuehl" w:eastAsia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David"/>
          <w:color w:val="000000"/>
          <w:sz w:val="28"/>
          <w:sz w:val="28"/>
          <w:rtl w:val="true"/>
        </w:rPr>
        <w:t>הקורבן</w:t>
      </w:r>
      <w:r>
        <w:rPr>
          <w:rFonts w:cs="David" w:ascii="FrankRuehl" w:hAnsi="FrankRuehl"/>
          <w:color w:val="000000"/>
          <w:sz w:val="28"/>
          <w:rtl w:val="true"/>
        </w:rPr>
        <w:t>".</w:t>
      </w:r>
    </w:p>
    <w:p>
      <w:pPr>
        <w:pStyle w:val="Ruller5"/>
        <w:ind w:end="1282"/>
        <w:jc w:val="both"/>
        <w:rPr>
          <w:rFonts w:cs="David"/>
          <w:szCs w:val="22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טיבה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וגדריה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עמדתי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בהרחבה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6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3546/19</w:t>
        </w:r>
      </w:hyperlink>
      <w:r>
        <w:rPr>
          <w:rFonts w:cs="Davi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David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15.</w:t>
      </w:r>
      <w:r>
        <w:rPr>
          <w:rFonts w:cs="David"/>
        </w:rPr>
        <w:t>1</w:t>
      </w:r>
      <w:r>
        <w:rPr>
          <w:rFonts w:cs="David"/>
        </w:rPr>
        <w:t>.2023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הצעתי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רשימה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ממצה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עזר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בחינת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התגבשות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הנסיבה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המחמירה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האמצעי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אופן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באמצעי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אופי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מספר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הצפיפות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מסביב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לנרצח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והנזק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לאחרים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בפסקאות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28-27</w:t>
      </w:r>
      <w:r>
        <w:rPr>
          <w:rFonts w:cs="David"/>
          <w:rtl w:val="true"/>
        </w:rPr>
        <w:t>).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ביישום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העזר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מתקבלת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מסקנה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משמעית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בגדרי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לצורך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בסלים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השתמש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תחמושת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מתאימה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בקוטר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מטיבו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אמצעי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יוצר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סיכון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בפרט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לנוכח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השימוש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חסר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ההבחנה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ממרחק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בינוני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Fonts w:eastAsia="Garamond"/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לכיוונו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נורו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נסיעה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וחלקו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יורה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לאחור</w:t>
      </w:r>
      <w:r>
        <w:rPr>
          <w:rFonts w:cs="David"/>
          <w:rtl w:val="true"/>
        </w:rPr>
        <w:t xml:space="preserve">.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אופי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מלמד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הסכנה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שבמעשי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אמנם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בשטח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אולם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ההתרחשות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בשעות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הצהריים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פעילים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ואנשים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מתהלכים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ברחוב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וביניהם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תלמידים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רכים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מלמדות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בזירה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בעלת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פוטנציאל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לסכנה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לחיי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בשים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למספר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האנשים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 w:val="22"/>
          <w:sz w:val="22"/>
          <w:szCs w:val="24"/>
          <w:rtl w:val="true"/>
        </w:rPr>
        <w:t>הצפיפות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הנחזית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בתיעוד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לחייהם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ומוחשית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ומכוון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ספג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בירכיו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ארצה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גאדה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בסכנה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ברכבה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חנתה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ממתינה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לבנה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נכדתו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ניצלו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שכדור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מאקדח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והמיתו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שלפי</w:t>
      </w:r>
      <w:r>
        <w:rPr>
          <w:rFonts w:eastAsia="Arial TUR;Arial" w:cs="Arial TUR;Arial"/>
          <w:rtl w:val="true"/>
        </w:rPr>
        <w:t xml:space="preserve"> </w:t>
      </w:r>
      <w:hyperlink r:id="rId6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cs="David"/>
          </w:rPr>
          <w:t>301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9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ליישמה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6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300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בנוסחו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יסודה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ההמתה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עניינו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הואיל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ומעשיו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בגדרי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Garamond"/>
          <w:rtl w:val="true"/>
        </w:rPr>
        <w:t xml:space="preserve"> </w:t>
      </w:r>
      <w:hyperlink r:id="rId6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Garamond"/>
            <w:rtl w:val="true"/>
          </w:rPr>
          <w:t xml:space="preserve"> </w:t>
        </w:r>
        <w:r>
          <w:rPr>
            <w:rStyle w:val="Hyperlink"/>
            <w:rFonts w:cs="David"/>
          </w:rPr>
          <w:t>301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9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דבר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>תאופיק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זהר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נגן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עוּד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מפורסם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ודמות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מוכרת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ומוערכת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בחברה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נרצח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עוול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בכפו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שצעד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ביד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נכדתו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הפעוטה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ברחובות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נצרת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פעם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דמו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אזרח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חף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מפשע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ניגר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ברחובה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נקלע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בטובתו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בתווך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עברייני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ואלים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נחוש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בסלים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שותפו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שכללה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תצפיתן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הצעיר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וזיוף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לוחית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הקטנוע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הכושר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הרוכבים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המאפייה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וירו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סלים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בצהרי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ובעוד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הומה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יובילו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הניאה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הצער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הזלזול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שהפגין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התממש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וגבה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המנוח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אציע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אפוא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לחברתי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ולחברי</w:t>
      </w:r>
      <w:r>
        <w:rPr>
          <w:rFonts w:eastAsia="Garamond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לדחות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Garamond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cs="David"/>
          <w:rtl w:val="true"/>
        </w:rPr>
        <w:t>.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end"/>
        <w:rPr>
          <w:rFonts w:cs="David"/>
        </w:rPr>
      </w:pPr>
      <w:r>
        <w:rPr>
          <w:rFonts w:cs="David"/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</w:t>
      </w:r>
    </w:p>
    <w:p>
      <w:pPr>
        <w:pStyle w:val="Ruller4"/>
        <w:ind w:end="0"/>
        <w:jc w:val="start"/>
        <w:rPr>
          <w:rFonts w:ascii="Century" w:hAnsi="Century" w:cs="David"/>
          <w:b/>
          <w:spacing w:val="0"/>
          <w:szCs w:val="24"/>
          <w:u w:val="single"/>
        </w:rPr>
      </w:pPr>
      <w:r>
        <w:rPr>
          <w:rFonts w:cs="David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start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u w:val="single"/>
          <w:rtl w:val="true"/>
        </w:rPr>
        <w:t>י</w:t>
      </w:r>
      <w:r>
        <w:rPr>
          <w:rFonts w:cs="David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David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מסכימה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end"/>
        <w:rPr>
          <w:rFonts w:cs="David"/>
        </w:rPr>
      </w:pPr>
      <w:r>
        <w:rPr>
          <w:rFonts w:cs="David"/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ת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start"/>
        <w:rPr>
          <w:rFonts w:ascii="Century" w:hAnsi="Century" w:cs="David"/>
          <w:b/>
          <w:spacing w:val="0"/>
          <w:szCs w:val="24"/>
          <w:u w:val="single"/>
        </w:rPr>
      </w:pPr>
      <w:r>
        <w:rPr>
          <w:rFonts w:cs="David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start"/>
        <w:rPr>
          <w:rFonts w:ascii="Century" w:hAnsi="Century" w:cs="David"/>
          <w:b/>
          <w:spacing w:val="0"/>
          <w:szCs w:val="24"/>
        </w:rPr>
      </w:pPr>
      <w:r>
        <w:rPr>
          <w:rFonts w:ascii="Century" w:hAnsi="Century" w:cs="David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u w:val="single"/>
          <w:rtl w:val="true"/>
        </w:rPr>
        <w:t>א</w:t>
      </w:r>
      <w:r>
        <w:rPr>
          <w:rFonts w:cs="David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David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David"/>
          <w:b/>
          <w:spacing w:val="0"/>
          <w:szCs w:val="24"/>
        </w:rPr>
      </w:pPr>
      <w:r>
        <w:rPr>
          <w:rFonts w:cs="David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end"/>
        <w:rPr>
          <w:rFonts w:cs="David"/>
        </w:rPr>
      </w:pPr>
      <w:r>
        <w:rPr>
          <w:rFonts w:cs="David"/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ט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י</w:t>
      </w:r>
      <w:r>
        <w:rPr>
          <w:rFonts w:cs="David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spacing w:val="0"/>
          <w:szCs w:val="24"/>
          <w:rtl w:val="true"/>
        </w:rPr>
        <w:t>אלרון</w:t>
      </w:r>
      <w:r>
        <w:rPr>
          <w:rFonts w:cs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"/>
        <w:ind w:end="0"/>
        <w:jc w:val="both"/>
        <w:rPr>
          <w:rFonts w:cs="David"/>
        </w:rPr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, ‏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התשפ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(‏</w:t>
      </w:r>
      <w:r>
        <w:rPr>
          <w:rFonts w:cs="David"/>
        </w:rPr>
        <w:t>30.7.2023</w:t>
      </w:r>
      <w:r>
        <w:rPr>
          <w:rFonts w:cs="David"/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"/>
              <w:ind w:end="0"/>
              <w:jc w:val="center"/>
              <w:rPr>
                <w:rFonts w:cs="David"/>
              </w:rPr>
            </w:pPr>
            <w:r>
              <w:rPr>
                <w:rFonts w:cs="David"/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ת</w:t>
            </w:r>
          </w:p>
        </w:tc>
        <w:tc>
          <w:tcPr>
            <w:tcW w:w="2768" w:type="dxa"/>
            <w:tcBorders/>
          </w:tcPr>
          <w:p>
            <w:pPr>
              <w:pStyle w:val="Ruller4"/>
              <w:ind w:end="0"/>
              <w:jc w:val="end"/>
              <w:rPr>
                <w:rFonts w:cs="David"/>
              </w:rPr>
            </w:pPr>
            <w:r>
              <w:rPr>
                <w:rFonts w:cs="David"/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21020760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54678313-2076/21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0"/>
      <w:footerReference w:type="default" r:id="rId7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2076/21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יד מרואן ואכד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Symbol" w:hAnsi="Symbo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FrankRuehl" w:hAnsi="FrankRueh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Times New Roman" w:cs="FrankRuehl"/>
      <w:sz w:val="28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eastAsia="Times New Roman" w:cs="Miriam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David" w:hAnsi="David" w:eastAsia="Times New Roman" w:cs="David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eastAsia="Times New Roman" w:cs="Miriam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43236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300.a.3" TargetMode="External"/><Relationship Id="rId11" Type="http://schemas.openxmlformats.org/officeDocument/2006/relationships/hyperlink" Target="http://www.nevo.co.il/law/70301/301a.a.2" TargetMode="External"/><Relationship Id="rId12" Type="http://schemas.openxmlformats.org/officeDocument/2006/relationships/hyperlink" Target="http://www.nevo.co.il/law/70301/301a.a.9" TargetMode="External"/><Relationship Id="rId13" Type="http://schemas.openxmlformats.org/officeDocument/2006/relationships/hyperlink" Target="http://www.nevo.co.il/law/70301/329.1" TargetMode="External"/><Relationship Id="rId14" Type="http://schemas.openxmlformats.org/officeDocument/2006/relationships/hyperlink" Target="http://www.nevo.co.il/case/25843236" TargetMode="External"/><Relationship Id="rId15" Type="http://schemas.openxmlformats.org/officeDocument/2006/relationships/hyperlink" Target="http://www.nevo.co.il/law/70301/300.a.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29.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300.a.3" TargetMode="External"/><Relationship Id="rId22" Type="http://schemas.openxmlformats.org/officeDocument/2006/relationships/hyperlink" Target="http://www.nevo.co.il/law/70301/300.a.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4140420" TargetMode="External"/><Relationship Id="rId25" Type="http://schemas.openxmlformats.org/officeDocument/2006/relationships/hyperlink" Target="http://www.nevo.co.il/law/70301/301a.a.9" TargetMode="External"/><Relationship Id="rId26" Type="http://schemas.openxmlformats.org/officeDocument/2006/relationships/hyperlink" Target="http://www.nevo.co.il/law/70301/300.a.3" TargetMode="External"/><Relationship Id="rId27" Type="http://schemas.openxmlformats.org/officeDocument/2006/relationships/hyperlink" Target="http://www.nevo.co.il/law/70301/301a.a.9" TargetMode="External"/><Relationship Id="rId28" Type="http://schemas.openxmlformats.org/officeDocument/2006/relationships/hyperlink" Target="http://www.nevo.co.il/law/70301/300.a.3" TargetMode="External"/><Relationship Id="rId29" Type="http://schemas.openxmlformats.org/officeDocument/2006/relationships/hyperlink" Target="http://www.nevo.co.il/law/70301/301a.a.9" TargetMode="External"/><Relationship Id="rId30" Type="http://schemas.openxmlformats.org/officeDocument/2006/relationships/hyperlink" Target="http://www.nevo.co.il/case/17938169" TargetMode="External"/><Relationship Id="rId31" Type="http://schemas.openxmlformats.org/officeDocument/2006/relationships/hyperlink" Target="http://www.nevo.co.il/safrut/bookgroup/4173" TargetMode="External"/><Relationship Id="rId32" Type="http://schemas.openxmlformats.org/officeDocument/2006/relationships/hyperlink" Target="http://www.nevo.co.il/case/17919618" TargetMode="External"/><Relationship Id="rId33" Type="http://schemas.openxmlformats.org/officeDocument/2006/relationships/hyperlink" Target="http://www.nevo.co.il/case/5598801" TargetMode="External"/><Relationship Id="rId34" Type="http://schemas.openxmlformats.org/officeDocument/2006/relationships/hyperlink" Target="http://www.nevo.co.il/case/25388533" TargetMode="External"/><Relationship Id="rId35" Type="http://schemas.openxmlformats.org/officeDocument/2006/relationships/hyperlink" Target="http://www.nevo.co.il/case/3866783" TargetMode="External"/><Relationship Id="rId36" Type="http://schemas.openxmlformats.org/officeDocument/2006/relationships/hyperlink" Target="http://www.nevo.co.il/case/5709922" TargetMode="External"/><Relationship Id="rId37" Type="http://schemas.openxmlformats.org/officeDocument/2006/relationships/hyperlink" Target="http://www.nevo.co.il/case/26991449" TargetMode="External"/><Relationship Id="rId38" Type="http://schemas.openxmlformats.org/officeDocument/2006/relationships/hyperlink" Target="http://www.nevo.co.il/case/27189912" TargetMode="External"/><Relationship Id="rId39" Type="http://schemas.openxmlformats.org/officeDocument/2006/relationships/hyperlink" Target="http://www.nevo.co.il/case/17932377" TargetMode="External"/><Relationship Id="rId40" Type="http://schemas.openxmlformats.org/officeDocument/2006/relationships/hyperlink" Target="http://www.nevo.co.il/case/25441697" TargetMode="External"/><Relationship Id="rId41" Type="http://schemas.openxmlformats.org/officeDocument/2006/relationships/hyperlink" Target="http://www.nevo.co.il/case/28681495" TargetMode="External"/><Relationship Id="rId42" Type="http://schemas.openxmlformats.org/officeDocument/2006/relationships/hyperlink" Target="http://www.nevo.co.il/case/28116157" TargetMode="External"/><Relationship Id="rId43" Type="http://schemas.openxmlformats.org/officeDocument/2006/relationships/hyperlink" Target="http://www.nevo.co.il/case/27513386" TargetMode="External"/><Relationship Id="rId44" Type="http://schemas.openxmlformats.org/officeDocument/2006/relationships/hyperlink" Target="http://www.nevo.co.il/case/24346421" TargetMode="External"/><Relationship Id="rId45" Type="http://schemas.openxmlformats.org/officeDocument/2006/relationships/hyperlink" Target="http://www.nevo.co.il/safrut/bookgroup/2156" TargetMode="External"/><Relationship Id="rId46" Type="http://schemas.openxmlformats.org/officeDocument/2006/relationships/hyperlink" Target="http://www.nevo.co.il/case/28210519" TargetMode="External"/><Relationship Id="rId47" Type="http://schemas.openxmlformats.org/officeDocument/2006/relationships/hyperlink" Target="http://www.nevo.co.il/case/27292055" TargetMode="External"/><Relationship Id="rId48" Type="http://schemas.openxmlformats.org/officeDocument/2006/relationships/hyperlink" Target="http://www.nevo.co.il/case/22301096" TargetMode="External"/><Relationship Id="rId49" Type="http://schemas.openxmlformats.org/officeDocument/2006/relationships/hyperlink" Target="http://www.nevo.co.il/case/23506677" TargetMode="External"/><Relationship Id="rId50" Type="http://schemas.openxmlformats.org/officeDocument/2006/relationships/hyperlink" Target="http://www.nevo.co.il/case/26991449" TargetMode="External"/><Relationship Id="rId51" Type="http://schemas.openxmlformats.org/officeDocument/2006/relationships/hyperlink" Target="http://www.nevo.co.il/law/70301/300.a.3" TargetMode="External"/><Relationship Id="rId52" Type="http://schemas.openxmlformats.org/officeDocument/2006/relationships/hyperlink" Target="http://www.nevo.co.il/case/28317099" TargetMode="External"/><Relationship Id="rId53" Type="http://schemas.openxmlformats.org/officeDocument/2006/relationships/hyperlink" Target="http://www.nevo.co.il/case/5594135" TargetMode="External"/><Relationship Id="rId54" Type="http://schemas.openxmlformats.org/officeDocument/2006/relationships/hyperlink" Target="http://www.nevo.co.il/case/17933025" TargetMode="External"/><Relationship Id="rId55" Type="http://schemas.openxmlformats.org/officeDocument/2006/relationships/hyperlink" Target="http://www.nevo.co.il/case/5870871" TargetMode="External"/><Relationship Id="rId56" Type="http://schemas.openxmlformats.org/officeDocument/2006/relationships/hyperlink" Target="http://www.nevo.co.il/law/70301/301a.a.2" TargetMode="External"/><Relationship Id="rId57" Type="http://schemas.openxmlformats.org/officeDocument/2006/relationships/hyperlink" Target="http://www.nevo.co.il/case/28429417" TargetMode="External"/><Relationship Id="rId58" Type="http://schemas.openxmlformats.org/officeDocument/2006/relationships/hyperlink" Target="http://www.nevo.co.il/law/70301/300.a.3" TargetMode="External"/><Relationship Id="rId59" Type="http://schemas.openxmlformats.org/officeDocument/2006/relationships/hyperlink" Target="http://www.nevo.co.il/law/70301/300.a.3" TargetMode="External"/><Relationship Id="rId60" Type="http://schemas.openxmlformats.org/officeDocument/2006/relationships/hyperlink" Target="http://www.nevo.co.il/law/70301/301a.a.9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27446607" TargetMode="External"/><Relationship Id="rId63" Type="http://schemas.openxmlformats.org/officeDocument/2006/relationships/hyperlink" Target="http://www.nevo.co.il/law/70301/301a.a.9" TargetMode="External"/><Relationship Id="rId64" Type="http://schemas.openxmlformats.org/officeDocument/2006/relationships/hyperlink" Target="http://www.nevo.co.il/case/25727571" TargetMode="External"/><Relationship Id="rId65" Type="http://schemas.openxmlformats.org/officeDocument/2006/relationships/hyperlink" Target="http://www.nevo.co.il/law/70301/301a.a.9" TargetMode="External"/><Relationship Id="rId66" Type="http://schemas.openxmlformats.org/officeDocument/2006/relationships/hyperlink" Target="http://www.nevo.co.il/law/70301/300.a.3" TargetMode="External"/><Relationship Id="rId67" Type="http://schemas.openxmlformats.org/officeDocument/2006/relationships/hyperlink" Target="http://www.nevo.co.il/law/70301/301a.a.9" TargetMode="External"/><Relationship Id="rId68" Type="http://schemas.openxmlformats.org/officeDocument/2006/relationships/hyperlink" Target="https://supreme.court.gov.il/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2023-07-31T08:18:00Z</dcterms:created>
  <dc:creator>h4</dc:creator>
  <dc:description/>
  <cp:keywords/>
  <dc:language>en-IL</dc:language>
  <cp:lastModifiedBy>orly</cp:lastModifiedBy>
  <cp:lastPrinted>2023-07-30T08:02:00Z</cp:lastPrinted>
  <dcterms:modified xsi:type="dcterms:W3CDTF">2023-07-31T08:18:00Z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עבד אלמג'יד מרואן ואכד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המנוח;ס.נ;ג'.א;א.ז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4173;2156</vt:lpwstr>
  </property>
  <property fmtid="{D5CDD505-2E9C-101B-9397-08002B2CF9AE}" pid="9" name="CASESLISTTMP1">
    <vt:lpwstr>25843236:2;24140420;17938169;17919618;5598801;25388533;3866783;5709922;26991449:2;27189912;17932377;25441697;28681495;28116157;27513386;24346421;28210519;27292055;22301096;23506677;28317099;5594135;17933025;5870871;28429417;27446607;25727571</vt:lpwstr>
  </property>
  <property fmtid="{D5CDD505-2E9C-101B-9397-08002B2CF9AE}" pid="10" name="CITY">
    <vt:lpwstr/>
  </property>
  <property fmtid="{D5CDD505-2E9C-101B-9397-08002B2CF9AE}" pid="11" name="DATE">
    <vt:lpwstr>20230730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אלרון;י' וילנר;א' שטיין</vt:lpwstr>
  </property>
  <property fmtid="{D5CDD505-2E9C-101B-9397-08002B2CF9AE}" pid="15" name="LAWLISTTMP1">
    <vt:lpwstr>70301/300.a.3:9;329.1;144.b;244;029;301a.a.9:7;301a.a.2</vt:lpwstr>
  </property>
  <property fmtid="{D5CDD505-2E9C-101B-9397-08002B2CF9AE}" pid="16" name="LAWYER">
    <vt:lpwstr>עידית פרג'ון;משה שרמן;חיים רוט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ראיות</vt:lpwstr>
  </property>
  <property fmtid="{D5CDD505-2E9C-101B-9397-08002B2CF9AE}" pid="32" name="NOSE15">
    <vt:lpwstr>דיון פלילי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77;77;77;89;18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עבירת הרצח</vt:lpwstr>
  </property>
  <property fmtid="{D5CDD505-2E9C-101B-9397-08002B2CF9AE}" pid="42" name="NOSE24">
    <vt:lpwstr>זיהוי</vt:lpwstr>
  </property>
  <property fmtid="{D5CDD505-2E9C-101B-9397-08002B2CF9AE}" pid="43" name="NOSE25">
    <vt:lpwstr>חקירה במשטרה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1443;1443;12455;1625;475</vt:lpwstr>
  </property>
  <property fmtid="{D5CDD505-2E9C-101B-9397-08002B2CF9AE}" pid="49" name="NOSE31">
    <vt:lpwstr>רצח</vt:lpwstr>
  </property>
  <property fmtid="{D5CDD505-2E9C-101B-9397-08002B2CF9AE}" pid="50" name="NOSE310">
    <vt:lpwstr/>
  </property>
  <property fmtid="{D5CDD505-2E9C-101B-9397-08002B2CF9AE}" pid="51" name="NOSE32">
    <vt:lpwstr>רצח בנסיבות מחמירות</vt:lpwstr>
  </property>
  <property fmtid="{D5CDD505-2E9C-101B-9397-08002B2CF9AE}" pid="52" name="NOSE33">
    <vt:lpwstr>תוך כדי ביצוע עבירה אחרת‏</vt:lpwstr>
  </property>
  <property fmtid="{D5CDD505-2E9C-101B-9397-08002B2CF9AE}" pid="53" name="NOSE34">
    <vt:lpwstr>הרשעה על-פיו</vt:lpwstr>
  </property>
  <property fmtid="{D5CDD505-2E9C-101B-9397-08002B2CF9AE}" pid="54" name="NOSE35">
    <vt:lpwstr>מחדלי חקירה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8927;19451;16868;10098;3672</vt:lpwstr>
  </property>
  <property fmtid="{D5CDD505-2E9C-101B-9397-08002B2CF9AE}" pid="60" name="PADIDATE">
    <vt:lpwstr>20230731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2076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410120230730</vt:lpwstr>
  </property>
  <property fmtid="{D5CDD505-2E9C-101B-9397-08002B2CF9AE}" pid="70" name="TYPE_N_DATE">
    <vt:lpwstr>41020230730</vt:lpwstr>
  </property>
  <property fmtid="{D5CDD505-2E9C-101B-9397-08002B2CF9AE}" pid="71" name="VOLUME">
    <vt:lpwstr/>
  </property>
  <property fmtid="{D5CDD505-2E9C-101B-9397-08002B2CF9AE}" pid="72" name="WORDNUMPAGES">
    <vt:lpwstr>30</vt:lpwstr>
  </property>
</Properties>
</file>