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bookmarkStart w:id="0" w:name="LastJudge"/>
            <w:bookmarkEnd w:id="0"/>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1" w:name="casename_body"/>
            <w:bookmarkEnd w:id="1"/>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2078/18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2" w:name="FirstAppellant"/>
            <w:bookmarkEnd w:id="2"/>
            <w:r>
              <w:rPr>
                <w:rtl w:val="true"/>
              </w:rPr>
              <w:t>המערער</w:t>
            </w:r>
            <w:r>
              <w:rPr>
                <w:rtl w:val="true"/>
              </w:rPr>
              <w:t>:</w:t>
            </w:r>
          </w:p>
        </w:tc>
        <w:tc>
          <w:tcPr>
            <w:tcW w:w="5238"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השלום</w:t>
            </w:r>
            <w:r>
              <w:rPr>
                <w:rFonts w:cs="Times New Roman"/>
                <w:sz w:val="24"/>
                <w:sz w:val="24"/>
                <w:szCs w:val="24"/>
                <w:rtl w:val="true"/>
              </w:rPr>
              <w:t xml:space="preserve"> </w:t>
            </w:r>
            <w:r>
              <w:rPr>
                <w:sz w:val="24"/>
                <w:sz w:val="24"/>
                <w:szCs w:val="24"/>
                <w:rtl w:val="true"/>
              </w:rPr>
              <w:t>ל</w:t>
            </w:r>
            <w:r>
              <w:rPr>
                <w:sz w:val="24"/>
                <w:sz w:val="24"/>
                <w:szCs w:val="24"/>
                <w:rtl w:val="true"/>
              </w:rPr>
              <w:t>נוער</w:t>
            </w:r>
            <w:r>
              <w:rPr>
                <w:rFonts w:cs="Times New Roman"/>
                <w:sz w:val="24"/>
                <w:sz w:val="24"/>
                <w:szCs w:val="24"/>
                <w:rtl w:val="true"/>
              </w:rPr>
              <w:t xml:space="preserve"> </w:t>
            </w:r>
            <w:r>
              <w:rPr>
                <w:sz w:val="24"/>
                <w:sz w:val="24"/>
                <w:szCs w:val="24"/>
                <w:rtl w:val="true"/>
              </w:rPr>
              <w:t>ב</w:t>
            </w:r>
            <w:r>
              <w:rPr>
                <w:rFonts w:cs="Times New Roman"/>
                <w:sz w:val="24"/>
                <w:sz w:val="24"/>
                <w:szCs w:val="24"/>
                <w:rtl w:val="true"/>
              </w:rPr>
              <w:t xml:space="preserve"> </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06.03.2018</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22306-05-16</w:t>
              </w:r>
            </w:hyperlink>
            <w:r>
              <w:rPr>
                <w:sz w:val="24"/>
                <w:szCs w:val="24"/>
                <w:rtl w:val="true"/>
              </w:rPr>
              <w:t xml:space="preserve"> </w:t>
            </w:r>
            <w:r>
              <w:rPr>
                <w:szCs w:val="24"/>
                <w:rtl w:val="true"/>
              </w:rPr>
              <w:t xml:space="preserve"> </w:t>
            </w:r>
            <w:r>
              <w:rPr>
                <w:sz w:val="24"/>
                <w:sz w:val="24"/>
                <w:szCs w:val="24"/>
                <w:rtl w:val="true"/>
              </w:rPr>
              <w:t>אשר</w:t>
            </w:r>
            <w:r>
              <w:rPr>
                <w:rFonts w:cs="Times New Roman"/>
                <w:sz w:val="24"/>
                <w:sz w:val="24"/>
                <w:szCs w:val="24"/>
                <w:rtl w:val="true"/>
              </w:rPr>
              <w:t xml:space="preserve"> </w:t>
            </w:r>
            <w:r>
              <w:rPr>
                <w:sz w:val="24"/>
                <w:sz w:val="24"/>
                <w:szCs w:val="24"/>
                <w:rtl w:val="true"/>
              </w:rPr>
              <w:t>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כבוד</w:t>
            </w:r>
            <w:r>
              <w:rPr>
                <w:rFonts w:cs="Times New Roman"/>
                <w:sz w:val="24"/>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ט</w:t>
            </w:r>
            <w:r>
              <w:rPr>
                <w:sz w:val="24"/>
                <w:szCs w:val="24"/>
                <w:rtl w:val="true"/>
              </w:rPr>
              <w:t xml:space="preserve">' </w:t>
            </w:r>
            <w:r>
              <w:rPr>
                <w:sz w:val="24"/>
                <w:sz w:val="24"/>
                <w:szCs w:val="24"/>
                <w:rtl w:val="true"/>
              </w:rPr>
              <w:t>פרי</w:t>
            </w:r>
          </w:p>
        </w:tc>
      </w:tr>
    </w:tbl>
    <w:p>
      <w:pPr>
        <w:pStyle w:val="Ruller31"/>
        <w:ind w:end="0"/>
        <w:jc w:val="start"/>
        <w:rPr/>
      </w:pPr>
      <w:r>
        <w:rPr>
          <w:rtl w:val="true"/>
        </w:rPr>
        <w:tab/>
      </w:r>
    </w:p>
    <w:p>
      <w:pPr>
        <w:pStyle w:val="Ruller31"/>
        <w:ind w:end="0"/>
        <w:jc w:val="start"/>
        <w:rPr/>
      </w:pPr>
      <w:bookmarkStart w:id="3" w:name="FirstLawyer"/>
      <w:r>
        <w:rPr>
          <w:rtl w:val="true"/>
        </w:rPr>
        <w:t>בשם</w:t>
      </w:r>
      <w:r>
        <w:rPr>
          <w:rFonts w:cs="Times New Roman"/>
          <w:rtl w:val="true"/>
        </w:rPr>
        <w:t xml:space="preserve"> </w:t>
      </w:r>
      <w:r>
        <w:rPr>
          <w:rtl w:val="true"/>
        </w:rPr>
        <w:t>המערער</w:t>
      </w:r>
      <w:bookmarkEnd w:id="3"/>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אביגיל</w:t>
      </w:r>
      <w:r>
        <w:rPr>
          <w:rFonts w:cs="Times New Roman"/>
          <w:rtl w:val="true"/>
        </w:rPr>
        <w:t xml:space="preserve"> </w:t>
      </w:r>
      <w:r>
        <w:rPr>
          <w:rtl w:val="true"/>
        </w:rPr>
        <w:t>ארד</w:t>
      </w:r>
      <w:r>
        <w:rPr>
          <w:rtl w:val="true"/>
        </w:rPr>
        <w:t>-</w:t>
      </w:r>
      <w:r>
        <w:rPr>
          <w:rtl w:val="true"/>
        </w:rPr>
        <w:t>אביעזר</w:t>
      </w:r>
    </w:p>
    <w:p>
      <w:pPr>
        <w:pStyle w:val="Normal"/>
        <w:tabs>
          <w:tab w:val="clear" w:pos="720"/>
          <w:tab w:val="left" w:pos="2552" w:leader="none"/>
        </w:tabs>
        <w:ind w:end="0"/>
        <w:jc w:val="start"/>
        <w:rPr/>
      </w:pPr>
      <w:r>
        <w:rPr>
          <w:rtl w:val="true"/>
        </w:rPr>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4" w:name="ABSTRACT_START"/>
      <w:bookmarkEnd w:id="4"/>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הבעת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מורת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רוח</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של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מהתנהלות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המערער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במסגרת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עדותו</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ומתן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הסבר</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כי</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באם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תִשנה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היא</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עלולה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להוביל</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למעצרו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מקימים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כשלעצמם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עילת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פסלות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אף</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האמירה</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תמתין</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בבקשה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רוצים</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לקחת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אותך</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לחקירה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מקימה</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עילת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פסלות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בנסיבות</w:t>
      </w:r>
      <w:r>
        <w:rPr>
          <w:rFonts w:ascii="Times New Roman" w:hAnsi="Times New Roman" w:cs="Times New Roman"/>
          <w:spacing w:val="0"/>
          <w:sz w:val="24"/>
          <w:sz w:val="24"/>
          <w:szCs w:val="26"/>
          <w:rtl w:val="true"/>
        </w:rPr>
        <w:t xml:space="preserve"> </w:t>
      </w:r>
      <w:r>
        <w:rPr>
          <w:rFonts w:ascii="Times New Roman" w:hAnsi="Times New Roman" w:cs="Times New Roman"/>
          <w:spacing w:val="0"/>
          <w:sz w:val="24"/>
          <w:sz w:val="24"/>
          <w:szCs w:val="26"/>
          <w:rtl w:val="true"/>
        </w:rPr>
        <w:t>העניין</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משפט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שופטים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פסילה</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משפט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פסלות שופט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טעמי הפסלות</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בתי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משפט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שופטים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פסלותם</w:t>
      </w:r>
    </w:p>
    <w:p>
      <w:pPr>
        <w:pStyle w:val="Ruller43"/>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textAlignment w:val="auto"/>
        <w:rPr/>
      </w:pPr>
      <w:r>
        <w:rPr>
          <w:rFonts w:ascii="Times New Roman" w:hAnsi="Times New Roman" w:cs="Times New Roman"/>
          <w:spacing w:val="0"/>
          <w:szCs w:val="26"/>
          <w:rtl w:val="true"/>
        </w:rPr>
        <w:t>נגד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ושלושה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נאשמים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כולם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קטינים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הוגש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אישום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תקיפה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וחבלה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ממשית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ואילו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נוסף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כפר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בעובדות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שמיעת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העדויות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הנוסף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הוכרז</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לקראת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סיום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עדותו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למשיבה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לפתוח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בחקירה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השקר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שהעיד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לכאורה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לפסילת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מלדון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ומכאן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cs="Times New Roman" w:ascii="Times New Roman" w:hAnsi="Times New Roman"/>
          <w:spacing w:val="0"/>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העליון דחה את הערעור בקבעו</w:t>
      </w: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textAlignment w:val="auto"/>
        <w:rPr/>
      </w:pPr>
      <w:r>
        <w:rPr>
          <w:rFonts w:ascii="Times New Roman" w:hAnsi="Times New Roman" w:cs="Times New Roman"/>
          <w:spacing w:val="0"/>
          <w:szCs w:val="26"/>
          <w:rtl w:val="true"/>
        </w:rPr>
        <w:t>עיקר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מופנה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עצם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ההחלטה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להעידו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התנהלות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והתבטאויותיו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להקים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לפסילת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המותב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מהתנהלות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עדותו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תִשנה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להוביל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למעצרו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מקימים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כשלעצמם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פסלות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האמירה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תמתין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בבקשה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רוצים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אותך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לחקירה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מקימה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העניין</w:t>
      </w:r>
      <w:r>
        <w:rPr>
          <w:rFonts w:cs="Times New Roman"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בענייננו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הדגיש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דעתו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נעולה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יוכל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להמשיך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והוגן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וללא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להוסיף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הטיעונים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יינתנו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יסוד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תסקיר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המבחן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הוגש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גזירת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יינתן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משקל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מהימנותו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הנוסף</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tabs>
          <w:tab w:val="clear" w:pos="720"/>
          <w:tab w:val="left" w:pos="2552" w:leader="none"/>
        </w:tabs>
        <w:spacing w:lineRule="exact" w:line="320" w:before="0" w:after="120"/>
        <w:ind w:end="0"/>
        <w:jc w:val="both"/>
        <w:rPr/>
      </w:pPr>
      <w:r>
        <w:rPr>
          <w:rFonts w:cs="FrankRuehl"/>
          <w:sz w:val="24"/>
          <w:sz w:val="24"/>
          <w:szCs w:val="26"/>
          <w:rtl w:val="true"/>
        </w:rPr>
        <w:t>בהינתן</w:t>
      </w:r>
      <w:r>
        <w:rPr>
          <w:rFonts w:cs="Times New Roman"/>
          <w:sz w:val="24"/>
          <w:sz w:val="24"/>
          <w:szCs w:val="26"/>
          <w:rtl w:val="true"/>
        </w:rPr>
        <w:t xml:space="preserve"> </w:t>
      </w:r>
      <w:r>
        <w:rPr>
          <w:rFonts w:cs="FrankRuehl"/>
          <w:sz w:val="24"/>
          <w:sz w:val="24"/>
          <w:szCs w:val="26"/>
          <w:rtl w:val="true"/>
        </w:rPr>
        <w:t>כל</w:t>
      </w:r>
      <w:r>
        <w:rPr>
          <w:rFonts w:cs="Times New Roman"/>
          <w:sz w:val="24"/>
          <w:sz w:val="24"/>
          <w:szCs w:val="26"/>
          <w:rtl w:val="true"/>
        </w:rPr>
        <w:t xml:space="preserve"> </w:t>
      </w:r>
      <w:r>
        <w:rPr>
          <w:rFonts w:cs="FrankRuehl"/>
          <w:sz w:val="24"/>
          <w:sz w:val="24"/>
          <w:szCs w:val="26"/>
          <w:rtl w:val="true"/>
        </w:rPr>
        <w:t>האמור</w:t>
      </w:r>
      <w:r>
        <w:rPr>
          <w:rFonts w:cs="Times New Roman"/>
          <w:sz w:val="24"/>
          <w:sz w:val="24"/>
          <w:szCs w:val="26"/>
          <w:rtl w:val="true"/>
        </w:rPr>
        <w:t xml:space="preserve"> </w:t>
      </w:r>
      <w:r>
        <w:rPr>
          <w:rFonts w:cs="FrankRuehl"/>
          <w:sz w:val="24"/>
          <w:sz w:val="24"/>
          <w:szCs w:val="26"/>
          <w:rtl w:val="true"/>
        </w:rPr>
        <w:t>לעיל</w:t>
      </w:r>
      <w:r>
        <w:rPr>
          <w:rFonts w:cs="FrankRuehl"/>
          <w:sz w:val="24"/>
          <w:szCs w:val="26"/>
          <w:rtl w:val="true"/>
        </w:rPr>
        <w:t xml:space="preserve">, </w:t>
      </w:r>
      <w:r>
        <w:rPr>
          <w:rFonts w:cs="FrankRuehl"/>
          <w:sz w:val="24"/>
          <w:sz w:val="24"/>
          <w:szCs w:val="26"/>
          <w:rtl w:val="true"/>
        </w:rPr>
        <w:t>לא</w:t>
      </w:r>
      <w:r>
        <w:rPr>
          <w:rFonts w:cs="Times New Roman"/>
          <w:sz w:val="24"/>
          <w:sz w:val="24"/>
          <w:szCs w:val="26"/>
          <w:rtl w:val="true"/>
        </w:rPr>
        <w:t xml:space="preserve"> </w:t>
      </w:r>
      <w:r>
        <w:rPr>
          <w:rFonts w:cs="FrankRuehl"/>
          <w:sz w:val="24"/>
          <w:sz w:val="24"/>
          <w:szCs w:val="26"/>
          <w:rtl w:val="true"/>
        </w:rPr>
        <w:t>נמצא</w:t>
      </w:r>
      <w:r>
        <w:rPr>
          <w:rFonts w:cs="Times New Roman"/>
          <w:sz w:val="24"/>
          <w:sz w:val="24"/>
          <w:szCs w:val="26"/>
          <w:rtl w:val="true"/>
        </w:rPr>
        <w:t xml:space="preserve"> </w:t>
      </w:r>
      <w:r>
        <w:rPr>
          <w:rFonts w:cs="FrankRuehl"/>
          <w:sz w:val="24"/>
          <w:sz w:val="24"/>
          <w:szCs w:val="26"/>
          <w:rtl w:val="true"/>
        </w:rPr>
        <w:t>כי</w:t>
      </w:r>
      <w:r>
        <w:rPr>
          <w:rFonts w:cs="Times New Roman"/>
          <w:sz w:val="24"/>
          <w:sz w:val="24"/>
          <w:szCs w:val="26"/>
          <w:rtl w:val="true"/>
        </w:rPr>
        <w:t xml:space="preserve"> </w:t>
      </w:r>
      <w:r>
        <w:rPr>
          <w:rFonts w:cs="FrankRuehl"/>
          <w:sz w:val="24"/>
          <w:sz w:val="24"/>
          <w:szCs w:val="26"/>
          <w:rtl w:val="true"/>
        </w:rPr>
        <w:t>עלה</w:t>
      </w:r>
      <w:r>
        <w:rPr>
          <w:rFonts w:cs="Times New Roman"/>
          <w:sz w:val="24"/>
          <w:sz w:val="24"/>
          <w:szCs w:val="26"/>
          <w:rtl w:val="true"/>
        </w:rPr>
        <w:t xml:space="preserve"> </w:t>
      </w:r>
      <w:r>
        <w:rPr>
          <w:rFonts w:cs="FrankRuehl"/>
          <w:sz w:val="24"/>
          <w:sz w:val="24"/>
          <w:szCs w:val="26"/>
          <w:rtl w:val="true"/>
        </w:rPr>
        <w:t>בידי</w:t>
      </w:r>
      <w:r>
        <w:rPr>
          <w:rFonts w:cs="Times New Roman"/>
          <w:sz w:val="24"/>
          <w:sz w:val="24"/>
          <w:szCs w:val="26"/>
          <w:rtl w:val="true"/>
        </w:rPr>
        <w:t xml:space="preserve"> </w:t>
      </w:r>
      <w:r>
        <w:rPr>
          <w:rFonts w:cs="FrankRuehl"/>
          <w:sz w:val="24"/>
          <w:sz w:val="24"/>
          <w:szCs w:val="26"/>
          <w:rtl w:val="true"/>
        </w:rPr>
        <w:t>המערער</w:t>
      </w:r>
      <w:r>
        <w:rPr>
          <w:rFonts w:cs="Times New Roman"/>
          <w:sz w:val="24"/>
          <w:sz w:val="24"/>
          <w:szCs w:val="26"/>
          <w:rtl w:val="true"/>
        </w:rPr>
        <w:t xml:space="preserve"> </w:t>
      </w:r>
      <w:r>
        <w:rPr>
          <w:rFonts w:cs="FrankRuehl"/>
          <w:sz w:val="24"/>
          <w:sz w:val="24"/>
          <w:szCs w:val="26"/>
          <w:rtl w:val="true"/>
        </w:rPr>
        <w:t>להצביע</w:t>
      </w:r>
      <w:r>
        <w:rPr>
          <w:rFonts w:cs="Times New Roman"/>
          <w:sz w:val="24"/>
          <w:sz w:val="24"/>
          <w:szCs w:val="26"/>
          <w:rtl w:val="true"/>
        </w:rPr>
        <w:t xml:space="preserve"> </w:t>
      </w:r>
      <w:r>
        <w:rPr>
          <w:rFonts w:cs="FrankRuehl"/>
          <w:sz w:val="24"/>
          <w:sz w:val="24"/>
          <w:szCs w:val="26"/>
          <w:rtl w:val="true"/>
        </w:rPr>
        <w:t>על</w:t>
      </w:r>
      <w:r>
        <w:rPr>
          <w:rFonts w:cs="Times New Roman"/>
          <w:sz w:val="24"/>
          <w:sz w:val="24"/>
          <w:szCs w:val="26"/>
          <w:rtl w:val="true"/>
        </w:rPr>
        <w:t xml:space="preserve"> </w:t>
      </w:r>
      <w:r>
        <w:rPr>
          <w:rFonts w:cs="FrankRuehl"/>
          <w:sz w:val="24"/>
          <w:sz w:val="24"/>
          <w:szCs w:val="26"/>
          <w:rtl w:val="true"/>
        </w:rPr>
        <w:t>חשש</w:t>
      </w:r>
      <w:r>
        <w:rPr>
          <w:rFonts w:cs="Times New Roman"/>
          <w:sz w:val="24"/>
          <w:sz w:val="24"/>
          <w:szCs w:val="26"/>
          <w:rtl w:val="true"/>
        </w:rPr>
        <w:t xml:space="preserve"> </w:t>
      </w:r>
      <w:r>
        <w:rPr>
          <w:rFonts w:cs="FrankRuehl"/>
          <w:sz w:val="24"/>
          <w:sz w:val="24"/>
          <w:szCs w:val="26"/>
          <w:rtl w:val="true"/>
        </w:rPr>
        <w:t>ממשי</w:t>
      </w:r>
      <w:r>
        <w:rPr>
          <w:rFonts w:cs="Times New Roman"/>
          <w:sz w:val="24"/>
          <w:sz w:val="24"/>
          <w:szCs w:val="26"/>
          <w:rtl w:val="true"/>
        </w:rPr>
        <w:t xml:space="preserve"> </w:t>
      </w:r>
      <w:r>
        <w:rPr>
          <w:rFonts w:cs="FrankRuehl"/>
          <w:sz w:val="24"/>
          <w:sz w:val="24"/>
          <w:szCs w:val="26"/>
          <w:rtl w:val="true"/>
        </w:rPr>
        <w:t>למשוא</w:t>
      </w:r>
      <w:r>
        <w:rPr>
          <w:rFonts w:cs="Times New Roman"/>
          <w:sz w:val="24"/>
          <w:sz w:val="24"/>
          <w:szCs w:val="26"/>
          <w:rtl w:val="true"/>
        </w:rPr>
        <w:t xml:space="preserve"> </w:t>
      </w:r>
      <w:r>
        <w:rPr>
          <w:rFonts w:cs="FrankRuehl"/>
          <w:sz w:val="24"/>
          <w:sz w:val="24"/>
          <w:szCs w:val="26"/>
          <w:rtl w:val="true"/>
        </w:rPr>
        <w:t>פנים</w:t>
      </w:r>
      <w:r>
        <w:rPr>
          <w:rFonts w:cs="Times New Roman"/>
          <w:sz w:val="24"/>
          <w:sz w:val="24"/>
          <w:szCs w:val="26"/>
          <w:rtl w:val="true"/>
        </w:rPr>
        <w:t xml:space="preserve"> </w:t>
      </w:r>
      <w:r>
        <w:rPr>
          <w:rFonts w:cs="FrankRuehl"/>
          <w:sz w:val="24"/>
          <w:sz w:val="24"/>
          <w:szCs w:val="26"/>
          <w:rtl w:val="true"/>
        </w:rPr>
        <w:t>של</w:t>
      </w:r>
      <w:r>
        <w:rPr>
          <w:rFonts w:cs="Times New Roman"/>
          <w:sz w:val="24"/>
          <w:sz w:val="24"/>
          <w:szCs w:val="26"/>
          <w:rtl w:val="true"/>
        </w:rPr>
        <w:t xml:space="preserve"> </w:t>
      </w:r>
      <w:r>
        <w:rPr>
          <w:rFonts w:cs="FrankRuehl"/>
          <w:sz w:val="24"/>
          <w:sz w:val="24"/>
          <w:szCs w:val="26"/>
          <w:rtl w:val="true"/>
        </w:rPr>
        <w:t>בית</w:t>
      </w:r>
      <w:r>
        <w:rPr>
          <w:rFonts w:cs="Times New Roman"/>
          <w:sz w:val="24"/>
          <w:sz w:val="24"/>
          <w:szCs w:val="26"/>
          <w:rtl w:val="true"/>
        </w:rPr>
        <w:t xml:space="preserve"> </w:t>
      </w:r>
      <w:r>
        <w:rPr>
          <w:rFonts w:cs="FrankRuehl"/>
          <w:sz w:val="24"/>
          <w:sz w:val="24"/>
          <w:szCs w:val="26"/>
          <w:rtl w:val="true"/>
        </w:rPr>
        <w:t>המשפט</w:t>
      </w:r>
      <w:r>
        <w:rPr>
          <w:rFonts w:cs="Times New Roman"/>
          <w:sz w:val="24"/>
          <w:sz w:val="24"/>
          <w:szCs w:val="26"/>
          <w:rtl w:val="true"/>
        </w:rPr>
        <w:t xml:space="preserve"> </w:t>
      </w:r>
      <w:r>
        <w:rPr>
          <w:rFonts w:cs="FrankRuehl"/>
          <w:sz w:val="24"/>
          <w:sz w:val="24"/>
          <w:szCs w:val="26"/>
          <w:rtl w:val="true"/>
        </w:rPr>
        <w:t>בעניינו</w:t>
      </w:r>
      <w:r>
        <w:rPr>
          <w:rFonts w:cs="FrankRuehl"/>
          <w:sz w:val="24"/>
          <w:szCs w:val="26"/>
          <w:rtl w:val="true"/>
        </w:rPr>
        <w:t xml:space="preserve">, </w:t>
      </w:r>
      <w:r>
        <w:rPr>
          <w:rFonts w:cs="FrankRuehl"/>
          <w:sz w:val="24"/>
          <w:sz w:val="24"/>
          <w:szCs w:val="26"/>
          <w:rtl w:val="true"/>
        </w:rPr>
        <w:t>וזאת</w:t>
      </w:r>
      <w:r>
        <w:rPr>
          <w:rFonts w:cs="Times New Roman"/>
          <w:sz w:val="24"/>
          <w:sz w:val="24"/>
          <w:szCs w:val="26"/>
          <w:rtl w:val="true"/>
        </w:rPr>
        <w:t xml:space="preserve"> </w:t>
      </w:r>
      <w:r>
        <w:rPr>
          <w:rFonts w:cs="FrankRuehl"/>
          <w:sz w:val="24"/>
          <w:sz w:val="24"/>
          <w:szCs w:val="26"/>
          <w:rtl w:val="true"/>
        </w:rPr>
        <w:t>אף</w:t>
      </w:r>
      <w:r>
        <w:rPr>
          <w:rFonts w:cs="Times New Roman"/>
          <w:sz w:val="24"/>
          <w:sz w:val="24"/>
          <w:szCs w:val="26"/>
          <w:rtl w:val="true"/>
        </w:rPr>
        <w:t xml:space="preserve"> </w:t>
      </w:r>
      <w:r>
        <w:rPr>
          <w:rFonts w:cs="FrankRuehl"/>
          <w:sz w:val="24"/>
          <w:sz w:val="24"/>
          <w:szCs w:val="26"/>
          <w:rtl w:val="true"/>
        </w:rPr>
        <w:t>מבלי</w:t>
      </w:r>
      <w:r>
        <w:rPr>
          <w:rFonts w:cs="Times New Roman"/>
          <w:sz w:val="24"/>
          <w:sz w:val="24"/>
          <w:szCs w:val="26"/>
          <w:rtl w:val="true"/>
        </w:rPr>
        <w:t xml:space="preserve"> </w:t>
      </w:r>
      <w:r>
        <w:rPr>
          <w:rFonts w:cs="FrankRuehl"/>
          <w:sz w:val="24"/>
          <w:sz w:val="24"/>
          <w:szCs w:val="26"/>
          <w:rtl w:val="true"/>
        </w:rPr>
        <w:t>להידרש</w:t>
      </w:r>
      <w:r>
        <w:rPr>
          <w:rFonts w:cs="Times New Roman"/>
          <w:sz w:val="24"/>
          <w:sz w:val="24"/>
          <w:szCs w:val="26"/>
          <w:rtl w:val="true"/>
        </w:rPr>
        <w:t xml:space="preserve"> </w:t>
      </w:r>
      <w:r>
        <w:rPr>
          <w:rFonts w:cs="FrankRuehl"/>
          <w:sz w:val="24"/>
          <w:sz w:val="24"/>
          <w:szCs w:val="26"/>
          <w:rtl w:val="true"/>
        </w:rPr>
        <w:t>לשאלת</w:t>
      </w:r>
      <w:r>
        <w:rPr>
          <w:rFonts w:cs="Times New Roman"/>
          <w:sz w:val="24"/>
          <w:sz w:val="24"/>
          <w:szCs w:val="26"/>
          <w:rtl w:val="true"/>
        </w:rPr>
        <w:t xml:space="preserve"> </w:t>
      </w:r>
      <w:r>
        <w:rPr>
          <w:rFonts w:cs="FrankRuehl"/>
          <w:sz w:val="24"/>
          <w:sz w:val="24"/>
          <w:szCs w:val="26"/>
          <w:rtl w:val="true"/>
        </w:rPr>
        <w:t>השיהוי</w:t>
      </w:r>
      <w:r>
        <w:rPr>
          <w:rFonts w:cs="Times New Roman"/>
          <w:sz w:val="24"/>
          <w:sz w:val="24"/>
          <w:szCs w:val="26"/>
          <w:rtl w:val="true"/>
        </w:rPr>
        <w:t xml:space="preserve"> </w:t>
      </w:r>
      <w:r>
        <w:rPr>
          <w:rFonts w:cs="FrankRuehl"/>
          <w:sz w:val="24"/>
          <w:sz w:val="24"/>
          <w:szCs w:val="26"/>
          <w:rtl w:val="true"/>
        </w:rPr>
        <w:t>שנפל</w:t>
      </w:r>
      <w:r>
        <w:rPr>
          <w:rFonts w:cs="Times New Roman"/>
          <w:sz w:val="24"/>
          <w:sz w:val="24"/>
          <w:szCs w:val="26"/>
          <w:rtl w:val="true"/>
        </w:rPr>
        <w:t xml:space="preserve"> </w:t>
      </w:r>
      <w:r>
        <w:rPr>
          <w:rFonts w:cs="FrankRuehl"/>
          <w:sz w:val="24"/>
          <w:sz w:val="24"/>
          <w:szCs w:val="26"/>
          <w:rtl w:val="true"/>
        </w:rPr>
        <w:t>בהגשת</w:t>
      </w:r>
      <w:r>
        <w:rPr>
          <w:rFonts w:cs="Times New Roman"/>
          <w:sz w:val="24"/>
          <w:sz w:val="24"/>
          <w:szCs w:val="26"/>
          <w:rtl w:val="true"/>
        </w:rPr>
        <w:t xml:space="preserve"> </w:t>
      </w:r>
      <w:r>
        <w:rPr>
          <w:rFonts w:cs="FrankRuehl"/>
          <w:sz w:val="24"/>
          <w:sz w:val="24"/>
          <w:szCs w:val="26"/>
          <w:rtl w:val="true"/>
        </w:rPr>
        <w:t>הבקשה</w:t>
      </w:r>
      <w:r>
        <w:rPr>
          <w:rFonts w:cs="FrankRuehl"/>
          <w:sz w:val="24"/>
          <w:szCs w:val="26"/>
          <w:rtl w:val="true"/>
        </w:rPr>
        <w:t>.</w:t>
      </w:r>
      <w:bookmarkStart w:id="5" w:name="ABSTRACT_END"/>
      <w:bookmarkEnd w:id="5"/>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6" w:name="PsakDin"/>
            <w:bookmarkStart w:id="7" w:name="BeginProtocol"/>
            <w:bookmarkStart w:id="8" w:name="secretary"/>
            <w:bookmarkEnd w:id="6"/>
            <w:bookmarkEnd w:id="7"/>
            <w:bookmarkEnd w:id="8"/>
            <w:r>
              <w:rPr>
                <w:rtl w:val="true"/>
              </w:rPr>
              <w:t>החלטה</w:t>
            </w:r>
          </w:p>
        </w:tc>
      </w:tr>
    </w:tbl>
    <w:p>
      <w:pPr>
        <w:pStyle w:val="BODYVERDICT"/>
        <w:ind w:end="0"/>
        <w:jc w:val="start"/>
        <w:rPr/>
      </w:pPr>
      <w:r>
        <w:rPr>
          <w:rtl w:val="true"/>
        </w:rPr>
      </w:r>
    </w:p>
    <w:p>
      <w:pPr>
        <w:pStyle w:val="Ruller42"/>
        <w:ind w:end="0"/>
        <w:jc w:val="both"/>
        <w:rPr/>
      </w:pPr>
      <w:bookmarkStart w:id="9" w:name="Writer_Name"/>
      <w:bookmarkEnd w:id="9"/>
      <w:r>
        <w:rPr>
          <w:rFonts w:cs="Times New Roman" w:ascii="Times New Roman" w:hAnsi="Times New Roman"/>
          <w:rtl w:val="true"/>
        </w:rPr>
        <w:tab/>
      </w:r>
      <w:r>
        <w:rPr>
          <w:rFonts w:ascii="Garamond" w:hAnsi="Garamond" w:cs="Garamond"/>
          <w:sz w:val="28"/>
          <w:sz w:val="28"/>
          <w:rtl w:val="true"/>
        </w:rPr>
        <w:t>ערעור על החלטת בית משפט לנוער בבית משפט השלום בתל אביב</w:t>
      </w:r>
      <w:r>
        <w:rPr>
          <w:rFonts w:cs="Garamond" w:ascii="Garamond" w:hAnsi="Garamond"/>
          <w:sz w:val="28"/>
          <w:rtl w:val="true"/>
        </w:rPr>
        <w:t>-</w:t>
      </w:r>
      <w:r>
        <w:rPr>
          <w:rFonts w:ascii="Garamond" w:hAnsi="Garamond" w:cs="Garamond"/>
          <w:sz w:val="28"/>
          <w:sz w:val="28"/>
          <w:rtl w:val="true"/>
        </w:rPr>
        <w:t xml:space="preserve">יפו </w:t>
      </w:r>
      <w:r>
        <w:rPr>
          <w:rFonts w:cs="Garamond" w:ascii="Garamond" w:hAnsi="Garamond"/>
          <w:sz w:val="28"/>
          <w:rtl w:val="true"/>
        </w:rPr>
        <w:t>(</w:t>
      </w:r>
      <w:r>
        <w:rPr>
          <w:rFonts w:ascii="Garamond" w:hAnsi="Garamond" w:cs="Garamond"/>
          <w:sz w:val="28"/>
          <w:sz w:val="28"/>
          <w:rtl w:val="true"/>
        </w:rPr>
        <w:t xml:space="preserve">השופטת </w:t>
      </w:r>
      <w:r>
        <w:rPr>
          <w:rFonts w:ascii="Garamond" w:hAnsi="Garamond" w:cs="Miriam"/>
          <w:sz w:val="24"/>
          <w:sz w:val="24"/>
          <w:szCs w:val="24"/>
          <w:rtl w:val="true"/>
        </w:rPr>
        <w:t>ט</w:t>
      </w:r>
      <w:r>
        <w:rPr>
          <w:rFonts w:cs="Miriam" w:ascii="Garamond" w:hAnsi="Garamond"/>
          <w:sz w:val="24"/>
          <w:szCs w:val="24"/>
          <w:rtl w:val="true"/>
        </w:rPr>
        <w:t xml:space="preserve">' </w:t>
      </w:r>
      <w:r>
        <w:rPr>
          <w:rFonts w:ascii="Garamond" w:hAnsi="Garamond" w:cs="Miriam"/>
          <w:sz w:val="24"/>
          <w:sz w:val="24"/>
          <w:szCs w:val="24"/>
          <w:rtl w:val="true"/>
        </w:rPr>
        <w:t>פרי</w:t>
      </w:r>
      <w:r>
        <w:rPr>
          <w:rFonts w:cs="Garamond" w:ascii="Garamond" w:hAnsi="Garamond"/>
          <w:sz w:val="28"/>
          <w:rtl w:val="true"/>
        </w:rPr>
        <w:t xml:space="preserve">) </w:t>
      </w:r>
      <w:r>
        <w:rPr>
          <w:rFonts w:ascii="Garamond" w:hAnsi="Garamond" w:cs="Garamond"/>
          <w:sz w:val="28"/>
          <w:sz w:val="28"/>
          <w:rtl w:val="true"/>
        </w:rPr>
        <w:t xml:space="preserve">מיום </w:t>
      </w:r>
      <w:r>
        <w:rPr>
          <w:rFonts w:cs="Garamond" w:ascii="Garamond" w:hAnsi="Garamond"/>
          <w:sz w:val="28"/>
        </w:rPr>
        <w:t>6.3.2018</w:t>
      </w:r>
      <w:r>
        <w:rPr>
          <w:rFonts w:cs="Garamond" w:ascii="Garamond" w:hAnsi="Garamond"/>
          <w:sz w:val="28"/>
          <w:rtl w:val="true"/>
        </w:rPr>
        <w:t xml:space="preserve"> </w:t>
      </w:r>
      <w:r>
        <w:rPr>
          <w:rFonts w:ascii="Garamond" w:hAnsi="Garamond" w:cs="Garamond"/>
          <w:sz w:val="28"/>
          <w:sz w:val="28"/>
          <w:rtl w:val="true"/>
        </w:rPr>
        <w:t>שלא לפסול עצמו מלדון בת</w:t>
      </w:r>
      <w:r>
        <w:rPr>
          <w:rFonts w:cs="Garamond" w:ascii="Garamond" w:hAnsi="Garamond"/>
          <w:sz w:val="28"/>
          <w:rtl w:val="true"/>
        </w:rPr>
        <w:t>"</w:t>
      </w:r>
      <w:r>
        <w:rPr>
          <w:rFonts w:ascii="Garamond" w:hAnsi="Garamond" w:cs="Garamond"/>
          <w:sz w:val="28"/>
          <w:sz w:val="28"/>
          <w:rtl w:val="true"/>
        </w:rPr>
        <w:t xml:space="preserve">פ </w:t>
      </w:r>
      <w:r>
        <w:rPr>
          <w:rFonts w:cs="Garamond" w:ascii="Garamond" w:hAnsi="Garamond"/>
          <w:sz w:val="28"/>
        </w:rPr>
        <w:t>22306-05-16</w:t>
      </w:r>
      <w:r>
        <w:rPr>
          <w:rFonts w:cs="Garamond" w:ascii="Garamond" w:hAnsi="Garamond"/>
          <w:sz w:val="28"/>
          <w:rtl w:val="true"/>
        </w:rPr>
        <w:t>.</w:t>
      </w:r>
    </w:p>
    <w:p>
      <w:pPr>
        <w:pStyle w:val="Ruller42"/>
        <w:ind w:end="0"/>
        <w:jc w:val="both"/>
        <w:rPr>
          <w:rFonts w:ascii="Times New Roman" w:hAnsi="Times New Roman" w:cs="Times New Roman"/>
          <w:sz w:val="28"/>
        </w:rPr>
      </w:pPr>
      <w:r>
        <w:rPr>
          <w:rFonts w:cs="Times New Roman" w:ascii="Times New Roman" w:hAnsi="Times New Roman"/>
          <w:sz w:val="28"/>
          <w:rtl w:val="true"/>
        </w:rPr>
      </w:r>
    </w:p>
    <w:p>
      <w:pPr>
        <w:pStyle w:val="Ruller43"/>
        <w:numPr>
          <w:ilvl w:val="0"/>
          <w:numId w:val="1"/>
        </w:numPr>
        <w:ind w:end="0"/>
        <w:jc w:val="both"/>
        <w:textAlignment w:val="auto"/>
        <w:rPr/>
      </w:pPr>
      <w:r>
        <w:rPr>
          <w:rtl w:val="true"/>
        </w:rPr>
        <w:t>נגד המערער ושלושה נאשמים נוספים</w:t>
      </w:r>
      <w:r>
        <w:rPr>
          <w:rtl w:val="true"/>
        </w:rPr>
        <w:t xml:space="preserve">, </w:t>
      </w:r>
      <w:r>
        <w:rPr>
          <w:rtl w:val="true"/>
        </w:rPr>
        <w:t>כולם קטינים</w:t>
      </w:r>
      <w:r>
        <w:rPr>
          <w:rtl w:val="true"/>
        </w:rPr>
        <w:t xml:space="preserve">, </w:t>
      </w:r>
      <w:r>
        <w:rPr>
          <w:rtl w:val="true"/>
        </w:rPr>
        <w:t>הוגש כתב אישום המייחס להם ביצוע עבירה של תקיפה וחבלה ממשית על ידי שניים או יותר על רקע אירוע שבו תקפו במהלומות ובבעיטות את המתלונן</w:t>
      </w:r>
      <w:r>
        <w:rPr>
          <w:rtl w:val="true"/>
        </w:rPr>
        <w:t xml:space="preserve">. </w:t>
      </w:r>
      <w:r>
        <w:rPr>
          <w:rtl w:val="true"/>
        </w:rPr>
        <w:t>כעולה מהחלטת בית משפט קמא</w:t>
      </w:r>
      <w:r>
        <w:rPr>
          <w:rtl w:val="true"/>
        </w:rPr>
        <w:t xml:space="preserve">, </w:t>
      </w:r>
      <w:r>
        <w:rPr>
          <w:rtl w:val="true"/>
        </w:rPr>
        <w:t xml:space="preserve">ביום </w:t>
      </w:r>
      <w:r>
        <w:rPr/>
        <w:t>2.1.2017</w:t>
      </w:r>
      <w:r>
        <w:rPr>
          <w:rtl w:val="true"/>
        </w:rPr>
        <w:t xml:space="preserve"> </w:t>
      </w:r>
      <w:r>
        <w:rPr>
          <w:rtl w:val="true"/>
        </w:rPr>
        <w:t xml:space="preserve">הודה המערער בכתב אישום מתוקן ואילו אחד מהנאשמים האחרים </w:t>
      </w:r>
      <w:r>
        <w:rPr>
          <w:rtl w:val="true"/>
        </w:rPr>
        <w:t>(</w:t>
      </w:r>
      <w:r>
        <w:rPr>
          <w:rtl w:val="true"/>
        </w:rPr>
        <w:t>להלן</w:t>
      </w:r>
      <w:r>
        <w:rPr>
          <w:rtl w:val="true"/>
        </w:rPr>
        <w:t xml:space="preserve">: </w:t>
      </w:r>
      <w:r>
        <w:rPr>
          <w:rFonts w:cs="Miriam"/>
          <w:b/>
          <w:b/>
          <w:spacing w:val="0"/>
          <w:szCs w:val="24"/>
          <w:rtl w:val="true"/>
        </w:rPr>
        <w:t>הנאשם</w:t>
      </w:r>
      <w:r>
        <w:rPr>
          <w:rFonts w:eastAsia="Garamond"/>
          <w:b/>
          <w:b/>
          <w:spacing w:val="0"/>
          <w:szCs w:val="24"/>
          <w:rtl w:val="true"/>
        </w:rPr>
        <w:t xml:space="preserve"> </w:t>
      </w:r>
      <w:r>
        <w:rPr>
          <w:rFonts w:cs="Miriam"/>
          <w:b/>
          <w:b/>
          <w:spacing w:val="0"/>
          <w:szCs w:val="24"/>
          <w:rtl w:val="true"/>
        </w:rPr>
        <w:t>הנוסף</w:t>
      </w:r>
      <w:r>
        <w:rPr>
          <w:rtl w:val="true"/>
        </w:rPr>
        <w:t xml:space="preserve">), </w:t>
      </w:r>
      <w:r>
        <w:rPr>
          <w:rtl w:val="true"/>
        </w:rPr>
        <w:t>כפר בעובדות כתב האישום</w:t>
      </w:r>
      <w:r>
        <w:rPr>
          <w:rtl w:val="true"/>
        </w:rPr>
        <w:t xml:space="preserve">. </w:t>
      </w:r>
      <w:r>
        <w:rPr>
          <w:rtl w:val="true"/>
        </w:rPr>
        <w:t>במסגרת שמיעת העדויות בעניינו של הנאשם הנוסף ביקשה המשיבה להעיד את המערער כעד תביעה</w:t>
      </w:r>
      <w:r>
        <w:rPr>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1"/>
        </w:numPr>
        <w:ind w:end="0"/>
        <w:jc w:val="both"/>
        <w:textAlignment w:val="auto"/>
        <w:rPr/>
      </w:pPr>
      <w:r>
        <w:rPr>
          <w:rtl w:val="true"/>
        </w:rPr>
        <w:t xml:space="preserve">עדותו של המערער בעניינו של הנאשם הנוסף נשמעה ביום </w:t>
      </w:r>
      <w:r>
        <w:rPr/>
        <w:t>28.11.2017</w:t>
      </w:r>
      <w:r>
        <w:rPr>
          <w:rtl w:val="true"/>
        </w:rPr>
        <w:t xml:space="preserve">, </w:t>
      </w:r>
      <w:r>
        <w:rPr>
          <w:rtl w:val="true"/>
        </w:rPr>
        <w:t>ובמהלכה השיב המערער לשאלה בנוגע למעשי הנאשמים ביחס למתלונן</w:t>
      </w:r>
      <w:r>
        <w:rPr>
          <w:rtl w:val="true"/>
        </w:rPr>
        <w:t xml:space="preserve">, </w:t>
      </w:r>
      <w:r>
        <w:rPr>
          <w:rtl w:val="true"/>
        </w:rPr>
        <w:t>וטען כי הוא אינו זוכר מה היה חלקו של אחד הנאשמים במעשים</w:t>
      </w:r>
      <w:r>
        <w:rPr>
          <w:rtl w:val="true"/>
        </w:rPr>
        <w:t xml:space="preserve">. </w:t>
      </w:r>
      <w:r>
        <w:rPr>
          <w:rtl w:val="true"/>
        </w:rPr>
        <w:t xml:space="preserve">בשלב זה פנה בית המשפט למערער באומרו </w:t>
      </w:r>
      <w:r>
        <w:rPr>
          <w:rtl w:val="true"/>
        </w:rPr>
        <w:t>"</w:t>
      </w:r>
      <w:r>
        <w:rPr>
          <w:rtl w:val="true"/>
        </w:rPr>
        <w:t xml:space="preserve">אתה לא יכול לעמוד פה ולהגיד לא זוכר </w:t>
      </w:r>
      <w:r>
        <w:rPr>
          <w:rtl w:val="true"/>
        </w:rPr>
        <w:t xml:space="preserve">[...] </w:t>
      </w:r>
      <w:r>
        <w:rPr>
          <w:rtl w:val="true"/>
        </w:rPr>
        <w:t>אני לא אאפשר את זה</w:t>
      </w:r>
      <w:r>
        <w:rPr>
          <w:rtl w:val="true"/>
        </w:rPr>
        <w:t xml:space="preserve">. </w:t>
      </w:r>
      <w:r>
        <w:rPr>
          <w:rtl w:val="true"/>
        </w:rPr>
        <w:t>אתה חייב לספר את האמת</w:t>
      </w:r>
      <w:r>
        <w:rPr>
          <w:rtl w:val="true"/>
        </w:rPr>
        <w:t xml:space="preserve">, </w:t>
      </w:r>
      <w:r>
        <w:rPr>
          <w:rtl w:val="true"/>
        </w:rPr>
        <w:t>זה ברור לך</w:t>
      </w:r>
      <w:r>
        <w:rPr>
          <w:rtl w:val="true"/>
        </w:rPr>
        <w:t xml:space="preserve">? </w:t>
      </w:r>
      <w:r>
        <w:rPr>
          <w:rtl w:val="true"/>
        </w:rPr>
        <w:t>יש עונשים שצפויים בחוק אם אתה לא תגיד אמת</w:t>
      </w:r>
      <w:r>
        <w:rPr>
          <w:rtl w:val="true"/>
        </w:rPr>
        <w:t>" (</w:t>
      </w:r>
      <w:r>
        <w:rPr>
          <w:rtl w:val="true"/>
        </w:rPr>
        <w:t xml:space="preserve">עמוד </w:t>
      </w:r>
      <w:r>
        <w:rPr/>
        <w:t>51</w:t>
      </w:r>
      <w:r>
        <w:rPr>
          <w:rtl w:val="true"/>
        </w:rPr>
        <w:t xml:space="preserve"> </w:t>
      </w:r>
      <w:r>
        <w:rPr>
          <w:rtl w:val="true"/>
        </w:rPr>
        <w:t>לפרוטוקול הדיון</w:t>
      </w:r>
      <w:r>
        <w:rPr>
          <w:rtl w:val="true"/>
        </w:rPr>
        <w:t xml:space="preserve">, </w:t>
      </w:r>
      <w:r>
        <w:rPr>
          <w:rtl w:val="true"/>
        </w:rPr>
        <w:t xml:space="preserve">בשורות </w:t>
      </w:r>
      <w:r>
        <w:rPr/>
        <w:t>23-20</w:t>
      </w:r>
      <w:r>
        <w:rPr>
          <w:rtl w:val="true"/>
        </w:rPr>
        <w:t xml:space="preserve">). </w:t>
      </w:r>
      <w:r>
        <w:rPr>
          <w:rtl w:val="true"/>
        </w:rPr>
        <w:t>כעולה מהחלטת בית משפט קמא שניתנה באותו הדיון</w:t>
      </w:r>
      <w:r>
        <w:rPr>
          <w:rtl w:val="true"/>
        </w:rPr>
        <w:t xml:space="preserve">, </w:t>
      </w:r>
      <w:r>
        <w:rPr>
          <w:rtl w:val="true"/>
        </w:rPr>
        <w:t xml:space="preserve">אישר המערער בהמשך הדברים כי האמור בכתב האישום המתוקן שבו הודה </w:t>
      </w:r>
      <w:r>
        <w:rPr>
          <w:rtl w:val="true"/>
        </w:rPr>
        <w:t>–</w:t>
      </w:r>
      <w:r>
        <w:rPr>
          <w:rtl w:val="true"/>
        </w:rPr>
        <w:t xml:space="preserve"> לרבות בכל הנוגע לחלקו של הנאשם הנוסף באירוע התקיפה </w:t>
      </w:r>
      <w:r>
        <w:rPr>
          <w:rtl w:val="true"/>
        </w:rPr>
        <w:t>–</w:t>
      </w:r>
      <w:r>
        <w:rPr>
          <w:rtl w:val="true"/>
        </w:rPr>
        <w:t xml:space="preserve"> הוא אמת</w:t>
      </w:r>
      <w:r>
        <w:rPr>
          <w:rtl w:val="true"/>
        </w:rPr>
        <w:t xml:space="preserve">. </w:t>
      </w:r>
      <w:r>
        <w:rPr>
          <w:rtl w:val="true"/>
        </w:rPr>
        <w:t>זמן מה לאחר מכן שינה המערער את עדותו במובן זה שחזר בו מהודאתו</w:t>
      </w:r>
      <w:r>
        <w:rPr>
          <w:rtl w:val="true"/>
        </w:rPr>
        <w:t xml:space="preserve">, </w:t>
      </w:r>
      <w:r>
        <w:rPr>
          <w:rtl w:val="true"/>
        </w:rPr>
        <w:t>וציין כי הדברים שאמר בנוגע לנוכחות הנאשם הנוסף באירוע אינם נכונים</w:t>
      </w:r>
      <w:r>
        <w:rPr>
          <w:rtl w:val="true"/>
        </w:rPr>
        <w:t xml:space="preserve">, </w:t>
      </w:r>
      <w:r>
        <w:rPr>
          <w:rtl w:val="true"/>
        </w:rPr>
        <w:t>וכי הוא שיקר בחקירה הראשית</w:t>
      </w:r>
      <w:r>
        <w:rPr>
          <w:rtl w:val="true"/>
        </w:rPr>
        <w:t xml:space="preserve">. </w:t>
      </w:r>
      <w:r>
        <w:rPr>
          <w:rtl w:val="true"/>
        </w:rPr>
        <w:t xml:space="preserve">משכך </w:t>
      </w:r>
      <w:r>
        <w:rPr>
          <w:rtl w:val="true"/>
        </w:rPr>
        <w:t>–</w:t>
      </w:r>
      <w:r>
        <w:rPr>
          <w:rtl w:val="true"/>
        </w:rPr>
        <w:t xml:space="preserve"> לבקשת המשיבה </w:t>
      </w:r>
      <w:r>
        <w:rPr>
          <w:rtl w:val="true"/>
        </w:rPr>
        <w:t>–</w:t>
      </w:r>
      <w:r>
        <w:rPr>
          <w:rtl w:val="true"/>
        </w:rPr>
        <w:t xml:space="preserve"> הוכרז המערער כעד עוין</w:t>
      </w:r>
      <w:r>
        <w:rPr>
          <w:rtl w:val="true"/>
        </w:rPr>
        <w:t xml:space="preserve">. </w:t>
      </w:r>
      <w:r>
        <w:rPr>
          <w:rtl w:val="true"/>
        </w:rPr>
        <w:t xml:space="preserve">לקראת סיום עדותו הורה בית המשפט למשיבה לפתוח בחקירה בעניין עדות השקר שהעיד לכאורה המערער </w:t>
      </w:r>
      <w:r>
        <w:rPr>
          <w:rtl w:val="true"/>
        </w:rPr>
        <w:t>(</w:t>
      </w:r>
      <w:r>
        <w:rPr>
          <w:rtl w:val="true"/>
        </w:rPr>
        <w:t xml:space="preserve">עמוד </w:t>
      </w:r>
      <w:r>
        <w:rPr/>
        <w:t>68</w:t>
      </w:r>
      <w:r>
        <w:rPr>
          <w:rtl w:val="true"/>
        </w:rPr>
        <w:t xml:space="preserve"> </w:t>
      </w:r>
      <w:r>
        <w:rPr>
          <w:rtl w:val="true"/>
        </w:rPr>
        <w:t>לפרוטוקול הדיון</w:t>
      </w:r>
      <w:r>
        <w:rPr>
          <w:rtl w:val="true"/>
        </w:rPr>
        <w:t xml:space="preserve">, </w:t>
      </w:r>
      <w:r>
        <w:rPr>
          <w:rtl w:val="true"/>
        </w:rPr>
        <w:t xml:space="preserve">בשורה </w:t>
      </w:r>
      <w:r>
        <w:rPr/>
        <w:t>6</w:t>
      </w:r>
      <w:r>
        <w:rPr>
          <w:rtl w:val="true"/>
        </w:rPr>
        <w:t xml:space="preserve">), </w:t>
      </w:r>
      <w:r>
        <w:rPr>
          <w:rtl w:val="true"/>
        </w:rPr>
        <w:t xml:space="preserve">ואף הורה למערער </w:t>
      </w:r>
      <w:r>
        <w:rPr>
          <w:rtl w:val="true"/>
        </w:rPr>
        <w:t>"</w:t>
      </w:r>
      <w:r>
        <w:rPr>
          <w:rtl w:val="true"/>
        </w:rPr>
        <w:t>תמתין בבקשה</w:t>
      </w:r>
      <w:r>
        <w:rPr>
          <w:rtl w:val="true"/>
        </w:rPr>
        <w:t xml:space="preserve">, </w:t>
      </w:r>
      <w:r>
        <w:rPr>
          <w:rtl w:val="true"/>
        </w:rPr>
        <w:t>רוצים לקחת אותך לחקירה</w:t>
      </w:r>
      <w:r>
        <w:rPr>
          <w:rtl w:val="true"/>
        </w:rPr>
        <w:t>" (</w:t>
      </w:r>
      <w:r>
        <w:rPr>
          <w:rtl w:val="true"/>
        </w:rPr>
        <w:t xml:space="preserve">עמוד </w:t>
      </w:r>
      <w:r>
        <w:rPr/>
        <w:t>80</w:t>
      </w:r>
      <w:r>
        <w:rPr>
          <w:rtl w:val="true"/>
        </w:rPr>
        <w:t xml:space="preserve"> </w:t>
      </w:r>
      <w:r>
        <w:rPr>
          <w:rtl w:val="true"/>
        </w:rPr>
        <w:t>לפרוטוקול הדיון</w:t>
      </w:r>
      <w:r>
        <w:rPr>
          <w:rtl w:val="true"/>
        </w:rPr>
        <w:t xml:space="preserve">, </w:t>
      </w:r>
      <w:r>
        <w:rPr>
          <w:rtl w:val="true"/>
        </w:rPr>
        <w:t xml:space="preserve">בשורה </w:t>
      </w:r>
      <w:r>
        <w:rPr/>
        <w:t>12</w:t>
      </w:r>
      <w:r>
        <w:rPr>
          <w:rtl w:val="true"/>
        </w:rPr>
        <w:t xml:space="preserve">). </w:t>
      </w:r>
      <w:r>
        <w:rPr>
          <w:rtl w:val="true"/>
        </w:rPr>
        <w:t xml:space="preserve">יצוין כי ביום </w:t>
      </w:r>
      <w:r>
        <w:rPr/>
        <w:t>20.2.2018</w:t>
      </w:r>
      <w:r>
        <w:rPr>
          <w:rtl w:val="true"/>
        </w:rPr>
        <w:t xml:space="preserve"> </w:t>
      </w:r>
      <w:r>
        <w:rPr>
          <w:rtl w:val="true"/>
        </w:rPr>
        <w:t>הודה גם הנאשם הנוסף בכתב אישום מתוקן</w:t>
      </w:r>
      <w:r>
        <w:rPr>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end="0"/>
        <w:jc w:val="both"/>
        <w:textAlignment w:val="auto"/>
        <w:rPr/>
      </w:pPr>
      <w:r>
        <w:rPr>
          <w:rtl w:val="true"/>
        </w:rPr>
        <w:t xml:space="preserve">ביום </w:t>
      </w:r>
      <w:r>
        <w:rPr/>
        <w:t>12.2.2018</w:t>
      </w:r>
      <w:r>
        <w:rPr>
          <w:rtl w:val="true"/>
        </w:rPr>
        <w:t xml:space="preserve"> </w:t>
      </w:r>
      <w:r>
        <w:rPr>
          <w:rtl w:val="true"/>
        </w:rPr>
        <w:t>הגיש המערער בקשה לפסילת המותב מלדון בעניינו בהתבסס על שני נימוקים</w:t>
      </w:r>
      <w:r>
        <w:rPr>
          <w:rtl w:val="true"/>
        </w:rPr>
        <w:t xml:space="preserve">: </w:t>
      </w:r>
      <w:r>
        <w:rPr>
          <w:rFonts w:cs="Miriam"/>
          <w:b/>
          <w:b/>
          <w:spacing w:val="0"/>
          <w:szCs w:val="24"/>
          <w:rtl w:val="true"/>
        </w:rPr>
        <w:t>האחד</w:t>
      </w:r>
      <w:r>
        <w:rPr>
          <w:rtl w:val="true"/>
        </w:rPr>
        <w:t xml:space="preserve">, </w:t>
      </w:r>
      <w:r>
        <w:rPr>
          <w:rtl w:val="true"/>
        </w:rPr>
        <w:t>שמיעת עדותו של המערער במשפטו של הנאשם הנוסף בעוד עניינו תלוי ועומד בפני אותו מותב</w:t>
      </w:r>
      <w:r>
        <w:rPr>
          <w:rtl w:val="true"/>
        </w:rPr>
        <w:t xml:space="preserve">. </w:t>
      </w:r>
      <w:r>
        <w:rPr>
          <w:rFonts w:cs="Miriam"/>
          <w:b/>
          <w:b/>
          <w:spacing w:val="0"/>
          <w:szCs w:val="24"/>
          <w:rtl w:val="true"/>
        </w:rPr>
        <w:t>השני</w:t>
      </w:r>
      <w:r>
        <w:rPr>
          <w:rtl w:val="true"/>
        </w:rPr>
        <w:t xml:space="preserve">, </w:t>
      </w:r>
      <w:r>
        <w:rPr>
          <w:rtl w:val="true"/>
        </w:rPr>
        <w:t xml:space="preserve">כי בית המשפט גיבש </w:t>
      </w:r>
      <w:r>
        <w:rPr>
          <w:rtl w:val="true"/>
        </w:rPr>
        <w:t>"</w:t>
      </w:r>
      <w:r>
        <w:rPr>
          <w:rtl w:val="true"/>
        </w:rPr>
        <w:t>מסה קריטית של אמונה ודעה מוקדמת</w:t>
      </w:r>
      <w:r>
        <w:rPr>
          <w:rtl w:val="true"/>
        </w:rPr>
        <w:t xml:space="preserve">" </w:t>
      </w:r>
      <w:r>
        <w:rPr>
          <w:rtl w:val="true"/>
        </w:rPr>
        <w:t>שכן במהלך שמיעת עדותו הביע דעתו כי המערער אינו דובר אמת</w:t>
      </w:r>
      <w:r>
        <w:rPr>
          <w:rtl w:val="true"/>
        </w:rPr>
        <w:t xml:space="preserve">. </w:t>
      </w:r>
      <w:r>
        <w:rPr>
          <w:rtl w:val="true"/>
        </w:rPr>
        <w:t xml:space="preserve">הבקשה נדחתה ביום </w:t>
      </w:r>
      <w:r>
        <w:rPr/>
        <w:t>6.3.2018</w:t>
      </w:r>
      <w:r>
        <w:rPr>
          <w:rtl w:val="true"/>
        </w:rPr>
        <w:t xml:space="preserve">. </w:t>
      </w:r>
      <w:r>
        <w:rPr>
          <w:rtl w:val="true"/>
        </w:rPr>
        <w:t>תחילה</w:t>
      </w:r>
      <w:r>
        <w:rPr>
          <w:rtl w:val="true"/>
        </w:rPr>
        <w:t xml:space="preserve">, </w:t>
      </w:r>
      <w:r>
        <w:rPr>
          <w:rtl w:val="true"/>
        </w:rPr>
        <w:t>עמד בית המשפט על הכלל שלפיו בית המשפט רשאי להתיר עדות שותף נגד חברו אף בטרם סיום ההליכים בעניינו של השותף העד</w:t>
      </w:r>
      <w:r>
        <w:rPr>
          <w:rtl w:val="true"/>
        </w:rPr>
        <w:t xml:space="preserve">. </w:t>
      </w:r>
      <w:r>
        <w:rPr>
          <w:rtl w:val="true"/>
        </w:rPr>
        <w:t xml:space="preserve">בית המשפט הטעים כי בענייננו מדובר בכתב אישום שהוגש במקור נגד </w:t>
      </w:r>
      <w:r>
        <w:rPr/>
        <w:t>4</w:t>
      </w:r>
      <w:r>
        <w:rPr>
          <w:rtl w:val="true"/>
        </w:rPr>
        <w:t xml:space="preserve"> </w:t>
      </w:r>
      <w:r>
        <w:rPr>
          <w:rtl w:val="true"/>
        </w:rPr>
        <w:t>נאשמים קטינים</w:t>
      </w:r>
      <w:r>
        <w:rPr>
          <w:rtl w:val="true"/>
        </w:rPr>
        <w:t xml:space="preserve">, </w:t>
      </w:r>
      <w:r>
        <w:rPr>
          <w:rtl w:val="true"/>
        </w:rPr>
        <w:t>אשר שלושה מהם הודו בעובדות כתב אישום מתוקן שהוגש נגדם</w:t>
      </w:r>
      <w:r>
        <w:rPr>
          <w:rtl w:val="true"/>
        </w:rPr>
        <w:t xml:space="preserve">, </w:t>
      </w:r>
      <w:r>
        <w:rPr>
          <w:rtl w:val="true"/>
        </w:rPr>
        <w:t>ונגד הנאשם הרביעי ההליך עודנו מתנהל</w:t>
      </w:r>
      <w:r>
        <w:rPr>
          <w:rtl w:val="true"/>
        </w:rPr>
        <w:t xml:space="preserve">. </w:t>
      </w:r>
      <w:r>
        <w:rPr>
          <w:rtl w:val="true"/>
        </w:rPr>
        <w:t>בית המשפט ציין כי מקום שבו מדובר בהליכים שבהם מעורבים קטינים</w:t>
      </w:r>
      <w:r>
        <w:rPr>
          <w:rtl w:val="true"/>
        </w:rPr>
        <w:t xml:space="preserve">, </w:t>
      </w:r>
      <w:r>
        <w:rPr>
          <w:rtl w:val="true"/>
        </w:rPr>
        <w:t>בית משפט לנוער עושה כל שניתן כדי לסיים את הליך שמיעת הראיות בהקדם</w:t>
      </w:r>
      <w:r>
        <w:rPr>
          <w:rtl w:val="true"/>
        </w:rPr>
        <w:t xml:space="preserve">, </w:t>
      </w:r>
      <w:r>
        <w:rPr>
          <w:rtl w:val="true"/>
        </w:rPr>
        <w:t>על מנת לאפשר לנאשם הקטין לשקם את חייו ללא דיחוי וכי בנסיבות המקרה דנן הודה המערער בעובדות כתב האישום המתוקן ושלב הטיעונים לעונש בעניינו נדחה לבקשת שירות המבחן כדי לסייע לו בהליך הטיפולי</w:t>
      </w:r>
      <w:r>
        <w:rPr>
          <w:rtl w:val="true"/>
        </w:rPr>
        <w:t xml:space="preserve">. </w:t>
      </w:r>
      <w:r>
        <w:rPr>
          <w:rtl w:val="true"/>
        </w:rPr>
        <w:t>על כן</w:t>
      </w:r>
      <w:r>
        <w:rPr>
          <w:rtl w:val="true"/>
        </w:rPr>
        <w:t xml:space="preserve">, </w:t>
      </w:r>
      <w:r>
        <w:rPr>
          <w:rtl w:val="true"/>
        </w:rPr>
        <w:t>כך נפסק</w:t>
      </w:r>
      <w:r>
        <w:rPr>
          <w:rtl w:val="true"/>
        </w:rPr>
        <w:t xml:space="preserve">, </w:t>
      </w:r>
      <w:r>
        <w:rPr>
          <w:rtl w:val="true"/>
        </w:rPr>
        <w:t>האיזון הראוי במקרה זה מוביל למסקנה כי לא ניתן להמתין עד לסיום ההליך בעניינו של המערער וזאת כדי לא לפגוע בנאשם הנוסף שמשפטו עודנו תלוי ועומד</w:t>
      </w:r>
      <w:r>
        <w:rPr>
          <w:rtl w:val="true"/>
        </w:rPr>
        <w:t xml:space="preserve">. </w:t>
      </w:r>
      <w:r>
        <w:rPr>
          <w:rtl w:val="true"/>
        </w:rPr>
        <w:t>בצד אלה</w:t>
      </w:r>
      <w:r>
        <w:rPr>
          <w:rtl w:val="true"/>
        </w:rPr>
        <w:t xml:space="preserve">, </w:t>
      </w:r>
      <w:r>
        <w:rPr>
          <w:rtl w:val="true"/>
        </w:rPr>
        <w:t xml:space="preserve">בית המשפט הדגיש כי גזירת עונשו של המערער </w:t>
      </w:r>
      <w:r>
        <w:rPr>
          <w:rtl w:val="true"/>
        </w:rPr>
        <w:t>–</w:t>
      </w:r>
      <w:r>
        <w:rPr>
          <w:rtl w:val="true"/>
        </w:rPr>
        <w:t xml:space="preserve"> כבעניינם של קטינים אחרים </w:t>
      </w:r>
      <w:r>
        <w:rPr>
          <w:rtl w:val="true"/>
        </w:rPr>
        <w:t>–</w:t>
      </w:r>
      <w:r>
        <w:rPr>
          <w:rtl w:val="true"/>
        </w:rPr>
        <w:t xml:space="preserve"> תעשה על סמך תסקיר שירות המבחן</w:t>
      </w:r>
      <w:r>
        <w:rPr>
          <w:rtl w:val="true"/>
        </w:rPr>
        <w:t xml:space="preserve">, </w:t>
      </w:r>
      <w:r>
        <w:rPr>
          <w:rtl w:val="true"/>
        </w:rPr>
        <w:t>שטרם התקבל בעניינו של המערער</w:t>
      </w:r>
      <w:r>
        <w:rPr>
          <w:rtl w:val="true"/>
        </w:rPr>
        <w:t xml:space="preserve">, </w:t>
      </w:r>
      <w:r>
        <w:rPr>
          <w:rtl w:val="true"/>
        </w:rPr>
        <w:t>וכי לשאלת מהימנות המערער במסגרת עדותו בהליך אחר אין רלוונטיות לגזירת עונשו בהליך המתנהל נגדו</w:t>
      </w:r>
      <w:r>
        <w:rPr>
          <w:rtl w:val="true"/>
        </w:rPr>
        <w:t xml:space="preserve">. </w:t>
      </w:r>
      <w:r>
        <w:rPr>
          <w:rtl w:val="true"/>
        </w:rPr>
        <w:t>עוד עמד בית המשפט על מאפייניו של בית המשפט לנוער</w:t>
      </w:r>
      <w:r>
        <w:rPr>
          <w:rtl w:val="true"/>
        </w:rPr>
        <w:t xml:space="preserve">, </w:t>
      </w:r>
      <w:r>
        <w:rPr>
          <w:rtl w:val="true"/>
        </w:rPr>
        <w:t>על מספר השופטים המצומצם היושב בו</w:t>
      </w:r>
      <w:r>
        <w:rPr>
          <w:rtl w:val="true"/>
        </w:rPr>
        <w:t xml:space="preserve">, </w:t>
      </w:r>
      <w:r>
        <w:rPr>
          <w:rtl w:val="true"/>
        </w:rPr>
        <w:t>באופן המחייב לא אחת כי אותו המותב ידון בעניינו של נאשם במסגרת הליכים שונים</w:t>
      </w:r>
      <w:r>
        <w:rPr>
          <w:rtl w:val="true"/>
        </w:rPr>
        <w:t xml:space="preserve">. </w:t>
      </w:r>
      <w:r>
        <w:rPr>
          <w:rtl w:val="true"/>
        </w:rPr>
        <w:t>הוטעם כי ענייננו שונה לחלוטין</w:t>
      </w:r>
      <w:r>
        <w:rPr>
          <w:rtl w:val="true"/>
        </w:rPr>
        <w:t xml:space="preserve">, </w:t>
      </w:r>
      <w:r>
        <w:rPr>
          <w:rtl w:val="true"/>
        </w:rPr>
        <w:t xml:space="preserve">שכן אין מדובר במצב שבו אותו המותב דן בשני הליכים שונים כנגד </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נאשם</w:t>
      </w:r>
      <w:r>
        <w:rPr>
          <w:rFonts w:cs="Century" w:ascii="Century" w:hAnsi="Century"/>
          <w:sz w:val="22"/>
          <w:rtl w:val="true"/>
        </w:rPr>
        <w:t>.</w:t>
      </w:r>
      <w:r>
        <w:rPr>
          <w:rtl w:val="true"/>
        </w:rPr>
        <w:t xml:space="preserve"> </w:t>
      </w:r>
    </w:p>
    <w:p>
      <w:pPr>
        <w:pStyle w:val="Ruller43"/>
        <w:numPr>
          <w:ilvl w:val="0"/>
          <w:numId w:val="0"/>
        </w:numPr>
        <w:ind w:hanging="0" w:start="0" w:end="0"/>
        <w:jc w:val="both"/>
        <w:rPr/>
      </w:pPr>
      <w:r>
        <w:rPr>
          <w:rtl w:val="true"/>
        </w:rPr>
      </w:r>
    </w:p>
    <w:p>
      <w:pPr>
        <w:pStyle w:val="Ruller43"/>
        <w:numPr>
          <w:ilvl w:val="0"/>
          <w:numId w:val="1"/>
        </w:numPr>
        <w:ind w:end="0"/>
        <w:jc w:val="both"/>
        <w:textAlignment w:val="auto"/>
        <w:rPr/>
      </w:pPr>
      <w:r>
        <w:rPr>
          <w:rtl w:val="true"/>
        </w:rPr>
        <w:t>בית המשפט אף נדרש לטענה שלפיה במסגרת עדותו בהליך נגד הנאשם הנוסף חזר בו המערער מהודאתו וכך קבע</w:t>
      </w:r>
      <w:r>
        <w:rPr>
          <w:rtl w:val="true"/>
        </w:rPr>
        <w:t>:</w:t>
      </w:r>
    </w:p>
    <w:p>
      <w:pPr>
        <w:pStyle w:val="Ruller42"/>
        <w:ind w:end="0"/>
        <w:jc w:val="both"/>
        <w:rPr/>
      </w:pPr>
      <w:r>
        <w:rPr>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לטעמי</w:t>
      </w:r>
      <w:r>
        <w:rPr>
          <w:rFonts w:cs="Century" w:ascii="Century" w:hAnsi="Century"/>
          <w:rtl w:val="true"/>
        </w:rPr>
        <w:t xml:space="preserve">, </w:t>
      </w:r>
      <w:r>
        <w:rPr>
          <w:rFonts w:ascii="Century" w:hAnsi="Century" w:cs="Century"/>
          <w:rtl w:val="true"/>
        </w:rPr>
        <w:t xml:space="preserve">הנאשם </w:t>
      </w:r>
      <w:r>
        <w:rPr>
          <w:rFonts w:cs="Century" w:ascii="Century" w:hAnsi="Century"/>
          <w:rtl w:val="true"/>
        </w:rPr>
        <w:t>[</w:t>
      </w:r>
      <w:r>
        <w:rPr>
          <w:rFonts w:ascii="Century" w:hAnsi="Century" w:cs="Century"/>
          <w:rtl w:val="true"/>
        </w:rPr>
        <w:t>המערער</w:t>
      </w:r>
      <w:r>
        <w:rPr>
          <w:rFonts w:cs="Century" w:ascii="Century" w:hAnsi="Century"/>
          <w:rtl w:val="true"/>
        </w:rPr>
        <w:t xml:space="preserve">] </w:t>
      </w:r>
      <w:r>
        <w:rPr>
          <w:rFonts w:ascii="Century" w:hAnsi="Century" w:cs="Century"/>
          <w:rtl w:val="true"/>
        </w:rPr>
        <w:t>לא חזר בו מהודאתו על רקע מצוקה שהיה אלא משום שנתפס בכף</w:t>
      </w:r>
      <w:r>
        <w:rPr>
          <w:rFonts w:cs="Century" w:ascii="Century" w:hAnsi="Century"/>
          <w:rtl w:val="true"/>
        </w:rPr>
        <w:t xml:space="preserve">. </w:t>
      </w:r>
      <w:r>
        <w:rPr>
          <w:rFonts w:ascii="Century" w:hAnsi="Century" w:cs="Century"/>
          <w:rtl w:val="true"/>
        </w:rPr>
        <w:t>מחד הודה בכתב אישום המערב את חברו בביצוע העבירה ומאידך ניסה בכל כוחו לסייע לחברו ולחלצו</w:t>
      </w:r>
      <w:r>
        <w:rPr>
          <w:rFonts w:cs="Century" w:ascii="Century" w:hAnsi="Century"/>
          <w:rtl w:val="true"/>
        </w:rPr>
        <w:t xml:space="preserve">. </w:t>
      </w:r>
      <w:r>
        <w:rPr>
          <w:rFonts w:ascii="Century" w:hAnsi="Century" w:cs="Century"/>
          <w:rtl w:val="true"/>
        </w:rPr>
        <w:t>ככל הנראה</w:t>
      </w:r>
      <w:r>
        <w:rPr>
          <w:rFonts w:cs="Century" w:ascii="Century" w:hAnsi="Century"/>
          <w:rtl w:val="true"/>
        </w:rPr>
        <w:t xml:space="preserve">, </w:t>
      </w:r>
      <w:r>
        <w:rPr>
          <w:rFonts w:ascii="Century" w:hAnsi="Century" w:cs="Century"/>
          <w:rtl w:val="true"/>
        </w:rPr>
        <w:t>אמביוולנטיות זו</w:t>
      </w:r>
      <w:r>
        <w:rPr>
          <w:rFonts w:cs="Century" w:ascii="Century" w:hAnsi="Century"/>
          <w:rtl w:val="true"/>
        </w:rPr>
        <w:t xml:space="preserve">, </w:t>
      </w:r>
      <w:r>
        <w:rPr>
          <w:rFonts w:ascii="Century" w:hAnsi="Century" w:cs="Century"/>
          <w:rtl w:val="true"/>
        </w:rPr>
        <w:t>היא שהביאה אותו לשקר בבית המשפט</w:t>
      </w:r>
      <w:r>
        <w:rPr>
          <w:rFonts w:cs="Century" w:ascii="Century" w:hAnsi="Century"/>
          <w:rtl w:val="true"/>
        </w:rPr>
        <w:t xml:space="preserve">. </w:t>
      </w:r>
      <w:r>
        <w:rPr>
          <w:rFonts w:ascii="Century" w:hAnsi="Century" w:cs="Century"/>
          <w:rtl w:val="true"/>
        </w:rPr>
        <w:t>בעת הדיון בבקשת הפסילה</w:t>
      </w:r>
      <w:r>
        <w:rPr>
          <w:rFonts w:cs="Century" w:ascii="Century" w:hAnsi="Century"/>
          <w:rtl w:val="true"/>
        </w:rPr>
        <w:t xml:space="preserve">, </w:t>
      </w:r>
      <w:r>
        <w:rPr>
          <w:rFonts w:ascii="Century" w:hAnsi="Century" w:cs="Century"/>
          <w:rtl w:val="true"/>
        </w:rPr>
        <w:t>שבה והבהירה באת כוחו כי אין בכוונתו לחזור בו מהודאתו והן היו הודאות אמת</w:t>
      </w:r>
      <w:r>
        <w:rPr>
          <w:rFonts w:cs="Century" w:ascii="Century" w:hAnsi="Century"/>
          <w:rtl w:val="true"/>
        </w:rPr>
        <w:t xml:space="preserve">". </w:t>
      </w:r>
    </w:p>
    <w:p>
      <w:pPr>
        <w:pStyle w:val="Ruller51"/>
        <w:ind w:end="1282"/>
        <w:jc w:val="both"/>
        <w:rPr>
          <w:rFonts w:ascii="Century" w:hAnsi="Century" w:cs="Century"/>
        </w:rPr>
      </w:pPr>
      <w:r>
        <w:rPr>
          <w:rFonts w:cs="Century" w:ascii="Century" w:hAnsi="Century"/>
          <w:rtl w:val="true"/>
        </w:rPr>
      </w:r>
    </w:p>
    <w:p>
      <w:pPr>
        <w:pStyle w:val="Ruller43"/>
        <w:numPr>
          <w:ilvl w:val="0"/>
          <w:numId w:val="0"/>
        </w:numPr>
        <w:ind w:hanging="0" w:start="0" w:end="0"/>
        <w:jc w:val="both"/>
        <w:rPr>
          <w:rFonts w:ascii="Century" w:hAnsi="Century" w:cs="Century"/>
        </w:rPr>
      </w:pPr>
      <w:r>
        <w:rPr>
          <w:rtl w:val="true"/>
        </w:rPr>
        <w:tab/>
      </w:r>
      <w:r>
        <w:rPr>
          <w:rtl w:val="true"/>
        </w:rPr>
        <w:t>על כן</w:t>
      </w:r>
      <w:r>
        <w:rPr>
          <w:rtl w:val="true"/>
        </w:rPr>
        <w:t xml:space="preserve">, </w:t>
      </w:r>
      <w:r>
        <w:rPr>
          <w:rtl w:val="true"/>
        </w:rPr>
        <w:t>הבקשה נדחתה ובית המשפט ציין כי הוא ישמע את הצדדים בטיעונים לעונש ללא משוא פנים ובנפש חפצה</w:t>
      </w:r>
      <w:r>
        <w:rPr>
          <w:rtl w:val="true"/>
        </w:rPr>
        <w:t xml:space="preserve">, </w:t>
      </w:r>
      <w:r>
        <w:rPr>
          <w:rtl w:val="true"/>
        </w:rPr>
        <w:t>וללא כל דעה מוקדמת</w:t>
      </w:r>
      <w:r>
        <w:rPr>
          <w:rtl w:val="true"/>
        </w:rPr>
        <w:t xml:space="preserve">. </w:t>
      </w:r>
      <w:r>
        <w:rPr>
          <w:rtl w:val="true"/>
        </w:rPr>
        <w:t>לבסוף</w:t>
      </w:r>
      <w:r>
        <w:rPr>
          <w:rtl w:val="true"/>
        </w:rPr>
        <w:t xml:space="preserve">, </w:t>
      </w:r>
      <w:r>
        <w:rPr>
          <w:rtl w:val="true"/>
        </w:rPr>
        <w:t xml:space="preserve">בית המשפט קבע כי נפל שיהוי בהגשת בקשת הפסלות שכן המערער העיד ביום </w:t>
      </w:r>
      <w:r>
        <w:rPr/>
        <w:t>28.11.2017</w:t>
      </w:r>
      <w:r>
        <w:rPr>
          <w:rtl w:val="true"/>
        </w:rPr>
        <w:t xml:space="preserve"> </w:t>
      </w:r>
      <w:r>
        <w:rPr>
          <w:rtl w:val="true"/>
        </w:rPr>
        <w:t xml:space="preserve">ואילו בקשת הפסלות הוגשה ביום </w:t>
      </w:r>
      <w:r>
        <w:rPr/>
        <w:t>12.2.2018</w:t>
      </w:r>
      <w:r>
        <w:rPr>
          <w:rtl w:val="true"/>
        </w:rPr>
        <w:t xml:space="preserve">. </w:t>
      </w:r>
      <w:r>
        <w:rPr>
          <w:rtl w:val="true"/>
        </w:rPr>
        <w:t>בהמשך לאמור</w:t>
      </w:r>
      <w:r>
        <w:rPr>
          <w:rtl w:val="true"/>
        </w:rPr>
        <w:t xml:space="preserve">, </w:t>
      </w:r>
      <w:r>
        <w:rPr>
          <w:rtl w:val="true"/>
        </w:rPr>
        <w:t>ולבקשת המערער</w:t>
      </w:r>
      <w:r>
        <w:rPr>
          <w:rtl w:val="true"/>
        </w:rPr>
        <w:t xml:space="preserve">, </w:t>
      </w:r>
      <w:r>
        <w:rPr>
          <w:rtl w:val="true"/>
        </w:rPr>
        <w:t>הורה בית המשפט על עיכוב ההליכים עד להכרעה בערעור דנן</w:t>
      </w:r>
      <w:r>
        <w:rPr>
          <w:rtl w:val="true"/>
        </w:rPr>
        <w:t xml:space="preserve">. </w:t>
      </w:r>
    </w:p>
    <w:p>
      <w:pPr>
        <w:pStyle w:val="Ruller42"/>
        <w:ind w:end="0"/>
        <w:jc w:val="both"/>
        <w:rPr>
          <w:rFonts w:ascii="Century" w:hAnsi="Century" w:cs="Century"/>
        </w:rPr>
      </w:pPr>
      <w:r>
        <w:rPr>
          <w:rFonts w:cs="Century" w:ascii="Century" w:hAnsi="Century"/>
          <w:rtl w:val="true"/>
        </w:rPr>
      </w:r>
    </w:p>
    <w:p>
      <w:pPr>
        <w:pStyle w:val="Ruller43"/>
        <w:numPr>
          <w:ilvl w:val="0"/>
          <w:numId w:val="1"/>
        </w:numPr>
        <w:ind w:end="0"/>
        <w:jc w:val="both"/>
        <w:textAlignment w:val="auto"/>
        <w:rPr>
          <w:rFonts w:ascii="Century" w:hAnsi="Century" w:cs="Century"/>
          <w:sz w:val="22"/>
        </w:rPr>
      </w:pPr>
      <w:r>
        <w:rPr>
          <w:rtl w:val="true"/>
        </w:rPr>
        <w:t>בערעור שב המערער על הטענות שהעלה בפני בית משפט קמא</w:t>
      </w:r>
      <w:r>
        <w:rPr>
          <w:rtl w:val="true"/>
        </w:rPr>
        <w:t xml:space="preserve">. </w:t>
      </w:r>
      <w:r>
        <w:rPr>
          <w:rtl w:val="true"/>
        </w:rPr>
        <w:t>בתמצית</w:t>
      </w:r>
      <w:r>
        <w:rPr>
          <w:rtl w:val="true"/>
        </w:rPr>
        <w:t xml:space="preserve">, </w:t>
      </w:r>
      <w:r>
        <w:rPr>
          <w:rtl w:val="true"/>
        </w:rPr>
        <w:t>טענות המערער הן כי במסגרת עדותו בהליך נגד הנאשם הנוסף קבע המותב קביעות קשות על אודות מהימנותו של המערער ועל התנהגותו באופן המחייב את פסילתו</w:t>
      </w:r>
      <w:r>
        <w:rPr>
          <w:rtl w:val="true"/>
        </w:rPr>
        <w:t xml:space="preserve">. </w:t>
      </w:r>
      <w:r>
        <w:rPr>
          <w:rtl w:val="true"/>
        </w:rPr>
        <w:t xml:space="preserve">המערער מדגיש כי בנסיבות דנן </w:t>
      </w:r>
      <w:r>
        <w:rPr>
          <w:rtl w:val="true"/>
        </w:rPr>
        <w:t>–</w:t>
      </w:r>
      <w:r>
        <w:rPr>
          <w:rtl w:val="true"/>
        </w:rPr>
        <w:t xml:space="preserve"> בשונה מהליכים אחרים שבהם שותף מעיד נגד חברו בטרם הסתיים עניינו </w:t>
      </w:r>
      <w:r>
        <w:rPr>
          <w:rtl w:val="true"/>
        </w:rPr>
        <w:t>–</w:t>
      </w:r>
      <w:r>
        <w:rPr>
          <w:rtl w:val="true"/>
        </w:rPr>
        <w:t xml:space="preserve"> מדובר בשותפים ל</w:t>
      </w:r>
      <w:r>
        <w:rPr>
          <w:rFonts w:ascii="Century" w:hAnsi="Century" w:cs="Miriam"/>
          <w:b/>
          <w:b/>
          <w:spacing w:val="0"/>
          <w:sz w:val="22"/>
          <w:sz w:val="22"/>
          <w:szCs w:val="24"/>
          <w:rtl w:val="true"/>
        </w:rPr>
        <w:t>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אישום</w:t>
      </w:r>
      <w:r>
        <w:rPr>
          <w:rFonts w:cs="Century" w:ascii="Century" w:hAnsi="Century"/>
          <w:sz w:val="22"/>
          <w:rtl w:val="true"/>
        </w:rPr>
        <w:t xml:space="preserve">. </w:t>
      </w:r>
      <w:r>
        <w:rPr>
          <w:rFonts w:ascii="Century" w:hAnsi="Century" w:cs="Century"/>
          <w:sz w:val="22"/>
          <w:sz w:val="22"/>
          <w:rtl w:val="true"/>
        </w:rPr>
        <w:t>עוד נטען כי באת כוחו של המערער לא התייצבה עמו לעדות בבית המשפט ולא ידעה על זימונו לעדות</w:t>
      </w:r>
      <w:r>
        <w:rPr>
          <w:rFonts w:cs="Century" w:ascii="Century" w:hAnsi="Century"/>
          <w:sz w:val="22"/>
          <w:rtl w:val="true"/>
        </w:rPr>
        <w:t xml:space="preserve">. </w:t>
      </w:r>
      <w:r>
        <w:rPr>
          <w:rFonts w:ascii="Century" w:hAnsi="Century" w:cs="Century"/>
          <w:sz w:val="22"/>
          <w:sz w:val="22"/>
          <w:rtl w:val="true"/>
        </w:rPr>
        <w:t>בנסיבות אלו</w:t>
      </w:r>
      <w:r>
        <w:rPr>
          <w:rFonts w:cs="Century" w:ascii="Century" w:hAnsi="Century"/>
          <w:sz w:val="22"/>
          <w:rtl w:val="true"/>
        </w:rPr>
        <w:t xml:space="preserve">, </w:t>
      </w:r>
      <w:r>
        <w:rPr>
          <w:rFonts w:ascii="Century" w:hAnsi="Century" w:cs="Century"/>
          <w:sz w:val="22"/>
          <w:sz w:val="22"/>
          <w:rtl w:val="true"/>
        </w:rPr>
        <w:t xml:space="preserve">הוטעם כי חקירתו של המערער בבית המשפט הייתה </w:t>
      </w:r>
      <w:r>
        <w:rPr>
          <w:rFonts w:cs="Century" w:ascii="Century" w:hAnsi="Century"/>
          <w:sz w:val="22"/>
          <w:rtl w:val="true"/>
        </w:rPr>
        <w:t>"</w:t>
      </w:r>
      <w:r>
        <w:rPr>
          <w:rFonts w:ascii="Century" w:hAnsi="Century" w:cs="Century"/>
          <w:sz w:val="22"/>
          <w:sz w:val="22"/>
          <w:rtl w:val="true"/>
        </w:rPr>
        <w:t>קשה ונוקבת</w:t>
      </w:r>
      <w:r>
        <w:rPr>
          <w:rFonts w:cs="Century" w:ascii="Century" w:hAnsi="Century"/>
          <w:sz w:val="22"/>
          <w:rtl w:val="true"/>
        </w:rPr>
        <w:t xml:space="preserve">", </w:t>
      </w:r>
      <w:r>
        <w:rPr>
          <w:rFonts w:ascii="Century" w:hAnsi="Century" w:cs="Century"/>
          <w:sz w:val="22"/>
          <w:sz w:val="22"/>
          <w:rtl w:val="true"/>
        </w:rPr>
        <w:t>כללה התבטאויות רבות של המותב באשר למהימנותו ולהתנהגותו של המערער</w:t>
      </w:r>
      <w:r>
        <w:rPr>
          <w:rFonts w:cs="Century" w:ascii="Century" w:hAnsi="Century"/>
          <w:sz w:val="22"/>
          <w:rtl w:val="true"/>
        </w:rPr>
        <w:t xml:space="preserve">, </w:t>
      </w:r>
      <w:r>
        <w:rPr>
          <w:rFonts w:ascii="Century" w:hAnsi="Century" w:cs="Century"/>
          <w:sz w:val="22"/>
          <w:sz w:val="22"/>
          <w:rtl w:val="true"/>
        </w:rPr>
        <w:t xml:space="preserve">ובמהלכה </w:t>
      </w:r>
      <w:r>
        <w:rPr>
          <w:rFonts w:ascii="Century" w:hAnsi="Century" w:cs="Century"/>
          <w:sz w:val="22"/>
          <w:sz w:val="22"/>
          <w:rtl w:val="true"/>
        </w:rPr>
        <w:t>–</w:t>
      </w:r>
      <w:r>
        <w:rPr>
          <w:rFonts w:ascii="Century" w:hAnsi="Century" w:cs="Century"/>
          <w:sz w:val="22"/>
          <w:sz w:val="22"/>
          <w:rtl w:val="true"/>
        </w:rPr>
        <w:t xml:space="preserve"> חרף בקשתו </w:t>
      </w:r>
      <w:r>
        <w:rPr>
          <w:rFonts w:ascii="Century" w:hAnsi="Century" w:cs="Century"/>
          <w:sz w:val="22"/>
          <w:sz w:val="22"/>
          <w:rtl w:val="true"/>
        </w:rPr>
        <w:t>–</w:t>
      </w:r>
      <w:r>
        <w:rPr>
          <w:rFonts w:ascii="Century" w:hAnsi="Century" w:cs="Century"/>
          <w:sz w:val="22"/>
          <w:sz w:val="22"/>
          <w:rtl w:val="true"/>
        </w:rPr>
        <w:t xml:space="preserve"> לא ניתנה לו אפשרות להיוועץ עם עורך דין</w:t>
      </w:r>
      <w:r>
        <w:rPr>
          <w:rFonts w:cs="Century" w:ascii="Century" w:hAnsi="Century"/>
          <w:sz w:val="22"/>
          <w:rtl w:val="true"/>
        </w:rPr>
        <w:t xml:space="preserve">. </w:t>
      </w:r>
      <w:r>
        <w:rPr>
          <w:rFonts w:ascii="Century" w:hAnsi="Century" w:cs="Century"/>
          <w:sz w:val="22"/>
          <w:sz w:val="22"/>
          <w:rtl w:val="true"/>
        </w:rPr>
        <w:t>לכך הוסף</w:t>
      </w:r>
      <w:r>
        <w:rPr>
          <w:rFonts w:cs="Century" w:ascii="Century" w:hAnsi="Century"/>
          <w:sz w:val="22"/>
          <w:rtl w:val="true"/>
        </w:rPr>
        <w:t xml:space="preserve">, </w:t>
      </w:r>
      <w:r>
        <w:rPr>
          <w:rFonts w:ascii="Century" w:hAnsi="Century" w:cs="Century"/>
          <w:sz w:val="22"/>
          <w:sz w:val="22"/>
          <w:rtl w:val="true"/>
        </w:rPr>
        <w:t>כי בתום הדיון הורה בית המשפט למשיבה לחקור אם המערער עבר עבירה של עדות שקר ואף הורה לעכבו לשם קיום החקירה</w:t>
      </w:r>
      <w:r>
        <w:rPr>
          <w:rFonts w:cs="Century" w:ascii="Century" w:hAnsi="Century"/>
          <w:sz w:val="22"/>
          <w:rtl w:val="true"/>
        </w:rPr>
        <w:t xml:space="preserve">. </w:t>
      </w:r>
      <w:r>
        <w:rPr>
          <w:rFonts w:ascii="Century" w:hAnsi="Century" w:cs="Century"/>
          <w:sz w:val="22"/>
          <w:sz w:val="22"/>
          <w:rtl w:val="true"/>
        </w:rPr>
        <w:t xml:space="preserve">כל אלה יחד מעלים </w:t>
      </w:r>
      <w:r>
        <w:rPr>
          <w:rFonts w:ascii="Century" w:hAnsi="Century" w:cs="Century"/>
          <w:sz w:val="22"/>
          <w:sz w:val="22"/>
          <w:rtl w:val="true"/>
        </w:rPr>
        <w:t>–</w:t>
      </w:r>
      <w:r>
        <w:rPr>
          <w:rFonts w:ascii="Century" w:hAnsi="Century" w:cs="Century"/>
          <w:sz w:val="22"/>
          <w:sz w:val="22"/>
          <w:rtl w:val="true"/>
        </w:rPr>
        <w:t xml:space="preserve"> לדברי המערער </w:t>
      </w:r>
      <w:r>
        <w:rPr>
          <w:rFonts w:ascii="Century" w:hAnsi="Century" w:cs="Century"/>
          <w:sz w:val="22"/>
          <w:sz w:val="22"/>
          <w:rtl w:val="true"/>
        </w:rPr>
        <w:t>–</w:t>
      </w:r>
      <w:r>
        <w:rPr>
          <w:rFonts w:ascii="Century" w:hAnsi="Century" w:cs="Century"/>
          <w:sz w:val="22"/>
          <w:sz w:val="22"/>
          <w:rtl w:val="true"/>
        </w:rPr>
        <w:t xml:space="preserve"> חשש ממשי למשוא פנים של המותב ותחושה כי דעתו באשר למערער </w:t>
      </w:r>
      <w:r>
        <w:rPr>
          <w:rFonts w:cs="Century" w:ascii="Century" w:hAnsi="Century"/>
          <w:sz w:val="22"/>
          <w:rtl w:val="true"/>
        </w:rPr>
        <w:t>"</w:t>
      </w:r>
      <w:r>
        <w:rPr>
          <w:rFonts w:ascii="Century" w:hAnsi="Century" w:cs="Century"/>
          <w:sz w:val="22"/>
          <w:sz w:val="22"/>
          <w:rtl w:val="true"/>
        </w:rPr>
        <w:t>נעולה</w:t>
      </w:r>
      <w:r>
        <w:rPr>
          <w:rFonts w:cs="Century"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2"/>
        <w:ind w:end="0"/>
        <w:jc w:val="both"/>
        <w:rPr/>
      </w:pPr>
      <w:r>
        <w:rPr>
          <w:rtl w:val="true"/>
        </w:rPr>
        <w:tab/>
      </w:r>
      <w:r>
        <w:rPr>
          <w:rtl w:val="true"/>
        </w:rPr>
        <w:t>באשר</w:t>
      </w:r>
      <w:r>
        <w:rPr>
          <w:rFonts w:eastAsia="Arial TUR" w:cs="Arial TUR"/>
          <w:rtl w:val="true"/>
        </w:rPr>
        <w:t xml:space="preserve"> </w:t>
      </w:r>
      <w:r>
        <w:rPr>
          <w:rtl w:val="true"/>
        </w:rPr>
        <w:t>לשיהוי</w:t>
      </w:r>
      <w:r>
        <w:rPr>
          <w:rFonts w:eastAsia="Arial TUR" w:cs="Arial TUR"/>
          <w:rtl w:val="true"/>
        </w:rPr>
        <w:t xml:space="preserve"> </w:t>
      </w:r>
      <w:r>
        <w:rPr>
          <w:rtl w:val="true"/>
        </w:rPr>
        <w:t>שנפל</w:t>
      </w:r>
      <w:r>
        <w:rPr>
          <w:rFonts w:eastAsia="Arial TUR" w:cs="Arial TUR"/>
          <w:rtl w:val="true"/>
        </w:rPr>
        <w:t xml:space="preserve"> </w:t>
      </w:r>
      <w:r>
        <w:rPr>
          <w:rtl w:val="true"/>
        </w:rPr>
        <w:t>בהגשת</w:t>
      </w:r>
      <w:r>
        <w:rPr>
          <w:rFonts w:eastAsia="Arial TUR" w:cs="Arial TUR"/>
          <w:rtl w:val="true"/>
        </w:rPr>
        <w:t xml:space="preserve"> </w:t>
      </w:r>
      <w:r>
        <w:rPr>
          <w:rtl w:val="true"/>
        </w:rPr>
        <w:t>הבקשה</w:t>
      </w:r>
      <w:r>
        <w:rPr>
          <w:rFonts w:eastAsia="Arial TUR" w:cs="Arial TUR"/>
          <w:rtl w:val="true"/>
        </w:rPr>
        <w:t xml:space="preserve"> </w:t>
      </w:r>
      <w:r>
        <w:rPr>
          <w:rtl w:val="true"/>
        </w:rPr>
        <w:t>נטען</w:t>
      </w:r>
      <w:r>
        <w:rPr>
          <w:rFonts w:eastAsia="Arial TUR" w:cs="Arial TUR"/>
          <w:rtl w:val="true"/>
        </w:rPr>
        <w:t xml:space="preserve"> </w:t>
      </w:r>
      <w:r>
        <w:rPr>
          <w:rtl w:val="true"/>
        </w:rPr>
        <w:t>–</w:t>
      </w:r>
      <w:r>
        <w:rPr>
          <w:rFonts w:eastAsia="Arial TUR" w:cs="Arial TUR"/>
          <w:rtl w:val="true"/>
        </w:rPr>
        <w:t xml:space="preserve"> </w:t>
      </w:r>
      <w:r>
        <w:rPr>
          <w:rtl w:val="true"/>
        </w:rPr>
        <w:t>כאמור</w:t>
      </w:r>
      <w:r>
        <w:rPr>
          <w:rFonts w:eastAsia="Arial TUR" w:cs="Arial TUR"/>
          <w:rtl w:val="true"/>
        </w:rPr>
        <w:t xml:space="preserve"> </w:t>
      </w:r>
      <w:r>
        <w:rPr>
          <w:rtl w:val="true"/>
        </w:rPr>
        <w:t>מעלה</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באת</w:t>
      </w:r>
      <w:r>
        <w:rPr>
          <w:rFonts w:eastAsia="Arial TUR" w:cs="Arial TUR"/>
          <w:rtl w:val="true"/>
        </w:rPr>
        <w:t xml:space="preserve"> </w:t>
      </w:r>
      <w:r>
        <w:rPr>
          <w:rtl w:val="true"/>
        </w:rPr>
        <w:t>כוחו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יודעה</w:t>
      </w:r>
      <w:r>
        <w:rPr>
          <w:rFonts w:eastAsia="Arial TUR" w:cs="Arial TUR"/>
          <w:rtl w:val="true"/>
        </w:rPr>
        <w:t xml:space="preserve"> </w:t>
      </w:r>
      <w:r>
        <w:rPr>
          <w:rtl w:val="true"/>
        </w:rPr>
        <w:t>על</w:t>
      </w:r>
      <w:r>
        <w:rPr>
          <w:rFonts w:eastAsia="Arial TUR" w:cs="Arial TUR"/>
          <w:rtl w:val="true"/>
        </w:rPr>
        <w:t xml:space="preserve"> </w:t>
      </w:r>
      <w:r>
        <w:rPr>
          <w:rtl w:val="true"/>
        </w:rPr>
        <w:t>אודות</w:t>
      </w:r>
      <w:r>
        <w:rPr>
          <w:rFonts w:eastAsia="Arial TUR" w:cs="Arial TUR"/>
          <w:rtl w:val="true"/>
        </w:rPr>
        <w:t xml:space="preserve"> </w:t>
      </w:r>
      <w:r>
        <w:rPr>
          <w:rtl w:val="true"/>
        </w:rPr>
        <w:t>זימנו</w:t>
      </w:r>
      <w:r>
        <w:rPr>
          <w:rFonts w:eastAsia="Arial TUR" w:cs="Arial TUR"/>
          <w:rtl w:val="true"/>
        </w:rPr>
        <w:t xml:space="preserve"> </w:t>
      </w:r>
      <w:r>
        <w:rPr>
          <w:rtl w:val="true"/>
        </w:rPr>
        <w:t>לעדות</w:t>
      </w:r>
      <w:r>
        <w:rPr>
          <w:rtl w:val="true"/>
        </w:rPr>
        <w:t xml:space="preserve">, </w:t>
      </w:r>
      <w:r>
        <w:rPr>
          <w:rtl w:val="true"/>
        </w:rPr>
        <w:t>וכי</w:t>
      </w:r>
      <w:r>
        <w:rPr>
          <w:rFonts w:eastAsia="Arial TUR" w:cs="Arial TUR"/>
          <w:rtl w:val="true"/>
        </w:rPr>
        <w:t xml:space="preserve"> </w:t>
      </w:r>
      <w:r>
        <w:rPr>
          <w:rtl w:val="true"/>
        </w:rPr>
        <w:t>היא</w:t>
      </w:r>
      <w:r>
        <w:rPr>
          <w:rFonts w:eastAsia="Arial TUR" w:cs="Arial TUR"/>
          <w:rtl w:val="true"/>
        </w:rPr>
        <w:t xml:space="preserve"> </w:t>
      </w:r>
      <w:r>
        <w:rPr>
          <w:rtl w:val="true"/>
        </w:rPr>
        <w:t>שהתה</w:t>
      </w:r>
      <w:r>
        <w:rPr>
          <w:rFonts w:eastAsia="Arial TUR" w:cs="Arial TUR"/>
          <w:rtl w:val="true"/>
        </w:rPr>
        <w:t xml:space="preserve"> </w:t>
      </w:r>
      <w:r>
        <w:rPr>
          <w:rtl w:val="true"/>
        </w:rPr>
        <w:t>באותה</w:t>
      </w:r>
      <w:r>
        <w:rPr>
          <w:rFonts w:eastAsia="Arial TUR" w:cs="Arial TUR"/>
          <w:rtl w:val="true"/>
        </w:rPr>
        <w:t xml:space="preserve"> </w:t>
      </w:r>
      <w:r>
        <w:rPr>
          <w:rtl w:val="true"/>
        </w:rPr>
        <w:t>העת</w:t>
      </w:r>
      <w:r>
        <w:rPr>
          <w:rFonts w:eastAsia="Arial TUR" w:cs="Arial TUR"/>
          <w:rtl w:val="true"/>
        </w:rPr>
        <w:t xml:space="preserve"> </w:t>
      </w:r>
      <w:r>
        <w:rPr>
          <w:rtl w:val="true"/>
        </w:rPr>
        <w:t>בחופשת</w:t>
      </w:r>
      <w:r>
        <w:rPr>
          <w:rFonts w:eastAsia="Arial TUR" w:cs="Arial TUR"/>
          <w:rtl w:val="true"/>
        </w:rPr>
        <w:t xml:space="preserve"> </w:t>
      </w:r>
      <w:r>
        <w:rPr>
          <w:rtl w:val="true"/>
        </w:rPr>
        <w:t>מחלה</w:t>
      </w:r>
      <w:r>
        <w:rPr>
          <w:rFonts w:eastAsia="Arial TUR" w:cs="Arial TUR"/>
          <w:rtl w:val="true"/>
        </w:rPr>
        <w:t xml:space="preserve"> </w:t>
      </w:r>
      <w:r>
        <w:rPr>
          <w:rtl w:val="true"/>
        </w:rPr>
        <w:t>בעקבות</w:t>
      </w:r>
      <w:r>
        <w:rPr>
          <w:rFonts w:eastAsia="Arial TUR" w:cs="Arial TUR"/>
          <w:rtl w:val="true"/>
        </w:rPr>
        <w:t xml:space="preserve"> </w:t>
      </w:r>
      <w:r>
        <w:rPr>
          <w:rtl w:val="true"/>
        </w:rPr>
        <w:t>פגיעת</w:t>
      </w:r>
      <w:r>
        <w:rPr>
          <w:rFonts w:eastAsia="Arial TUR" w:cs="Arial TUR"/>
          <w:rtl w:val="true"/>
        </w:rPr>
        <w:t xml:space="preserve"> </w:t>
      </w:r>
      <w:r>
        <w:rPr>
          <w:rtl w:val="true"/>
        </w:rPr>
        <w:t>ראש</w:t>
      </w:r>
      <w:r>
        <w:rPr>
          <w:rFonts w:eastAsia="Arial TUR" w:cs="Arial TUR"/>
          <w:rtl w:val="true"/>
        </w:rPr>
        <w:t xml:space="preserve"> </w:t>
      </w:r>
      <w:r>
        <w:rPr>
          <w:rtl w:val="true"/>
        </w:rPr>
        <w:t>בתאונת</w:t>
      </w:r>
      <w:r>
        <w:rPr>
          <w:rFonts w:eastAsia="Arial TUR" w:cs="Arial TUR"/>
          <w:rtl w:val="true"/>
        </w:rPr>
        <w:t xml:space="preserve"> </w:t>
      </w:r>
      <w:r>
        <w:rPr>
          <w:rtl w:val="true"/>
        </w:rPr>
        <w:t>דרכים</w:t>
      </w:r>
      <w:r>
        <w:rPr>
          <w:rtl w:val="true"/>
        </w:rPr>
        <w:t xml:space="preserve">. </w:t>
      </w:r>
      <w:r>
        <w:rPr>
          <w:rtl w:val="true"/>
        </w:rPr>
        <w:t>נטען</w:t>
      </w:r>
      <w:r>
        <w:rPr>
          <w:rFonts w:eastAsia="Arial TUR" w:cs="Arial TUR"/>
          <w:rtl w:val="true"/>
        </w:rPr>
        <w:t xml:space="preserve"> </w:t>
      </w:r>
      <w:r>
        <w:rPr>
          <w:rtl w:val="true"/>
        </w:rPr>
        <w:t>כי</w:t>
      </w:r>
      <w:r>
        <w:rPr>
          <w:rFonts w:eastAsia="Arial TUR" w:cs="Arial TUR"/>
          <w:rtl w:val="true"/>
        </w:rPr>
        <w:t xml:space="preserve"> </w:t>
      </w:r>
      <w:r>
        <w:rPr>
          <w:rtl w:val="true"/>
        </w:rPr>
        <w:t>ההגנה</w:t>
      </w:r>
      <w:r>
        <w:rPr>
          <w:rFonts w:eastAsia="Arial TUR" w:cs="Arial TUR"/>
          <w:rtl w:val="true"/>
        </w:rPr>
        <w:t xml:space="preserve"> </w:t>
      </w:r>
      <w:r>
        <w:rPr>
          <w:rtl w:val="true"/>
        </w:rPr>
        <w:t>נחשפה</w:t>
      </w:r>
      <w:r>
        <w:rPr>
          <w:rFonts w:eastAsia="Arial TUR" w:cs="Arial TUR"/>
          <w:rtl w:val="true"/>
        </w:rPr>
        <w:t xml:space="preserve"> </w:t>
      </w:r>
      <w:r>
        <w:rPr>
          <w:rtl w:val="true"/>
        </w:rPr>
        <w:t>לפרוטוקול</w:t>
      </w:r>
      <w:r>
        <w:rPr>
          <w:rFonts w:eastAsia="Arial TUR" w:cs="Arial TUR"/>
          <w:rtl w:val="true"/>
        </w:rPr>
        <w:t xml:space="preserve"> </w:t>
      </w:r>
      <w:r>
        <w:rPr>
          <w:rtl w:val="true"/>
        </w:rPr>
        <w:t>הדיון</w:t>
      </w:r>
      <w:r>
        <w:rPr>
          <w:rFonts w:eastAsia="Arial TUR" w:cs="Arial TUR"/>
          <w:rtl w:val="true"/>
        </w:rPr>
        <w:t xml:space="preserve"> </w:t>
      </w:r>
      <w:r>
        <w:rPr>
          <w:rtl w:val="true"/>
        </w:rPr>
        <w:t>(</w:t>
      </w:r>
      <w:r>
        <w:rPr>
          <w:rtl w:val="true"/>
        </w:rPr>
        <w:t>באופן</w:t>
      </w:r>
      <w:r>
        <w:rPr>
          <w:rFonts w:eastAsia="Arial TUR" w:cs="Arial TUR"/>
          <w:rtl w:val="true"/>
        </w:rPr>
        <w:t xml:space="preserve"> </w:t>
      </w:r>
      <w:r>
        <w:rPr>
          <w:rtl w:val="true"/>
        </w:rPr>
        <w:t>חלקי</w:t>
      </w:r>
      <w:r>
        <w:rPr>
          <w:rtl w:val="true"/>
        </w:rPr>
        <w:t xml:space="preserve">) </w:t>
      </w:r>
      <w:r>
        <w:rPr>
          <w:rtl w:val="true"/>
        </w:rPr>
        <w:t>אך</w:t>
      </w:r>
      <w:r>
        <w:rPr>
          <w:rFonts w:eastAsia="Arial TUR" w:cs="Arial TUR"/>
          <w:rtl w:val="true"/>
        </w:rPr>
        <w:t xml:space="preserve"> </w:t>
      </w:r>
      <w:r>
        <w:rPr>
          <w:rtl w:val="true"/>
        </w:rPr>
        <w:t>ביום</w:t>
      </w:r>
      <w:r>
        <w:rPr>
          <w:rFonts w:eastAsia="Arial TUR" w:cs="Arial TUR"/>
          <w:rtl w:val="true"/>
        </w:rPr>
        <w:t xml:space="preserve"> </w:t>
      </w:r>
      <w:r>
        <w:rPr/>
        <w:t>8.2.2018</w:t>
      </w:r>
      <w:r>
        <w:rPr>
          <w:rtl w:val="true"/>
        </w:rPr>
        <w:t xml:space="preserve">, </w:t>
      </w:r>
      <w:r>
        <w:rPr>
          <w:rtl w:val="true"/>
        </w:rPr>
        <w:t>עת</w:t>
      </w:r>
      <w:r>
        <w:rPr>
          <w:rFonts w:eastAsia="Arial TUR" w:cs="Arial TUR"/>
          <w:rtl w:val="true"/>
        </w:rPr>
        <w:t xml:space="preserve"> </w:t>
      </w:r>
      <w:r>
        <w:rPr>
          <w:rtl w:val="true"/>
        </w:rPr>
        <w:t>זומן</w:t>
      </w:r>
      <w:r>
        <w:rPr>
          <w:rFonts w:eastAsia="Arial TUR" w:cs="Arial TUR"/>
          <w:rtl w:val="true"/>
        </w:rPr>
        <w:t xml:space="preserve"> </w:t>
      </w:r>
      <w:r>
        <w:rPr>
          <w:rtl w:val="true"/>
        </w:rPr>
        <w:t>לחקירה</w:t>
      </w:r>
      <w:r>
        <w:rPr>
          <w:rFonts w:eastAsia="Arial TUR" w:cs="Arial TUR"/>
          <w:rtl w:val="true"/>
        </w:rPr>
        <w:t xml:space="preserve"> </w:t>
      </w:r>
      <w:r>
        <w:rPr>
          <w:rtl w:val="true"/>
        </w:rPr>
        <w:t>כאמור</w:t>
      </w:r>
      <w:r>
        <w:rPr>
          <w:rtl w:val="true"/>
        </w:rPr>
        <w:t xml:space="preserve">. </w:t>
      </w:r>
    </w:p>
    <w:p>
      <w:pPr>
        <w:pStyle w:val="Ruller42"/>
        <w:ind w:end="0"/>
        <w:jc w:val="both"/>
        <w:rPr>
          <w:rFonts w:ascii="Garamond" w:hAnsi="Garamond" w:cs="Garamond"/>
          <w:sz w:val="28"/>
        </w:rPr>
      </w:pPr>
      <w:r>
        <w:rPr>
          <w:rFonts w:eastAsia="Garamond" w:cs="Garamond" w:ascii="Garamond" w:hAnsi="Garamond"/>
          <w:sz w:val="28"/>
          <w:rtl w:val="true"/>
        </w:rPr>
        <w:t xml:space="preserve"> </w:t>
      </w:r>
    </w:p>
    <w:p>
      <w:pPr>
        <w:pStyle w:val="Ruller43"/>
        <w:numPr>
          <w:ilvl w:val="0"/>
          <w:numId w:val="1"/>
        </w:numPr>
        <w:ind w:end="0"/>
        <w:jc w:val="both"/>
        <w:textAlignment w:val="auto"/>
        <w:rPr>
          <w:rFonts w:ascii="Times New Roman" w:hAnsi="Times New Roman" w:cs="Times New Roman"/>
        </w:rPr>
      </w:pPr>
      <w:r>
        <w:rPr>
          <w:rFonts w:ascii="Century" w:hAnsi="Century" w:cs="Century"/>
          <w:rtl w:val="true"/>
        </w:rPr>
        <w:t>לאחר שעיינתי בערעור על נספחיו באתי לידי מסקנה כי דינו להידחות</w:t>
      </w:r>
      <w:r>
        <w:rPr>
          <w:rFonts w:cs="Century" w:ascii="Century" w:hAnsi="Century"/>
          <w:rtl w:val="true"/>
        </w:rPr>
        <w:t xml:space="preserve">. </w:t>
      </w:r>
      <w:r>
        <w:rPr>
          <w:rtl w:val="true"/>
        </w:rPr>
        <w:t xml:space="preserve">עיון בטענות המערער מעלה כי עיקרן אינו מופנה כלפי </w:t>
      </w:r>
      <w:r>
        <w:rPr>
          <w:rFonts w:ascii="Century" w:hAnsi="Century" w:cs="Miriam"/>
          <w:b/>
          <w:b/>
          <w:spacing w:val="0"/>
          <w:sz w:val="22"/>
          <w:sz w:val="22"/>
          <w:szCs w:val="24"/>
          <w:rtl w:val="true"/>
        </w:rPr>
        <w:t>עצם</w:t>
      </w:r>
      <w:r>
        <w:rPr>
          <w:rFonts w:ascii="Century" w:hAnsi="Century" w:eastAsia="Century" w:cs="Century"/>
          <w:b/>
          <w:b/>
          <w:spacing w:val="0"/>
          <w:sz w:val="22"/>
          <w:sz w:val="22"/>
          <w:szCs w:val="24"/>
          <w:rtl w:val="true"/>
        </w:rPr>
        <w:t xml:space="preserve"> </w:t>
      </w:r>
      <w:r>
        <w:rPr>
          <w:rFonts w:ascii="Century" w:hAnsi="Century" w:cs="Century"/>
          <w:sz w:val="22"/>
          <w:sz w:val="22"/>
          <w:rtl w:val="true"/>
        </w:rPr>
        <w:t>ההחלטה להעידו בהליך בעניין הנאשם הנוסף</w:t>
      </w:r>
      <w:r>
        <w:rPr>
          <w:rFonts w:cs="Century" w:ascii="Century" w:hAnsi="Century"/>
          <w:sz w:val="22"/>
          <w:rtl w:val="true"/>
        </w:rPr>
        <w:t xml:space="preserve">, </w:t>
      </w:r>
      <w:r>
        <w:rPr>
          <w:rFonts w:ascii="Century" w:hAnsi="Century" w:cs="Century"/>
          <w:sz w:val="22"/>
          <w:sz w:val="22"/>
          <w:rtl w:val="true"/>
        </w:rPr>
        <w:t xml:space="preserve">אלא כלפי </w:t>
      </w:r>
      <w:r>
        <w:rPr>
          <w:rFonts w:ascii="Century" w:hAnsi="Century" w:cs="Miriam"/>
          <w:b/>
          <w:b/>
          <w:spacing w:val="0"/>
          <w:sz w:val="22"/>
          <w:sz w:val="22"/>
          <w:szCs w:val="24"/>
          <w:rtl w:val="true"/>
        </w:rPr>
        <w:t>התנהלות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והתבטאויותיו</w:t>
      </w:r>
      <w:r>
        <w:rPr>
          <w:rtl w:val="true"/>
        </w:rPr>
        <w:t xml:space="preserve"> במסגרת מתן העדות</w:t>
      </w:r>
      <w:r>
        <w:rPr>
          <w:rtl w:val="true"/>
        </w:rPr>
        <w:t xml:space="preserve">. </w:t>
      </w:r>
      <w:r>
        <w:rPr>
          <w:rtl w:val="true"/>
        </w:rPr>
        <w:t>איני סבורה כי יש באלה כדי להקים עילה לפסילת המותב בהליך של המערער</w:t>
      </w:r>
      <w:r>
        <w:rPr>
          <w:rtl w:val="true"/>
        </w:rPr>
        <w:t xml:space="preserve">. </w:t>
      </w:r>
      <w:r>
        <w:rPr>
          <w:rtl w:val="true"/>
        </w:rPr>
        <w:t>כידוע</w:t>
      </w:r>
      <w:r>
        <w:rPr>
          <w:rtl w:val="true"/>
        </w:rPr>
        <w:t xml:space="preserve">, </w:t>
      </w:r>
      <w:r>
        <w:rPr>
          <w:rFonts w:ascii="Times New Roman" w:hAnsi="Times New Roman" w:cs="Times New Roman"/>
          <w:rtl w:val="true"/>
        </w:rPr>
        <w:t>הבעת מורת רוח של בית המשפט מהתנהלות המערער במסגרת עדותו ומתן הסבר כי באם תִשנה היא עלולה להוביל למעצרו אינם מקימים</w:t>
      </w:r>
      <w:r>
        <w:rPr>
          <w:rFonts w:cs="Times New Roman" w:ascii="Times New Roman" w:hAnsi="Times New Roman"/>
          <w:rtl w:val="true"/>
        </w:rPr>
        <w:t xml:space="preserve">, </w:t>
      </w:r>
      <w:r>
        <w:rPr>
          <w:rFonts w:ascii="Times New Roman" w:hAnsi="Times New Roman" w:cs="Times New Roman"/>
          <w:rtl w:val="true"/>
        </w:rPr>
        <w:t>כשלעצמם</w:t>
      </w:r>
      <w:r>
        <w:rPr>
          <w:rFonts w:cs="Times New Roman" w:ascii="Times New Roman" w:hAnsi="Times New Roman"/>
          <w:rtl w:val="true"/>
        </w:rPr>
        <w:t xml:space="preserve">, </w:t>
      </w:r>
      <w:r>
        <w:rPr>
          <w:rFonts w:ascii="Times New Roman" w:hAnsi="Times New Roman" w:cs="Times New Roman"/>
          <w:rtl w:val="true"/>
        </w:rPr>
        <w:t xml:space="preserve">עילת פסלות </w:t>
      </w:r>
      <w:r>
        <w:rPr>
          <w:rFonts w:cs="Times New Roman" w:ascii="Times New Roman" w:hAnsi="Times New Roman"/>
          <w:rtl w:val="true"/>
        </w:rPr>
        <w:t>(</w:t>
      </w:r>
      <w:r>
        <w:rPr>
          <w:rFonts w:ascii="Times New Roman" w:hAnsi="Times New Roman" w:cs="Times New Roman"/>
          <w:rtl w:val="true"/>
        </w:rPr>
        <w:t xml:space="preserve">השוו </w:t>
      </w:r>
      <w:hyperlink r:id="rId3">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א </w:t>
        </w:r>
        <w:r>
          <w:rPr>
            <w:rStyle w:val="Hyperlink"/>
            <w:rFonts w:cs="Times New Roman" w:ascii="Times New Roman" w:hAnsi="Times New Roman"/>
            <w:color w:val="0000FF"/>
            <w:u w:val="single"/>
          </w:rPr>
          <w:t>596/07</w:t>
        </w:r>
      </w:hyperlink>
      <w:r>
        <w:rPr>
          <w:rFonts w:cs="Times New Roman" w:ascii="Times New Roman" w:hAnsi="Times New Roman"/>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השופט</w:t>
      </w:r>
      <w:r>
        <w:rPr>
          <w:rFonts w:ascii="Century" w:hAnsi="Century" w:eastAsia="Century" w:cs="Century"/>
          <w:b/>
          <w:b/>
          <w:spacing w:val="0"/>
          <w:szCs w:val="24"/>
          <w:rtl w:val="true"/>
        </w:rPr>
        <w:t xml:space="preserve"> </w:t>
      </w:r>
      <w:r>
        <w:rPr>
          <w:rFonts w:ascii="Century" w:hAnsi="Century" w:cs="Miriam"/>
          <w:b/>
          <w:b/>
          <w:spacing w:val="0"/>
          <w:szCs w:val="24"/>
          <w:rtl w:val="true"/>
        </w:rPr>
        <w:t>פאול</w:t>
      </w:r>
      <w:r>
        <w:rPr>
          <w:rFonts w:ascii="Century" w:hAnsi="Century" w:eastAsia="Century" w:cs="Century"/>
          <w:b/>
          <w:b/>
          <w:spacing w:val="0"/>
          <w:szCs w:val="24"/>
          <w:rtl w:val="true"/>
        </w:rPr>
        <w:t xml:space="preserve"> </w:t>
      </w:r>
      <w:r>
        <w:rPr>
          <w:rFonts w:ascii="Century" w:hAnsi="Century" w:cs="Miriam"/>
          <w:b/>
          <w:b/>
          <w:spacing w:val="0"/>
          <w:szCs w:val="24"/>
          <w:rtl w:val="true"/>
        </w:rPr>
        <w:t>שטרק</w:t>
      </w:r>
      <w:r>
        <w:rPr>
          <w:rFonts w:cs="Times New Roman" w:ascii="Times New Roman" w:hAnsi="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rtl w:val="true"/>
        </w:rPr>
        <w:t xml:space="preserve">פסקה </w:t>
      </w:r>
      <w:r>
        <w:rPr>
          <w:rFonts w:cs="Times New Roman" w:ascii="Times New Roman" w:hAnsi="Times New Roman"/>
        </w:rPr>
        <w:t>4</w:t>
      </w:r>
      <w:r>
        <w:rPr>
          <w:rFonts w:cs="Times New Roman" w:ascii="Times New Roman" w:hAnsi="Times New Roman"/>
          <w:rtl w:val="true"/>
        </w:rPr>
        <w:t xml:space="preserve"> (</w:t>
      </w:r>
      <w:r>
        <w:rPr>
          <w:rFonts w:cs="Times New Roman" w:ascii="Times New Roman" w:hAnsi="Times New Roman"/>
        </w:rPr>
        <w:t>22.4.2007</w:t>
      </w:r>
      <w:r>
        <w:rPr>
          <w:rFonts w:cs="Times New Roman" w:ascii="Times New Roman" w:hAnsi="Times New Roman"/>
          <w:rtl w:val="true"/>
        </w:rPr>
        <w:t xml:space="preserve">)). </w:t>
      </w:r>
      <w:r>
        <w:rPr>
          <w:rFonts w:ascii="Times New Roman" w:hAnsi="Times New Roman" w:cs="Times New Roman"/>
          <w:rtl w:val="true"/>
        </w:rPr>
        <w:t xml:space="preserve">אף האמירה </w:t>
      </w:r>
      <w:r>
        <w:rPr>
          <w:rFonts w:cs="Century" w:ascii="Century" w:hAnsi="Century"/>
          <w:rtl w:val="true"/>
        </w:rPr>
        <w:t>"</w:t>
      </w:r>
      <w:r>
        <w:rPr>
          <w:rFonts w:ascii="Century" w:hAnsi="Century" w:cs="Century"/>
          <w:rtl w:val="true"/>
        </w:rPr>
        <w:t>תמתין בבקשה</w:t>
      </w:r>
      <w:r>
        <w:rPr>
          <w:rFonts w:cs="Century" w:ascii="Century" w:hAnsi="Century"/>
          <w:rtl w:val="true"/>
        </w:rPr>
        <w:t xml:space="preserve">, </w:t>
      </w:r>
      <w:r>
        <w:rPr>
          <w:rFonts w:ascii="Century" w:hAnsi="Century" w:cs="Century"/>
          <w:rtl w:val="true"/>
        </w:rPr>
        <w:t>רוצים לקחת אותך לחקירה</w:t>
      </w:r>
      <w:r>
        <w:rPr>
          <w:rFonts w:cs="Century" w:ascii="Century" w:hAnsi="Century"/>
          <w:rtl w:val="true"/>
        </w:rPr>
        <w:t>"</w:t>
      </w:r>
      <w:r>
        <w:rPr>
          <w:rFonts w:cs="Times New Roman" w:ascii="Times New Roman" w:hAnsi="Times New Roman"/>
          <w:rtl w:val="true"/>
        </w:rPr>
        <w:t xml:space="preserve">, </w:t>
      </w:r>
      <w:r>
        <w:rPr>
          <w:rFonts w:ascii="Times New Roman" w:hAnsi="Times New Roman" w:cs="Times New Roman"/>
          <w:rtl w:val="true"/>
        </w:rPr>
        <w:t xml:space="preserve">אינה מקימה עילת פסלות בנסיבות העניין </w:t>
      </w:r>
      <w:r>
        <w:rPr>
          <w:rFonts w:cs="Times New Roman" w:ascii="Times New Roman" w:hAnsi="Times New Roman"/>
          <w:rtl w:val="true"/>
        </w:rPr>
        <w:t>(</w:t>
      </w:r>
      <w:r>
        <w:rPr>
          <w:rFonts w:ascii="Times New Roman" w:hAnsi="Times New Roman" w:cs="Times New Roman"/>
          <w:rtl w:val="true"/>
        </w:rPr>
        <w:t>השוו למשל</w:t>
      </w:r>
      <w:r>
        <w:rPr>
          <w:rFonts w:cs="Times New Roman" w:ascii="Times New Roman" w:hAnsi="Times New Roman"/>
          <w:rtl w:val="true"/>
        </w:rPr>
        <w:t xml:space="preserve">: </w:t>
      </w:r>
      <w:hyperlink r:id="rId4">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א </w:t>
        </w:r>
        <w:r>
          <w:rPr>
            <w:rStyle w:val="Hyperlink"/>
            <w:rFonts w:cs="Times New Roman" w:ascii="Times New Roman" w:hAnsi="Times New Roman"/>
            <w:color w:val="0000FF"/>
            <w:u w:val="single"/>
          </w:rPr>
          <w:t>7906/12</w:t>
        </w:r>
      </w:hyperlink>
      <w:r>
        <w:rPr>
          <w:rFonts w:cs="Times New Roman" w:ascii="Times New Roman" w:hAnsi="Times New Roman"/>
          <w:rtl w:val="true"/>
        </w:rPr>
        <w:t xml:space="preserve"> </w:t>
      </w:r>
      <w:r>
        <w:rPr>
          <w:rFonts w:ascii="Century" w:hAnsi="Century" w:cs="Miriam"/>
          <w:b/>
          <w:b/>
          <w:spacing w:val="0"/>
          <w:szCs w:val="24"/>
          <w:rtl w:val="true"/>
        </w:rPr>
        <w:t>פלונית</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Times New Roman" w:ascii="Times New Roman" w:hAnsi="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rtl w:val="true"/>
        </w:rPr>
        <w:t xml:space="preserve">פסקה </w:t>
      </w:r>
      <w:r>
        <w:rPr>
          <w:rFonts w:cs="Times New Roman" w:ascii="Times New Roman" w:hAnsi="Times New Roman"/>
        </w:rPr>
        <w:t>6</w:t>
      </w:r>
      <w:r>
        <w:rPr>
          <w:rFonts w:cs="Times New Roman" w:ascii="Times New Roman" w:hAnsi="Times New Roman"/>
          <w:rtl w:val="true"/>
        </w:rPr>
        <w:t xml:space="preserve"> (</w:t>
      </w:r>
      <w:r>
        <w:rPr>
          <w:rFonts w:cs="Times New Roman" w:ascii="Times New Roman" w:hAnsi="Times New Roman"/>
        </w:rPr>
        <w:t>21.1.2013</w:t>
      </w:r>
      <w:r>
        <w:rPr>
          <w:rFonts w:cs="Times New Roman" w:ascii="Times New Roman" w:hAnsi="Times New Roman"/>
          <w:rtl w:val="true"/>
        </w:rPr>
        <w:t xml:space="preserve">); </w:t>
      </w:r>
      <w:hyperlink r:id="rId5">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א </w:t>
        </w:r>
        <w:r>
          <w:rPr>
            <w:rStyle w:val="Hyperlink"/>
            <w:rFonts w:cs="Times New Roman" w:ascii="Times New Roman" w:hAnsi="Times New Roman"/>
            <w:color w:val="0000FF"/>
            <w:u w:val="single"/>
          </w:rPr>
          <w:t>3105/09</w:t>
        </w:r>
      </w:hyperlink>
      <w:r>
        <w:rPr>
          <w:rFonts w:cs="Times New Roman" w:ascii="Times New Roman" w:hAnsi="Times New Roman"/>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פלונית</w:t>
      </w:r>
      <w:r>
        <w:rPr>
          <w:rFonts w:cs="Times New Roman" w:ascii="Times New Roman" w:hAnsi="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rtl w:val="true"/>
        </w:rPr>
        <w:t xml:space="preserve">פסקה </w:t>
      </w:r>
      <w:r>
        <w:rPr>
          <w:rFonts w:cs="Times New Roman" w:ascii="Times New Roman" w:hAnsi="Times New Roman"/>
        </w:rPr>
        <w:t>4</w:t>
      </w:r>
      <w:r>
        <w:rPr>
          <w:rFonts w:cs="Times New Roman" w:ascii="Times New Roman" w:hAnsi="Times New Roman"/>
          <w:rtl w:val="true"/>
        </w:rPr>
        <w:t xml:space="preserve"> (</w:t>
      </w:r>
      <w:r>
        <w:rPr>
          <w:rFonts w:cs="Times New Roman" w:ascii="Times New Roman" w:hAnsi="Times New Roman"/>
        </w:rPr>
        <w:t>26.4.2009</w:t>
      </w:r>
      <w:r>
        <w:rPr>
          <w:rFonts w:cs="Times New Roman" w:ascii="Times New Roman" w:hAnsi="Times New Roman"/>
          <w:rtl w:val="true"/>
        </w:rPr>
        <w:t xml:space="preserve">); </w:t>
      </w:r>
      <w:hyperlink r:id="rId6">
        <w:r>
          <w:rPr>
            <w:rStyle w:val="Hyperlink"/>
            <w:rFonts w:ascii="Times New Roman" w:hAnsi="Times New Roman" w:cs="Times New Roman"/>
            <w:color w:val="0000FF"/>
            <w:u w:val="single"/>
            <w:rtl w:val="true"/>
          </w:rPr>
          <w:t>ע</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א </w:t>
        </w:r>
        <w:r>
          <w:rPr>
            <w:rStyle w:val="Hyperlink"/>
            <w:rFonts w:cs="Times New Roman" w:ascii="Times New Roman" w:hAnsi="Times New Roman"/>
            <w:color w:val="0000FF"/>
            <w:u w:val="single"/>
          </w:rPr>
          <w:t>10721/06</w:t>
        </w:r>
      </w:hyperlink>
      <w:r>
        <w:rPr>
          <w:rFonts w:cs="Times New Roman" w:ascii="Times New Roman" w:hAnsi="Times New Roman"/>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פלונית</w:t>
      </w:r>
      <w:r>
        <w:rPr>
          <w:rFonts w:cs="Times New Roman" w:ascii="Times New Roman" w:hAnsi="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Times New Roman" w:hAnsi="Times New Roman" w:cs="Times New Roman"/>
          <w:rtl w:val="true"/>
        </w:rPr>
        <w:t xml:space="preserve">פסקה </w:t>
      </w:r>
      <w:r>
        <w:rPr>
          <w:rFonts w:cs="Times New Roman" w:ascii="Times New Roman" w:hAnsi="Times New Roman"/>
        </w:rPr>
        <w:t>6</w:t>
      </w:r>
      <w:r>
        <w:rPr>
          <w:rFonts w:cs="Times New Roman" w:ascii="Times New Roman" w:hAnsi="Times New Roman"/>
          <w:rtl w:val="true"/>
        </w:rPr>
        <w:t xml:space="preserve"> (</w:t>
      </w:r>
      <w:r>
        <w:rPr>
          <w:rFonts w:cs="Times New Roman" w:ascii="Times New Roman" w:hAnsi="Times New Roman"/>
        </w:rPr>
        <w:t>27.3.2007</w:t>
      </w:r>
      <w:r>
        <w:rPr>
          <w:rFonts w:cs="Times New Roman" w:ascii="Times New Roman" w:hAnsi="Times New Roman"/>
          <w:rtl w:val="true"/>
        </w:rPr>
        <w:t>)).</w:t>
      </w:r>
      <w:r>
        <w:rPr>
          <w:rFonts w:cs="Century" w:ascii="Century" w:hAnsi="Century"/>
          <w:rtl w:val="true"/>
        </w:rPr>
        <w:t xml:space="preserve"> </w:t>
      </w:r>
      <w:r>
        <w:rPr>
          <w:rFonts w:ascii="Century" w:hAnsi="Century" w:cs="Century"/>
          <w:rtl w:val="true"/>
        </w:rPr>
        <w:t xml:space="preserve">בענייננו בית המשפט הדגיש כי דעתו אינה </w:t>
      </w:r>
      <w:r>
        <w:rPr>
          <w:rFonts w:cs="Century" w:ascii="Century" w:hAnsi="Century"/>
          <w:rtl w:val="true"/>
        </w:rPr>
        <w:t>"</w:t>
      </w:r>
      <w:r>
        <w:rPr>
          <w:rFonts w:ascii="Century" w:hAnsi="Century" w:cs="Century"/>
          <w:rtl w:val="true"/>
        </w:rPr>
        <w:t>נעולה</w:t>
      </w:r>
      <w:r>
        <w:rPr>
          <w:rFonts w:cs="Century" w:ascii="Century" w:hAnsi="Century"/>
          <w:rtl w:val="true"/>
        </w:rPr>
        <w:t xml:space="preserve">", </w:t>
      </w:r>
      <w:r>
        <w:rPr>
          <w:rFonts w:ascii="Century" w:hAnsi="Century" w:cs="Century"/>
          <w:rtl w:val="true"/>
        </w:rPr>
        <w:t>וכי הוא יוכל להמשיך לדון בעניינו של המערער באופן ראוי והוגן וללא משוא פנים</w:t>
      </w:r>
      <w:r>
        <w:rPr>
          <w:rFonts w:cs="Century" w:ascii="Century" w:hAnsi="Century"/>
          <w:rtl w:val="true"/>
        </w:rPr>
        <w:t xml:space="preserve">. </w:t>
      </w:r>
      <w:r>
        <w:rPr>
          <w:rFonts w:ascii="Times New Roman" w:hAnsi="Times New Roman" w:cs="Times New Roman"/>
          <w:rtl w:val="true"/>
        </w:rPr>
        <w:t>לכך יש להוסיף</w:t>
      </w:r>
      <w:r>
        <w:rPr>
          <w:rFonts w:cs="Times New Roman" w:ascii="Times New Roman" w:hAnsi="Times New Roman"/>
          <w:rtl w:val="true"/>
        </w:rPr>
        <w:t xml:space="preserve">, </w:t>
      </w:r>
      <w:r>
        <w:rPr>
          <w:rFonts w:ascii="Times New Roman" w:hAnsi="Times New Roman" w:cs="Times New Roman"/>
          <w:rtl w:val="true"/>
        </w:rPr>
        <w:t>כאמור בהחלטת בית משפט קמא</w:t>
      </w:r>
      <w:r>
        <w:rPr>
          <w:rFonts w:cs="Times New Roman" w:ascii="Times New Roman" w:hAnsi="Times New Roman"/>
          <w:rtl w:val="true"/>
        </w:rPr>
        <w:t xml:space="preserve">, </w:t>
      </w:r>
      <w:r>
        <w:rPr>
          <w:rFonts w:ascii="Times New Roman" w:hAnsi="Times New Roman" w:cs="Times New Roman"/>
          <w:rtl w:val="true"/>
        </w:rPr>
        <w:t>כי הטיעונים לעונשו של המערער וגזר דינו יינתנו על יסוד תסקיר שירות המבחן</w:t>
      </w:r>
      <w:r>
        <w:rPr>
          <w:rFonts w:cs="Times New Roman" w:ascii="Times New Roman" w:hAnsi="Times New Roman"/>
          <w:rtl w:val="true"/>
        </w:rPr>
        <w:t xml:space="preserve">, </w:t>
      </w:r>
      <w:r>
        <w:rPr>
          <w:rFonts w:ascii="Times New Roman" w:hAnsi="Times New Roman" w:cs="Times New Roman"/>
          <w:rtl w:val="true"/>
        </w:rPr>
        <w:t>שטרם הוגש</w:t>
      </w:r>
      <w:r>
        <w:rPr>
          <w:rFonts w:cs="Times New Roman" w:ascii="Times New Roman" w:hAnsi="Times New Roman"/>
          <w:rtl w:val="true"/>
        </w:rPr>
        <w:t xml:space="preserve">, </w:t>
      </w:r>
      <w:r>
        <w:rPr>
          <w:rFonts w:ascii="Times New Roman" w:hAnsi="Times New Roman" w:cs="Times New Roman"/>
          <w:rtl w:val="true"/>
        </w:rPr>
        <w:t xml:space="preserve">וכי במסגרת גזירת הדין לא יינתן משקל לקביעות בעניין מהימנותו של המערער בהליך של הנאשם הנוסף </w:t>
      </w:r>
      <w:r>
        <w:rPr>
          <w:rFonts w:cs="Times New Roman" w:ascii="Times New Roman" w:hAnsi="Times New Roman"/>
          <w:rtl w:val="true"/>
        </w:rPr>
        <w:t>(</w:t>
      </w:r>
      <w:hyperlink r:id="rId7">
        <w:r>
          <w:rPr>
            <w:rStyle w:val="Hyperlink"/>
            <w:rFonts w:ascii="FrankRuehl" w:hAnsi="FrankRuehl" w:cs="FrankRuehl"/>
            <w:color w:val="0000FF"/>
            <w:sz w:val="28"/>
            <w:sz w:val="28"/>
            <w:u w:val="single"/>
            <w:rtl w:val="true"/>
          </w:rPr>
          <w:t>ע</w:t>
        </w:r>
        <w:r>
          <w:rPr>
            <w:rStyle w:val="Hyperlink"/>
            <w:rFonts w:cs="FrankRuehl" w:ascii="FrankRuehl" w:hAnsi="FrankRuehl"/>
            <w:color w:val="0000FF"/>
            <w:sz w:val="28"/>
            <w:u w:val="single"/>
            <w:rtl w:val="true"/>
          </w:rPr>
          <w:t>"</w:t>
        </w:r>
        <w:r>
          <w:rPr>
            <w:rStyle w:val="Hyperlink"/>
            <w:rFonts w:ascii="FrankRuehl" w:hAnsi="FrankRuehl" w:cs="FrankRuehl"/>
            <w:color w:val="0000FF"/>
            <w:sz w:val="28"/>
            <w:sz w:val="28"/>
            <w:u w:val="single"/>
            <w:rtl w:val="true"/>
          </w:rPr>
          <w:t xml:space="preserve">פ </w:t>
        </w:r>
        <w:r>
          <w:rPr>
            <w:rStyle w:val="Hyperlink"/>
            <w:rFonts w:cs="FrankRuehl" w:ascii="FrankRuehl" w:hAnsi="FrankRuehl"/>
            <w:color w:val="0000FF"/>
            <w:sz w:val="28"/>
            <w:u w:val="single"/>
          </w:rPr>
          <w:t>318/18</w:t>
        </w:r>
      </w:hyperlink>
      <w:r>
        <w:rPr>
          <w:rFonts w:cs="FrankRuehl" w:ascii="FrankRuehl" w:hAnsi="FrankRuehl"/>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4</w:t>
      </w:r>
      <w:r>
        <w:rPr>
          <w:rFonts w:cs="Century" w:ascii="Century" w:hAnsi="Century"/>
          <w:sz w:val="22"/>
          <w:rtl w:val="true"/>
        </w:rPr>
        <w:t xml:space="preserve"> (</w:t>
      </w:r>
      <w:r>
        <w:rPr>
          <w:rFonts w:cs="Century" w:ascii="Century" w:hAnsi="Century"/>
          <w:sz w:val="22"/>
        </w:rPr>
        <w:t>10.1.2018</w:t>
      </w:r>
      <w:r>
        <w:rPr>
          <w:rFonts w:cs="Century" w:ascii="Century" w:hAnsi="Century"/>
          <w:sz w:val="22"/>
          <w:rtl w:val="true"/>
        </w:rPr>
        <w:t xml:space="preserve">)). </w:t>
      </w:r>
    </w:p>
    <w:p>
      <w:pPr>
        <w:pStyle w:val="Ruller43"/>
        <w:numPr>
          <w:ilvl w:val="0"/>
          <w:numId w:val="0"/>
        </w:numPr>
        <w:ind w:hanging="0" w:start="0" w:end="0"/>
        <w:jc w:val="both"/>
        <w:textAlignment w:val="auto"/>
        <w:rPr>
          <w:rFonts w:ascii="Times New Roman" w:hAnsi="Times New Roman" w:cs="Times New Roman"/>
        </w:rPr>
      </w:pPr>
      <w:r>
        <w:rPr>
          <w:rFonts w:cs="Times New Roman" w:ascii="Times New Roman" w:hAnsi="Times New Roman"/>
          <w:rtl w:val="true"/>
        </w:rPr>
      </w:r>
    </w:p>
    <w:p>
      <w:pPr>
        <w:pStyle w:val="Ruller43"/>
        <w:numPr>
          <w:ilvl w:val="0"/>
          <w:numId w:val="0"/>
        </w:numPr>
        <w:ind w:hanging="0" w:start="0" w:end="0"/>
        <w:jc w:val="both"/>
        <w:textAlignment w:val="auto"/>
        <w:rPr>
          <w:rFonts w:ascii="Times New Roman" w:hAnsi="Times New Roman" w:cs="Times New Roman"/>
        </w:rPr>
      </w:pPr>
      <w:r>
        <w:rPr>
          <w:rFonts w:cs="Century" w:ascii="Century" w:hAnsi="Century"/>
          <w:rtl w:val="true"/>
        </w:rPr>
        <w:tab/>
      </w:r>
      <w:r>
        <w:rPr>
          <w:rFonts w:ascii="Century" w:hAnsi="Century" w:cs="Century"/>
          <w:rtl w:val="true"/>
        </w:rPr>
        <w:t>בהינתן כל האמור לעיל</w:t>
      </w:r>
      <w:r>
        <w:rPr>
          <w:rFonts w:cs="Century" w:ascii="Century" w:hAnsi="Century"/>
          <w:rtl w:val="true"/>
        </w:rPr>
        <w:t xml:space="preserve">, </w:t>
      </w:r>
      <w:r>
        <w:rPr>
          <w:rFonts w:ascii="Century" w:hAnsi="Century" w:cs="Century"/>
          <w:rtl w:val="true"/>
        </w:rPr>
        <w:t>אני סבורה כי לא עלה בידי המערער להצביע על חשש ממשי למשוא פנים של בית המשפט בעניינו</w:t>
      </w:r>
      <w:r>
        <w:rPr>
          <w:rFonts w:cs="Century" w:ascii="Century" w:hAnsi="Century"/>
          <w:rtl w:val="true"/>
        </w:rPr>
        <w:t xml:space="preserve">, </w:t>
      </w:r>
      <w:r>
        <w:rPr>
          <w:rFonts w:ascii="Century" w:hAnsi="Century" w:cs="Century"/>
          <w:rtl w:val="true"/>
        </w:rPr>
        <w:t>וזאת אף מבלי להידרש לשאלת השיהוי שנפל בהגשת הבקשה</w:t>
      </w:r>
      <w:r>
        <w:rPr>
          <w:rFonts w:cs="Century" w:ascii="Century" w:hAnsi="Century"/>
          <w:rtl w:val="true"/>
        </w:rPr>
        <w:t>.</w:t>
      </w:r>
    </w:p>
    <w:p>
      <w:pPr>
        <w:pStyle w:val="Ruller42"/>
        <w:ind w:end="0"/>
        <w:jc w:val="both"/>
        <w:rPr>
          <w:rFonts w:ascii="Times New Roman" w:hAnsi="Times New Roman" w:cs="Times New Roman"/>
        </w:rPr>
      </w:pPr>
      <w:r>
        <w:rPr>
          <w:rFonts w:cs="Times New Roman" w:ascii="Times New Roman" w:hAnsi="Times New Roman"/>
          <w:rtl w:val="true"/>
        </w:rPr>
      </w:r>
    </w:p>
    <w:p>
      <w:pPr>
        <w:pStyle w:val="Ruller42"/>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הערעור נדחה</w:t>
      </w:r>
      <w:r>
        <w:rPr>
          <w:rFonts w:cs="Times New Roman" w:ascii="Times New Roman" w:hAnsi="Times New Roman"/>
          <w:rtl w:val="true"/>
        </w:rPr>
        <w:t xml:space="preserve">. </w:t>
      </w:r>
    </w:p>
    <w:p>
      <w:pPr>
        <w:pStyle w:val="Ruller42"/>
        <w:ind w:end="0"/>
        <w:jc w:val="both"/>
        <w:rPr>
          <w:rFonts w:ascii="Garamond" w:hAnsi="Garamond" w:cs="Garamond"/>
          <w:sz w:val="28"/>
        </w:rPr>
      </w:pPr>
      <w:r>
        <w:rPr>
          <w:rFonts w:cs="Garamond" w:ascii="Garamond" w:hAnsi="Garamond"/>
          <w:sz w:val="28"/>
          <w:rtl w:val="true"/>
        </w:rPr>
      </w:r>
    </w:p>
    <w:p>
      <w:pPr>
        <w:pStyle w:val="BODYVERDICT"/>
        <w:ind w:end="0"/>
        <w:jc w:val="start"/>
        <w:rPr>
          <w:rFonts w:ascii="Garamond" w:hAnsi="Garamond" w:cs="Miriam"/>
          <w:sz w:val="24"/>
          <w:szCs w:val="24"/>
          <w:u w:val="single"/>
        </w:rPr>
      </w:pPr>
      <w:r>
        <w:rPr>
          <w:rFonts w:cs="Miriam" w:ascii="Garamond" w:hAnsi="Garamond"/>
          <w:sz w:val="24"/>
          <w:szCs w:val="24"/>
          <w:u w:val="single"/>
          <w:rtl w:val="true"/>
        </w:rPr>
      </w:r>
    </w:p>
    <w:p>
      <w:pPr>
        <w:pStyle w:val="BODYVERDICT"/>
        <w:ind w:end="0"/>
        <w:jc w:val="start"/>
        <w:rPr>
          <w:rFonts w:cs="Miriam"/>
          <w:sz w:val="24"/>
          <w:szCs w:val="24"/>
          <w:u w:val="single"/>
        </w:rPr>
      </w:pPr>
      <w:r>
        <w:rPr>
          <w:rFonts w:eastAsia="Arial TUR" w:cs="Arial TUR" w:ascii="Arial TUR" w:hAnsi="Arial TUR"/>
          <w:rtl w:val="true"/>
        </w:rPr>
        <w:t xml:space="preserve"> </w:t>
      </w:r>
      <w:r>
        <w:rPr>
          <w:rFonts w:ascii="Arial TUR" w:hAnsi="Arial TUR" w:cs="Arial TUR"/>
          <w:rtl w:val="true"/>
        </w:rPr>
        <w:t>ניתנה היום</w:t>
      </w:r>
      <w:r>
        <w:rPr>
          <w:rFonts w:cs="Arial TUR" w:ascii="Arial TUR" w:hAnsi="Arial TUR"/>
          <w:rtl w:val="true"/>
        </w:rPr>
        <w:t>, ‏</w:t>
      </w:r>
      <w:r>
        <w:rPr>
          <w:rFonts w:ascii="Arial TUR" w:hAnsi="Arial TUR" w:cs="Arial TUR"/>
          <w:rtl w:val="true"/>
        </w:rPr>
        <w:t>ו</w:t>
      </w:r>
      <w:r>
        <w:rPr>
          <w:rFonts w:cs="Arial TUR" w:ascii="Arial TUR" w:hAnsi="Arial TUR"/>
          <w:rtl w:val="true"/>
        </w:rPr>
        <w:t xml:space="preserve">' </w:t>
      </w:r>
      <w:r>
        <w:rPr>
          <w:rFonts w:ascii="Arial TUR" w:hAnsi="Arial TUR" w:cs="Arial TUR"/>
          <w:rtl w:val="true"/>
        </w:rPr>
        <w:t>בניסן התשע</w:t>
      </w:r>
      <w:r>
        <w:rPr>
          <w:rFonts w:cs="Arial TUR" w:ascii="Arial TUR" w:hAnsi="Arial TUR"/>
          <w:rtl w:val="true"/>
        </w:rPr>
        <w:t>"</w:t>
      </w:r>
      <w:r>
        <w:rPr>
          <w:rFonts w:ascii="Arial TUR" w:hAnsi="Arial TUR" w:cs="Arial TUR"/>
          <w:rtl w:val="true"/>
        </w:rPr>
        <w:t xml:space="preserve">ח </w:t>
      </w:r>
      <w:r>
        <w:rPr>
          <w:rFonts w:cs="Arial TUR" w:ascii="Arial TUR" w:hAnsi="Arial TUR"/>
          <w:rtl w:val="true"/>
        </w:rPr>
        <w:t>(‏</w:t>
      </w:r>
      <w:r>
        <w:rPr>
          <w:rFonts w:cs="Arial TUR" w:ascii="Arial TUR" w:hAnsi="Arial TUR"/>
        </w:rPr>
        <w:t>22.3.2018</w:t>
      </w:r>
      <w:r>
        <w:rPr>
          <w:rFonts w:cs="Arial TUR" w:ascii="Arial TUR" w:hAnsi="Arial TUR"/>
          <w:rtl w:val="true"/>
        </w:rPr>
        <w:t xml:space="preserve">). </w:t>
      </w:r>
    </w:p>
    <w:p>
      <w:pPr>
        <w:pStyle w:val="Ruller42"/>
        <w:ind w:end="0"/>
        <w:jc w:val="both"/>
        <w:rPr>
          <w:rFonts w:cs="Miriam"/>
          <w:sz w:val="24"/>
          <w:szCs w:val="24"/>
          <w:u w:val="single"/>
        </w:rPr>
      </w:pPr>
      <w:r>
        <w:rPr>
          <w:rFonts w:cs="Miriam"/>
          <w:sz w:val="24"/>
          <w:szCs w:val="24"/>
          <w:u w:val="single"/>
          <w:rtl w:val="true"/>
        </w:rPr>
      </w:r>
      <w:bookmarkStart w:id="10" w:name="Start_Write"/>
      <w:bookmarkStart w:id="11" w:name="Start_Write"/>
      <w:bookmarkEnd w:id="11"/>
    </w:p>
    <w:p>
      <w:pPr>
        <w:pStyle w:val="Ruller42"/>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2"/>
              <w:ind w:end="0"/>
              <w:jc w:val="both"/>
              <w:rPr>
                <w:color w:val="FFFFFF"/>
                <w:sz w:val="2"/>
                <w:szCs w:val="2"/>
              </w:rPr>
            </w:pPr>
            <w:r>
              <w:rPr>
                <w:color w:val="FFFFFF"/>
                <w:sz w:val="2"/>
                <w:szCs w:val="2"/>
              </w:rPr>
              <w:t>54678313</w:t>
            </w:r>
          </w:p>
        </w:tc>
        <w:tc>
          <w:tcPr>
            <w:tcW w:w="2843" w:type="dxa"/>
            <w:tcBorders/>
          </w:tcPr>
          <w:p>
            <w:pPr>
              <w:pStyle w:val="Ruller42"/>
              <w:snapToGrid w:val="false"/>
              <w:ind w:end="0"/>
              <w:jc w:val="center"/>
              <w:rPr>
                <w:color w:val="FFFFFF"/>
                <w:sz w:val="2"/>
                <w:szCs w:val="2"/>
              </w:rPr>
            </w:pPr>
            <w:r>
              <w:rPr>
                <w:color w:val="FFFFFF"/>
                <w:sz w:val="2"/>
                <w:szCs w:val="2"/>
                <w:rtl w:val="true"/>
              </w:rPr>
            </w:r>
          </w:p>
        </w:tc>
        <w:tc>
          <w:tcPr>
            <w:tcW w:w="2843" w:type="dxa"/>
            <w:tcBorders/>
          </w:tcPr>
          <w:p>
            <w:pPr>
              <w:pStyle w:val="Ruller42"/>
              <w:ind w:end="0"/>
              <w:jc w:val="center"/>
              <w:rPr/>
            </w:pPr>
            <w:r>
              <w:rPr>
                <w:rFonts w:eastAsia="Arial TUR" w:cs="Arial TUR"/>
                <w:rtl w:val="true"/>
              </w:rPr>
              <w:t xml:space="preserve"> </w:t>
            </w:r>
            <w:r>
              <w:rPr>
                <w:rtl w:val="true"/>
              </w:rPr>
              <w:t>ה</w:t>
            </w:r>
            <w:r>
              <w:rPr>
                <w:rFonts w:eastAsia="Arial TUR" w:cs="Arial TUR"/>
                <w:rtl w:val="true"/>
              </w:rPr>
              <w:t xml:space="preserve"> </w:t>
            </w:r>
            <w:r>
              <w:rPr>
                <w:rtl w:val="true"/>
              </w:rPr>
              <w:t>נ</w:t>
            </w:r>
            <w:r>
              <w:rPr>
                <w:rFonts w:eastAsia="Arial TUR" w:cs="Arial TUR"/>
                <w:rtl w:val="true"/>
              </w:rPr>
              <w:t xml:space="preserve"> </w:t>
            </w:r>
            <w:r>
              <w:rPr>
                <w:rtl w:val="true"/>
              </w:rPr>
              <w:t>ש</w:t>
            </w:r>
            <w:r>
              <w:rPr>
                <w:rFonts w:eastAsia="Arial TUR" w:cs="Arial TUR"/>
                <w:rtl w:val="true"/>
              </w:rPr>
              <w:t xml:space="preserve"> </w:t>
            </w:r>
            <w:r>
              <w:rPr>
                <w:rtl w:val="true"/>
              </w:rPr>
              <w:t>י</w:t>
            </w:r>
            <w:r>
              <w:rPr>
                <w:rFonts w:eastAsia="Arial TUR" w:cs="Arial TUR"/>
                <w:rtl w:val="true"/>
              </w:rPr>
              <w:t xml:space="preserve"> </w:t>
            </w:r>
            <w:r>
              <w:rPr>
                <w:rtl w:val="true"/>
              </w:rPr>
              <w:t>א</w:t>
            </w:r>
            <w:r>
              <w:rPr>
                <w:rFonts w:eastAsia="Arial TUR" w:cs="Arial TUR"/>
                <w:rtl w:val="true"/>
              </w:rPr>
              <w:t xml:space="preserve"> </w:t>
            </w:r>
            <w:r>
              <w:rPr>
                <w:rtl w:val="true"/>
              </w:rPr>
              <w:t>ה</w:t>
            </w:r>
          </w:p>
        </w:tc>
      </w:tr>
    </w:tbl>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18020780</w:t>
      </w:r>
      <w:r>
        <w:rPr>
          <w:sz w:val="16"/>
          <w:rtl w:val="true"/>
        </w:rPr>
        <w:t>_</w:t>
      </w:r>
      <w:r>
        <w:rPr>
          <w:sz w:val="16"/>
        </w:rPr>
        <w:t>V01.doc</w:t>
      </w:r>
      <w:r>
        <w:rPr>
          <w:sz w:val="16"/>
          <w:rtl w:val="true"/>
        </w:rPr>
        <w:t xml:space="preserve">   </w:t>
      </w:r>
      <w:r>
        <w:rPr>
          <w:sz w:val="16"/>
          <w:sz w:val="16"/>
          <w:rtl w:val="true"/>
        </w:rPr>
        <w:t>גק</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ה א</w:t>
      </w:r>
      <w:r>
        <w:rPr>
          <w:rFonts w:cs="David" w:ascii="David" w:hAnsi="David"/>
          <w:color w:val="000000"/>
          <w:szCs w:val="22"/>
          <w:rtl w:val="true"/>
        </w:rPr>
        <w:t xml:space="preserve">' </w:t>
      </w:r>
      <w:r>
        <w:rPr>
          <w:rFonts w:ascii="David" w:hAnsi="David"/>
          <w:color w:val="000000"/>
          <w:szCs w:val="22"/>
          <w:rtl w:val="true"/>
        </w:rPr>
        <w:t xml:space="preserve">חיות </w:t>
      </w:r>
      <w:r>
        <w:rPr>
          <w:rFonts w:cs="David" w:ascii="David" w:hAnsi="David"/>
          <w:color w:val="000000"/>
          <w:szCs w:val="22"/>
        </w:rPr>
        <w:t>54678313-2078/18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10"/>
      <w:footerReference w:type="default" r:id="rId11"/>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charset w:val="00" w:characterSet="windows-1252"/>
    <w:family w:val="swiss"/>
    <w:pitch w:val="variable"/>
  </w:font>
  <w:font w:name="Garamond">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Century">
    <w:charset w:val="00" w:characterSet="windows-1252"/>
    <w:family w:val="roman"/>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6</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2078/18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 w:hAnsi="Arial TUR" w:cs="FrankRuehl"/>
      <w:spacing w:val="10"/>
      <w:sz w:val="22"/>
      <w:szCs w:val="28"/>
    </w:rPr>
  </w:style>
  <w:style w:type="character" w:styleId="Ruller5">
    <w:name w:val="Ruller5 תו"/>
    <w:qFormat/>
    <w:rPr>
      <w:rFonts w:ascii="Arial TUR" w:hAnsi="Arial TUR" w:cs="FrankRuehl"/>
      <w:spacing w:val="10"/>
      <w:sz w:val="22"/>
      <w:szCs w:val="28"/>
    </w:rPr>
  </w:style>
  <w:style w:type="character" w:styleId="Ruller41">
    <w:name w:val="Ruller 4 ממוספר תו"/>
    <w:qFormat/>
    <w:rPr>
      <w:rFonts w:ascii="Garamond" w:hAnsi="Garamond" w:cs="FrankRuehl"/>
      <w:spacing w:val="10"/>
      <w:sz w:val="24"/>
      <w:szCs w:val="28"/>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2">
    <w:name w:val="Ruller4"/>
    <w:basedOn w:val="Normal"/>
    <w:qFormat/>
    <w:pPr>
      <w:tabs>
        <w:tab w:val="clear" w:pos="720"/>
        <w:tab w:val="left" w:pos="800" w:leader="none"/>
      </w:tabs>
      <w:spacing w:lineRule="auto" w:line="360"/>
      <w:ind w:hanging="0" w:start="0" w:end="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 w:hAnsi="Arial TUR" w:cs="DavidFix"/>
      <w:spacing w:val="10"/>
      <w:sz w:val="22"/>
      <w:szCs w:val="20"/>
    </w:rPr>
  </w:style>
  <w:style w:type="paragraph" w:styleId="WriterName">
    <w:name w:val="Writer Name"/>
    <w:basedOn w:val="Ruller42"/>
    <w:next w:val="Ruller42"/>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3">
    <w:name w:val="Ruller 4 ממוספר"/>
    <w:basedOn w:val="Ruller42"/>
    <w:next w:val="Ruller42"/>
    <w:qFormat/>
    <w:pPr>
      <w:numPr>
        <w:ilvl w:val="0"/>
        <w:numId w:val="1"/>
      </w:numPr>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 w:hAnsi="Tahoma" w:cs="Tahom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566118" TargetMode="External"/><Relationship Id="rId3" Type="http://schemas.openxmlformats.org/officeDocument/2006/relationships/hyperlink" Target="http://www.nevo.co.il/case/6192906" TargetMode="External"/><Relationship Id="rId4" Type="http://schemas.openxmlformats.org/officeDocument/2006/relationships/hyperlink" Target="http://www.nevo.co.il/case/6248118" TargetMode="External"/><Relationship Id="rId5" Type="http://schemas.openxmlformats.org/officeDocument/2006/relationships/hyperlink" Target="http://www.nevo.co.il/case/6244714" TargetMode="External"/><Relationship Id="rId6" Type="http://schemas.openxmlformats.org/officeDocument/2006/relationships/hyperlink" Target="http://www.nevo.co.il/case/6241287" TargetMode="External"/><Relationship Id="rId7" Type="http://schemas.openxmlformats.org/officeDocument/2006/relationships/hyperlink" Target="http://www.nevo.co.il/case/23543175" TargetMode="External"/><Relationship Id="rId8" Type="http://schemas.openxmlformats.org/officeDocument/2006/relationships/hyperlink" Target="http://www.court.gov.il/" TargetMode="External"/><Relationship Id="rId9" Type="http://schemas.openxmlformats.org/officeDocument/2006/relationships/hyperlink" Target="http://www.nevo.co.il/advertisements/nevo-100.doc"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2018-05-24T11:22:00Z</dcterms:created>
  <dc:creator> </dc:creator>
  <dc:description/>
  <cp:keywords/>
  <dc:language>en-IL</dc:language>
  <cp:lastModifiedBy>orly</cp:lastModifiedBy>
  <cp:lastPrinted>2018-03-22T11:09:00Z</cp:lastPrinted>
  <dcterms:modified xsi:type="dcterms:W3CDTF">2018-05-24T11:22:00Z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NOTES1">
    <vt:lpwstr>ProcID=213&amp;PartA=23&amp;PartC=20</vt:lpwstr>
  </property>
  <property fmtid="{D5CDD505-2E9C-101B-9397-08002B2CF9AE}" pid="9" name="CASESLISTTMP1">
    <vt:lpwstr>23777500;21566118;6192906;6248118;6244714;6241287;23543175</vt:lpwstr>
  </property>
  <property fmtid="{D5CDD505-2E9C-101B-9397-08002B2CF9AE}" pid="10" name="CITY">
    <vt:lpwstr/>
  </property>
  <property fmtid="{D5CDD505-2E9C-101B-9397-08002B2CF9AE}" pid="11" name="DATE">
    <vt:lpwstr>20180322</vt:lpwstr>
  </property>
  <property fmtid="{D5CDD505-2E9C-101B-9397-08002B2CF9AE}" pid="12" name="DELEMATA">
    <vt:lpwstr/>
  </property>
  <property fmtid="{D5CDD505-2E9C-101B-9397-08002B2CF9AE}" pid="13" name="ISABSTRACT">
    <vt:lpwstr>Y</vt:lpwstr>
  </property>
  <property fmtid="{D5CDD505-2E9C-101B-9397-08002B2CF9AE}" pid="14" name="JUDGE">
    <vt:lpwstr>א' חיות</vt:lpwstr>
  </property>
  <property fmtid="{D5CDD505-2E9C-101B-9397-08002B2CF9AE}" pid="15" name="LAWYER">
    <vt:lpwstr>אביגיל ארד אביעזר</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קרן</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בתי-משפט</vt:lpwstr>
  </property>
  <property fmtid="{D5CDD505-2E9C-101B-9397-08002B2CF9AE}" pid="27" name="NOSE110">
    <vt:lpwstr/>
  </property>
  <property fmtid="{D5CDD505-2E9C-101B-9397-08002B2CF9AE}" pid="28" name="NOSE12">
    <vt:lpwstr>בתי-משפט</vt:lpwstr>
  </property>
  <property fmtid="{D5CDD505-2E9C-101B-9397-08002B2CF9AE}" pid="29" name="NOSE13">
    <vt:lpwstr>בתי-משפט</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14;14;14</vt:lpwstr>
  </property>
  <property fmtid="{D5CDD505-2E9C-101B-9397-08002B2CF9AE}" pid="37" name="NOSE21">
    <vt:lpwstr>שופטים</vt:lpwstr>
  </property>
  <property fmtid="{D5CDD505-2E9C-101B-9397-08002B2CF9AE}" pid="38" name="NOSE210">
    <vt:lpwstr/>
  </property>
  <property fmtid="{D5CDD505-2E9C-101B-9397-08002B2CF9AE}" pid="39" name="NOSE22">
    <vt:lpwstr>פסלות שופט</vt:lpwstr>
  </property>
  <property fmtid="{D5CDD505-2E9C-101B-9397-08002B2CF9AE}" pid="40" name="NOSE23">
    <vt:lpwstr>שופטים</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341;336;341</vt:lpwstr>
  </property>
  <property fmtid="{D5CDD505-2E9C-101B-9397-08002B2CF9AE}" pid="48" name="NOSE31">
    <vt:lpwstr>פסילה</vt:lpwstr>
  </property>
  <property fmtid="{D5CDD505-2E9C-101B-9397-08002B2CF9AE}" pid="49" name="NOSE310">
    <vt:lpwstr/>
  </property>
  <property fmtid="{D5CDD505-2E9C-101B-9397-08002B2CF9AE}" pid="50" name="NOSE32">
    <vt:lpwstr>טעמי הפסלות</vt:lpwstr>
  </property>
  <property fmtid="{D5CDD505-2E9C-101B-9397-08002B2CF9AE}" pid="51" name="NOSE33">
    <vt:lpwstr>פסלותם</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2803;2758;2804</vt:lpwstr>
  </property>
  <property fmtid="{D5CDD505-2E9C-101B-9397-08002B2CF9AE}" pid="59" name="PADIDATE">
    <vt:lpwstr>20180326</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vt:lpwstr>
  </property>
  <property fmtid="{D5CDD505-2E9C-101B-9397-08002B2CF9AE}" pid="64" name="PROCNUM">
    <vt:lpwstr>2078</vt:lpwstr>
  </property>
  <property fmtid="{D5CDD505-2E9C-101B-9397-08002B2CF9AE}" pid="65" name="PROCYEAR">
    <vt:lpwstr>18</vt:lpwstr>
  </property>
  <property fmtid="{D5CDD505-2E9C-101B-9397-08002B2CF9AE}" pid="66" name="PSAKDIN">
    <vt:lpwstr>החלטה</vt:lpwstr>
  </property>
  <property fmtid="{D5CDD505-2E9C-101B-9397-08002B2CF9AE}" pid="67" name="TYPE">
    <vt:lpwstr>1</vt:lpwstr>
  </property>
  <property fmtid="{D5CDD505-2E9C-101B-9397-08002B2CF9AE}" pid="68" name="TYPE_ABS_DATE">
    <vt:lpwstr>410120180322</vt:lpwstr>
  </property>
  <property fmtid="{D5CDD505-2E9C-101B-9397-08002B2CF9AE}" pid="69" name="TYPE_N_DATE">
    <vt:lpwstr>41020180322</vt:lpwstr>
  </property>
  <property fmtid="{D5CDD505-2E9C-101B-9397-08002B2CF9AE}" pid="70" name="VOLUME">
    <vt:lpwstr/>
  </property>
  <property fmtid="{D5CDD505-2E9C-101B-9397-08002B2CF9AE}" pid="71" name="WORDNUMPAGES">
    <vt:lpwstr>5</vt:lpwstr>
  </property>
</Properties>
</file>