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2079/22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2089/22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2079/22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והמשיבים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2089/22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יחיא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יראת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עקאב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קאסם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ה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2079/22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והמערערת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2089/22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2680-09-19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7.2.2022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קוטון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באומגרט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3.7.2023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2079/22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והמשיב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2089/22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2079/22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והמשיב </w:t>
            </w:r>
            <w:r>
              <w:rPr>
                <w:rFonts w:cs="David" w:ascii="David" w:hAnsi="David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2089/22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זידאן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מטאנס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שפרלינג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ה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2079/22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והמערערת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2089/22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הרפורמה בעבירות ההמתה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מדרג עבירות ההמתה ועל רצח מתוך אדישות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ספר יעקב וינרוט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גרשון גונטובניק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אבי וינרוט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חיים זיכרמן עורכים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441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6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Start w:id="10" w:name="LawTable_End"/>
      <w:bookmarkEnd w:id="9"/>
      <w:bookmarkEnd w:id="10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מקרה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זה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מהחמורי</w:t>
      </w:r>
      <w:r>
        <w:rPr>
          <w:rFonts w:ascii="Times New Roman" w:hAnsi="Times New Roman" w:cs="Times New Roman"/>
          <w:spacing w:val="0"/>
          <w:szCs w:val="26"/>
          <w:rtl w:val="true"/>
        </w:rPr>
        <w:t>ם 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במדיניות 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המחמירה בעבירה הנדונה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הנהוגה כעת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</w:t>
      </w:r>
      <w:r>
        <w:rPr>
          <w:rFonts w:ascii="Times New Roman" w:hAnsi="Times New Roman" w:cs="Times New Roman"/>
          <w:spacing w:val="0"/>
          <w:szCs w:val="26"/>
          <w:rtl w:val="true"/>
        </w:rPr>
        <w:t>הצדק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לחומרה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בעונש המאסר בפועל אשר הושת על המשיב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שירצה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המאסר בפועל בן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סיוע לרצח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נותר על כנו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לו מאחר שערכאת הערעור תתערב רק בסטייה קיצונית ממדיניות הענישה הנוהגת ואף מן הטעם שערכאה זו אינה ממצה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רצח באדישות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ברצח באדישות של סעיד חוג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יראת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והושת עליו עונש של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הורשע בסיוע לביצוע הרצח והושת עליו עונש של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המדינה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2089/22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נסוב על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וערעור המשיבים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2079/22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נסב על חומרתו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כשר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בחלקו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2089/22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2079/22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כלל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וא כי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ייטה שלא להתערב בעונש שה</w:t>
      </w:r>
      <w:r>
        <w:rPr>
          <w:rFonts w:ascii="Times New Roman" w:hAnsi="Times New Roman" w:cs="Times New Roman"/>
          <w:spacing w:val="0"/>
          <w:szCs w:val="26"/>
          <w:rtl w:val="true"/>
        </w:rPr>
        <w:t>שיתה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הערכאה הדיונית אלא במקרים שבהם ניכרת חריגה קיצונית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נפלה על פני הדברים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אך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שעניינו קביעת ועיצוב מדיניות הענישה בראי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 התערבותו של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העליון </w:t>
      </w:r>
      <w:r>
        <w:rPr>
          <w:rFonts w:ascii="Times New Roman" w:hAnsi="Times New Roman" w:cs="Times New Roman"/>
          <w:spacing w:val="0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Cs w:val="26"/>
          <w:rtl w:val="true"/>
        </w:rPr>
        <w:t>חב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מקרה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זה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מהחמורי</w:t>
      </w:r>
      <w:r>
        <w:rPr>
          <w:rFonts w:ascii="Times New Roman" w:hAnsi="Times New Roman" w:cs="Times New Roman"/>
          <w:spacing w:val="0"/>
          <w:szCs w:val="26"/>
          <w:rtl w:val="true"/>
        </w:rPr>
        <w:t>ם 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ועם זאת העונש שנגזר על המשיבים הוא מהקלים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ולכן 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הצדק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>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במסגרת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הרפורמה בעבירות ההמתה המחוקק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ביקש </w:t>
      </w:r>
      <w:r>
        <w:rPr>
          <w:rFonts w:ascii="Times New Roman" w:hAnsi="Times New Roman" w:cs="Times New Roman"/>
          <w:spacing w:val="0"/>
          <w:szCs w:val="26"/>
          <w:rtl w:val="true"/>
        </w:rPr>
        <w:t>לבטא מגמת החמרה ערכית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נורמטיבית המגולמת בתיוגו של הממית האדיש – כרוצח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>מגמת החמרה בענישה כאשר העונש המרבי בגין מעשה המתה באדישות הוא עונש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 קבע כי מעשיו אף יכולים לעלות כדי עבירת רצח בנסיבות 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 בצידה מאסר עולם חובה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במרוצת הזמן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והתעצבה ממקרה למקרה מדיניות הענישה הרצויה והנוהגת בעבירת 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בפסיקת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הוסכם פה אחד כי הרפורמה בעבירות ההמתה מכתיבה החמרה ערכית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נורמטיבית ועונשית ביחס למעשי המתה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בעת שניתן גזר דינו של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טרם התגבשה מדיניות ענישה בעבירת הרצח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בהיותה בראשית ימיה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שעובדה זו מצדיקה החמרה מדודה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בהתחשב בכך שערכאת הערעור אינה ממצה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בכך כדי להצדיק גזירת עונש לפי מדיניות הענישה שהייתה נהוגה בגין עבירת ההריגה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משעה שבמצוות המחוקק שונה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אלו הן אמות המידה לאורם בית המשפט יפעל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אילו בכך עלול להתגלע פער בין עונשים הנגזרים בגין מעשים דומים אשר התרחשו האחד קודם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והאחר לאחריה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בכלל וכך בפרט ביחס לענישה הרצויה בעבירת הרצח באדישות לנוכח מגמת ההחמרה הערכית והעונשית שמבטאת הרפורמה בעבירת ההמתה ביחס לעבירה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בראי פסקי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דין המיישמים את מגמת ההחמרה ביחס למעשי המתה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 כי רצח המנוח מצוי ברף העליון של חומרת מעשי 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בכלל זאת 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 בנשק 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תכנון והתמדה בתוכנית עבריינית חרף מספר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נקודות יציאה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';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חיסול חשבונות על פגיעה בכבוד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אלה גם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משקפים רמה חמורה של אדישות וזלזול בחיי אדם מצד 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ומלמדים על חומרת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נדרשת ענישה הולמת ומתאימה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 מזו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השוואה לפסקי הדין שניתנו עד כה בעבירת הרצח באדישות לא רק מצביעה על כך שרצח המנוח מצוי ברף העליון של עבירה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אף ניתן לומר בבטחה כי לעת כזאת חוללה הרפורמה את השינוי ביחס להמתה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הואיל ועבירת ההריגה אינה משקפת דיה את חומרת המעשים בעוד שעבירת הרצח הולמת את מעשה העבירה וחורטת כראוי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אות קין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מצחם של המשיבים בגין רצח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הרשעת המשיבים באחריות לרצח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הם הורשעו גם בעבירות נשק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אף מטעם זה ראוי להחמיר בעונשם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נסיבותיו האישיות של 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נבחנות למול עוצמת הפגיעה בערכים המוגנים בעבירת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למול הפגיעה בערך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 האישיות של נאשם בעבירת הרצח בעלות משקל מוגבל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ומכאן כי יש לאזן במשורה בין שיקולים אלו במלאכת גזירת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</w:t>
      </w:r>
      <w:r>
        <w:rPr>
          <w:rFonts w:ascii="Times New Roman" w:hAnsi="Times New Roman" w:cs="Times New Roman"/>
          <w:spacing w:val="0"/>
          <w:szCs w:val="26"/>
          <w:rtl w:val="true"/>
        </w:rPr>
        <w:t>לא בכדי התקשה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לאתר נסיבות לזכות 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ביחס לנסיבות שנזקפו לזכותם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שגה ב</w:t>
      </w:r>
      <w:r>
        <w:rPr>
          <w:rFonts w:ascii="Times New Roman" w:hAnsi="Times New Roman" w:cs="Times New Roman"/>
          <w:spacing w:val="0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בהעניקו להן משקל עודף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נוכח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 במיגור האלימות ברחובות ישראל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ובהקשר של פתרון סכסוכים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נדרשת מדיניות ענישה מרתיעה והולמת המעניקה משקל של ממש לשיקולי הרתעת הרבים והיחיד במלאכת גזירת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ביצוע העבירה ובנסיבות האישיות של 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למגמת הענישה בעבירת הרצח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עונשו של משיב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יעמוד על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עונשו של 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יוותר על כנו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ולו מאחר שערכאת הערעור תתערב רק בסטייה קיצונית ממדיניות הענישה הנוהגת ואף מן הטעם שערכאה זו אינה ממצה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  <w:u w:val="single"/>
        </w:rPr>
      </w:pP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</w:r>
      <w:bookmarkStart w:id="16" w:name="Start_Write"/>
      <w:bookmarkStart w:id="17" w:name="Writer_Name"/>
      <w:bookmarkStart w:id="18" w:name="Start_Write"/>
      <w:bookmarkStart w:id="19" w:name="Writer_Name"/>
      <w:bookmarkEnd w:id="18"/>
      <w:bookmarkEnd w:id="19"/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>:</w:t>
      </w: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יחיא חוג</w:t>
      </w:r>
      <w:r>
        <w:rPr>
          <w:rtl w:val="true"/>
        </w:rPr>
        <w:t>'</w:t>
      </w:r>
      <w:r>
        <w:rPr>
          <w:rtl w:val="true"/>
        </w:rPr>
        <w:t>יראת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הורשע </w:t>
      </w:r>
      <w:r>
        <w:rPr>
          <w:rFonts w:ascii="Century" w:hAnsi="Century" w:cs="Century"/>
          <w:sz w:val="22"/>
          <w:sz w:val="22"/>
          <w:rtl w:val="true"/>
        </w:rPr>
        <w:t>ברצח באדישות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של סעיד חוג</w:t>
      </w:r>
      <w:r>
        <w:rPr>
          <w:rtl w:val="true"/>
        </w:rPr>
        <w:t>'</w:t>
      </w:r>
      <w:r>
        <w:rPr>
          <w:rtl w:val="true"/>
        </w:rPr>
        <w:t xml:space="preserve">יראת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); </w:t>
      </w:r>
      <w:r>
        <w:rPr>
          <w:rtl w:val="true"/>
        </w:rPr>
        <w:t xml:space="preserve">עקאב קאסם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) </w:t>
      </w:r>
      <w:r>
        <w:rPr>
          <w:rtl w:val="true"/>
        </w:rPr>
        <w:t>הורשע בסיוע לביצוע רצח זה</w:t>
      </w:r>
      <w:r>
        <w:rPr>
          <w:rtl w:val="true"/>
        </w:rPr>
        <w:t xml:space="preserve">. </w:t>
      </w:r>
      <w:r>
        <w:rPr>
          <w:rtl w:val="true"/>
        </w:rPr>
        <w:t>בגין מעשיהם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קוטון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באומגרט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2690-09-19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7.2.2022</w:t>
      </w:r>
      <w:r>
        <w:rPr>
          <w:rtl w:val="true"/>
        </w:rPr>
        <w:t xml:space="preserve">, </w:t>
      </w:r>
      <w:r>
        <w:rPr>
          <w:rtl w:val="true"/>
        </w:rPr>
        <w:t xml:space="preserve">גזר על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; </w:t>
      </w:r>
      <w:r>
        <w:rPr>
          <w:rtl w:val="true"/>
        </w:rPr>
        <w:t xml:space="preserve">ועל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ערעור המדינה נסוב על קולת העונש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2089/22</w:t>
      </w:r>
      <w:r>
        <w:rPr>
          <w:rtl w:val="true"/>
        </w:rPr>
        <w:t xml:space="preserve">) </w:t>
      </w:r>
      <w:r>
        <w:rPr>
          <w:rtl w:val="true"/>
        </w:rPr>
        <w:t xml:space="preserve">וערעור המשיבים על חומרתו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2079/22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המשיבים הם בני </w:t>
      </w:r>
      <w:r>
        <w:rPr>
          <w:rtl w:val="true"/>
        </w:rPr>
        <w:t>דודים</w:t>
      </w:r>
      <w:r>
        <w:rPr>
          <w:rtl w:val="true"/>
        </w:rPr>
        <w:t xml:space="preserve"> </w:t>
      </w:r>
      <w:r>
        <w:rPr>
          <w:rtl w:val="true"/>
        </w:rPr>
        <w:t>וחברים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מתגוררים</w:t>
      </w:r>
      <w:r>
        <w:rPr>
          <w:rtl w:val="true"/>
        </w:rPr>
        <w:t xml:space="preserve"> </w:t>
      </w:r>
      <w:r>
        <w:rPr>
          <w:rtl w:val="true"/>
        </w:rPr>
        <w:t>בשכנות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 xml:space="preserve"> ליד כיכר עוסמאן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אחות 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תחריר </w:t>
      </w:r>
      <w:r>
        <w:rPr>
          <w:rtl w:val="true"/>
        </w:rPr>
        <w:t>"</w:t>
      </w:r>
      <w:r>
        <w:rPr>
          <w:rtl w:val="true"/>
        </w:rPr>
        <w:t>סאלי</w:t>
      </w:r>
      <w:r>
        <w:rPr>
          <w:rtl w:val="true"/>
        </w:rPr>
        <w:t xml:space="preserve">" </w:t>
      </w:r>
      <w:r>
        <w:rPr>
          <w:rtl w:val="true"/>
        </w:rPr>
        <w:t>חוג</w:t>
      </w:r>
      <w:r>
        <w:rPr>
          <w:rtl w:val="true"/>
        </w:rPr>
        <w:t>'</w:t>
      </w:r>
      <w:r>
        <w:rPr>
          <w:rtl w:val="true"/>
        </w:rPr>
        <w:t xml:space="preserve">יראת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סאלי</w:t>
      </w:r>
      <w:r>
        <w:rPr>
          <w:rtl w:val="true"/>
        </w:rPr>
        <w:t xml:space="preserve">), </w:t>
      </w:r>
      <w:r>
        <w:rPr>
          <w:rtl w:val="true"/>
        </w:rPr>
        <w:t xml:space="preserve">מתגוררת לפרקים יחד עם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בבית אמם</w:t>
      </w:r>
      <w:r>
        <w:rPr>
          <w:rtl w:val="true"/>
        </w:rPr>
        <w:t xml:space="preserve">, </w:t>
      </w:r>
      <w:r>
        <w:rPr>
          <w:rtl w:val="true"/>
        </w:rPr>
        <w:t>סעדה</w:t>
      </w:r>
      <w:r>
        <w:rPr>
          <w:rtl w:val="true"/>
        </w:rPr>
        <w:t xml:space="preserve">. </w:t>
      </w:r>
      <w:r>
        <w:rPr>
          <w:rtl w:val="true"/>
        </w:rPr>
        <w:t>סאלי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סאלח</w:t>
      </w:r>
      <w:r>
        <w:rPr>
          <w:rtl w:val="true"/>
        </w:rPr>
        <w:t xml:space="preserve"> </w:t>
      </w:r>
      <w:r>
        <w:rPr>
          <w:rtl w:val="true"/>
        </w:rPr>
        <w:t>חוג</w:t>
      </w:r>
      <w:r>
        <w:rPr>
          <w:rtl w:val="true"/>
        </w:rPr>
        <w:t>'</w:t>
      </w:r>
      <w:r>
        <w:rPr>
          <w:rtl w:val="true"/>
        </w:rPr>
        <w:t>יראת</w:t>
      </w:r>
      <w:r>
        <w:rPr>
          <w:rtl w:val="true"/>
        </w:rPr>
        <w:t xml:space="preserve">, </w:t>
      </w:r>
      <w:r>
        <w:rPr>
          <w:rtl w:val="true"/>
        </w:rPr>
        <w:t xml:space="preserve">ועל רקע הגירושין התגלע </w:t>
      </w:r>
      <w:r>
        <w:rPr>
          <w:rtl w:val="true"/>
        </w:rPr>
        <w:t>סכסוך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 </w:t>
      </w:r>
      <w:r>
        <w:rPr>
          <w:rtl w:val="true"/>
        </w:rPr>
        <w:t xml:space="preserve">המשיבים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סאל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עוד מתואר כי סאלח הוא דודו של </w:t>
      </w:r>
      <w:r>
        <w:rPr>
          <w:rtl w:val="true"/>
        </w:rPr>
        <w:t>מחמוד</w:t>
      </w:r>
      <w:r>
        <w:rPr>
          <w:rtl w:val="true"/>
        </w:rPr>
        <w:t xml:space="preserve"> </w:t>
      </w:r>
      <w:r>
        <w:rPr>
          <w:rtl w:val="true"/>
        </w:rPr>
        <w:t>נסראללה</w:t>
      </w:r>
      <w:r>
        <w:rPr>
          <w:rtl w:val="true"/>
        </w:rPr>
        <w:t xml:space="preserve"> </w:t>
      </w:r>
      <w:r>
        <w:rPr>
          <w:rtl w:val="true"/>
        </w:rPr>
        <w:t>חוג</w:t>
      </w:r>
      <w:r>
        <w:rPr>
          <w:rtl w:val="true"/>
        </w:rPr>
        <w:t>'</w:t>
      </w:r>
      <w:r>
        <w:rPr>
          <w:rtl w:val="true"/>
        </w:rPr>
        <w:t>יראת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המנוח</w:t>
      </w:r>
      <w:r>
        <w:rPr>
          <w:rtl w:val="true"/>
        </w:rPr>
        <w:t xml:space="preserve"> –</w:t>
      </w:r>
      <w:r>
        <w:rPr>
          <w:rtl w:val="true"/>
        </w:rPr>
        <w:t xml:space="preserve"> </w:t>
      </w:r>
      <w:r>
        <w:rPr>
          <w:rtl w:val="true"/>
        </w:rPr>
        <w:t>סעיד</w:t>
      </w:r>
      <w:r>
        <w:rPr>
          <w:rtl w:val="true"/>
        </w:rPr>
        <w:t xml:space="preserve"> </w:t>
      </w:r>
      <w:r>
        <w:rPr>
          <w:rtl w:val="true"/>
        </w:rPr>
        <w:t>חוג</w:t>
      </w:r>
      <w:r>
        <w:rPr>
          <w:rtl w:val="true"/>
        </w:rPr>
        <w:t>'</w:t>
      </w:r>
      <w:r>
        <w:rPr>
          <w:rtl w:val="true"/>
        </w:rPr>
        <w:t>יראת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tl w:val="true"/>
        </w:rPr>
        <w:t>חברו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נסראללה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18.7.2019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חצות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עוסמאן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נסראללה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חוג</w:t>
      </w:r>
      <w:r>
        <w:rPr>
          <w:rtl w:val="true"/>
        </w:rPr>
        <w:t>'</w:t>
      </w:r>
      <w:r>
        <w:rPr>
          <w:rtl w:val="true"/>
        </w:rPr>
        <w:t>יראת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קאסם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מחמוד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המפגש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סאלי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,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</w:t>
      </w:r>
      <w:r>
        <w:rPr>
          <w:rtl w:val="true"/>
        </w:rPr>
        <w:t>-</w:t>
      </w:r>
      <w:r>
        <w:rPr>
          <w:rtl w:val="true"/>
        </w:rPr>
        <w:t>דודתה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סאלי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והתעמתה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שארע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שחסמו</w:t>
      </w:r>
      <w:r>
        <w:rPr>
          <w:rtl w:val="true"/>
        </w:rPr>
        <w:t xml:space="preserve">, </w:t>
      </w:r>
      <w:r>
        <w:rPr>
          <w:rtl w:val="true"/>
        </w:rPr>
        <w:t>לסברתו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סאלי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גלאס</w:t>
      </w:r>
      <w:r>
        <w:rPr>
          <w:rtl w:val="true"/>
        </w:rPr>
        <w:t xml:space="preserve">"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זעזע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tl w:val="true"/>
        </w:rPr>
        <w:t xml:space="preserve">, </w:t>
      </w:r>
      <w:r>
        <w:rPr>
          <w:rtl w:val="true"/>
        </w:rPr>
        <w:t>וכשיצא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הקסדה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למתואר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00:21</w:t>
      </w:r>
      <w:r>
        <w:rPr>
          <w:rtl w:val="true"/>
        </w:rPr>
        <w:t xml:space="preserve">, </w:t>
      </w:r>
      <w:r>
        <w:rPr>
          <w:rtl w:val="true"/>
        </w:rPr>
        <w:t>סעדה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סאלי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והתעמתה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הצטיידו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בחוסיין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חוג</w:t>
      </w:r>
      <w:r>
        <w:rPr>
          <w:rtl w:val="true"/>
        </w:rPr>
        <w:t>'</w:t>
      </w:r>
      <w:r>
        <w:rPr>
          <w:rtl w:val="true"/>
        </w:rPr>
        <w:t>יראת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סעדה</w:t>
      </w:r>
      <w:r>
        <w:rPr>
          <w:rtl w:val="true"/>
        </w:rPr>
        <w:t xml:space="preserve">, </w:t>
      </w:r>
      <w:r>
        <w:rPr>
          <w:rtl w:val="true"/>
        </w:rPr>
        <w:t>כשלצדו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עוסמאן</w:t>
      </w:r>
      <w:r>
        <w:rPr>
          <w:rtl w:val="true"/>
        </w:rPr>
        <w:t xml:space="preserve">. </w:t>
      </w:r>
      <w:r>
        <w:rPr>
          <w:rtl w:val="true"/>
        </w:rPr>
        <w:t>חוסיין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חוסיין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נסראללה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נסראללה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דולקים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טלפונית</w:t>
      </w:r>
      <w:r>
        <w:rPr>
          <w:rtl w:val="true"/>
        </w:rPr>
        <w:t xml:space="preserve">, </w:t>
      </w:r>
      <w:r>
        <w:rPr>
          <w:rtl w:val="true"/>
        </w:rPr>
        <w:t>חוסיין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נסראללה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ומחמוד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00:34</w:t>
      </w:r>
      <w:r>
        <w:rPr>
          <w:rtl w:val="true"/>
        </w:rPr>
        <w:t xml:space="preserve">,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המחצבה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בנסראללה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מותם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ובסמוך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00:37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ונסראללה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נסראללה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הסיעו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באמבולנס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האמור</w:t>
      </w:r>
      <w:r>
        <w:rPr>
          <w:rtl w:val="true"/>
        </w:rPr>
        <w:t xml:space="preserve">, </w:t>
      </w:r>
      <w:r>
        <w:rPr>
          <w:rtl w:val="true"/>
        </w:rPr>
        <w:t xml:space="preserve">למשיב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יוחסו עבירת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יסוד</w:t>
      </w:r>
      <w:r>
        <w:rPr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 xml:space="preserve">וסיפה לחוק </w:t>
      </w:r>
      <w:hyperlink r:id="rId21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למשיב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יוחסו עבירות של סיוע </w:t>
      </w:r>
      <w:r>
        <w:rPr>
          <w:rtl w:val="true"/>
        </w:rPr>
        <w:t>לרצח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לחבלה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hyperlink r:id="rId25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וסיפ</w:t>
      </w:r>
      <w:r>
        <w:rPr>
          <w:rtl w:val="true"/>
        </w:rPr>
        <w:t>ה לחוק</w:t>
      </w:r>
      <w:r>
        <w:rPr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המשיבים הורשעו על פי הודאתם בעבירות שיוחסו להם בכתב האישום המתוקן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במסגרת הסדר טיעון אשר לא כלל הסכמה לעניין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 xml:space="preserve">עמד על השינוי שהוחל ברפורמה בעבירות ההמתה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230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tl w:val="true"/>
        </w:rPr>
        <w:t xml:space="preserve">)) </w:t>
      </w:r>
      <w:r>
        <w:rPr>
          <w:rtl w:val="true"/>
        </w:rPr>
        <w:t>ביחס למעשה המתה אשר בוצע ביסוד נפשי של אדישות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תואר כי המחוקק </w:t>
      </w:r>
      <w:r>
        <w:rPr>
          <w:rtl w:val="true"/>
        </w:rPr>
        <w:t>"</w:t>
      </w:r>
      <w:r>
        <w:rPr>
          <w:rtl w:val="true"/>
        </w:rPr>
        <w:t>ראה לצמצם את הפער הנורמטיבי הערכי</w:t>
      </w:r>
      <w:r>
        <w:rPr>
          <w:rtl w:val="true"/>
        </w:rPr>
        <w:t xml:space="preserve">" </w:t>
      </w:r>
      <w:r>
        <w:rPr>
          <w:rtl w:val="true"/>
        </w:rPr>
        <w:t xml:space="preserve">בין רצח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tl w:val="true"/>
        </w:rPr>
        <w:t xml:space="preserve"> לבין רצח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ולפיכך נקבע כי העונש המרבי בגין עבירה זו הוא עונש של מאסר עולם</w:t>
      </w:r>
      <w:r>
        <w:rPr>
          <w:rtl w:val="true"/>
        </w:rPr>
        <w:t xml:space="preserve">. </w:t>
      </w: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 xml:space="preserve">צוין כי נדרשת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החמרה</w:t>
      </w:r>
      <w:r>
        <w:rPr>
          <w:rtl w:val="true"/>
        </w:rPr>
        <w:t xml:space="preserve"> בענישה ביחס למדיניות הענישה עובר לרפורמה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הודגש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פגע במעשיו במידה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בערך העליון של קדושת החיים ובערכים שעניינם זכותו של אדם לשלימות גופו ולחיות את חייו בשלווה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פגע במעשיו גם בסדר הציבורי ובשלטון החוק הנלווים לעבירות הנשק</w:t>
      </w:r>
      <w:r>
        <w:rPr>
          <w:rtl w:val="true"/>
        </w:rPr>
        <w:t xml:space="preserve">. </w:t>
      </w:r>
      <w:r>
        <w:rPr>
          <w:rtl w:val="true"/>
        </w:rPr>
        <w:t>אשר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ביחס למשיב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הוער כי </w:t>
      </w:r>
      <w:r>
        <w:rPr>
          <w:rtl w:val="true"/>
        </w:rPr>
        <w:t>"</w:t>
      </w:r>
      <w:r>
        <w:rPr>
          <w:rtl w:val="true"/>
        </w:rPr>
        <w:t>מעשה הירי בוצע לאחר תכנון והכנה אשר קדמה לו</w:t>
      </w:r>
      <w:r>
        <w:rPr>
          <w:rtl w:val="true"/>
        </w:rPr>
        <w:t xml:space="preserve">", </w:t>
      </w:r>
      <w:r>
        <w:rPr>
          <w:rtl w:val="true"/>
        </w:rPr>
        <w:t>וזאת כאשר המניע למעשיו הוא רצונו לנקום על כך שחסמו את רכבה של אחותו</w:t>
      </w:r>
      <w:r>
        <w:rPr>
          <w:rtl w:val="true"/>
        </w:rPr>
        <w:t xml:space="preserve">, </w:t>
      </w:r>
      <w:r>
        <w:rPr>
          <w:rtl w:val="true"/>
        </w:rPr>
        <w:t>במסגרת סכסוך משפחות</w:t>
      </w:r>
      <w:r>
        <w:rPr>
          <w:rtl w:val="true"/>
        </w:rPr>
        <w:t xml:space="preserve">. </w:t>
      </w:r>
      <w:r>
        <w:rPr>
          <w:rtl w:val="true"/>
        </w:rPr>
        <w:t xml:space="preserve">פורט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הבין היטב את פשר מעשיו</w:t>
      </w:r>
      <w:r>
        <w:rPr>
          <w:rtl w:val="true"/>
        </w:rPr>
        <w:t xml:space="preserve">, </w:t>
      </w:r>
      <w:r>
        <w:rPr>
          <w:rtl w:val="true"/>
        </w:rPr>
        <w:t>את הפסול בהם ואת הנזק אשר עלול להיגרם</w:t>
      </w:r>
      <w:r>
        <w:rPr>
          <w:rtl w:val="true"/>
        </w:rPr>
        <w:t xml:space="preserve">, </w:t>
      </w:r>
      <w:r>
        <w:rPr>
          <w:rtl w:val="true"/>
        </w:rPr>
        <w:t>אולם הגיב לכך בשוויון נפש ו</w:t>
      </w:r>
      <w:r>
        <w:rPr>
          <w:rtl w:val="true"/>
        </w:rPr>
        <w:t>"</w:t>
      </w:r>
      <w:r>
        <w:rPr>
          <w:rtl w:val="true"/>
        </w:rPr>
        <w:t>מתוך התנכרות לחיי אדם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העונש ההולם את מעשיו 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tl w:val="true"/>
        </w:rPr>
        <w:t>לנקום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מבוטלת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>: 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",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הירתמותו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עונשם של המשיבים 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התחשב לזכות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בכך שעונש מאסר ממושך יפגע בו באופן קשה</w:t>
      </w:r>
      <w:r>
        <w:rPr>
          <w:rtl w:val="true"/>
        </w:rPr>
        <w:t xml:space="preserve">, </w:t>
      </w:r>
      <w:r>
        <w:rPr>
          <w:rtl w:val="true"/>
        </w:rPr>
        <w:t>לנוכח נסיבות חייו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התייתמותו מאביו בצעירותו והעובדה שהוא גדל במצוקה כלכלית</w:t>
      </w:r>
      <w:r>
        <w:rPr>
          <w:rtl w:val="true"/>
        </w:rPr>
        <w:t xml:space="preserve">; </w:t>
      </w:r>
      <w:r>
        <w:rPr>
          <w:rtl w:val="true"/>
        </w:rPr>
        <w:t>לקיחת אחריות מצדו על מעשיו</w:t>
      </w:r>
      <w:r>
        <w:rPr>
          <w:rtl w:val="true"/>
        </w:rPr>
        <w:t xml:space="preserve">, </w:t>
      </w:r>
      <w:r>
        <w:rPr>
          <w:rtl w:val="true"/>
        </w:rPr>
        <w:t>הגם שבאופן חלקי בלבד</w:t>
      </w:r>
      <w:r>
        <w:rPr>
          <w:rtl w:val="true"/>
        </w:rPr>
        <w:t xml:space="preserve">; </w:t>
      </w:r>
      <w:r>
        <w:rPr>
          <w:rtl w:val="true"/>
        </w:rPr>
        <w:t>הודאתו במעשים והחיסכון בזמן שיפוטי כתוצאה מכך</w:t>
      </w:r>
      <w:r>
        <w:rPr>
          <w:rtl w:val="true"/>
        </w:rPr>
        <w:t xml:space="preserve">; </w:t>
      </w:r>
      <w:r>
        <w:rPr>
          <w:rtl w:val="true"/>
        </w:rPr>
        <w:t>והיעדר עבר פלילי לחובתו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בשקלול האמור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>שנתיים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עבירה מסוג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שיש בה יסוד של איום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שימוש בנשק או החזקתו שלא כחוק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ופיצוי בסך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למשפחת המנוח</w:t>
      </w:r>
      <w:r>
        <w:rPr>
          <w:rtl w:val="true"/>
        </w:rPr>
        <w:t xml:space="preserve">, </w:t>
      </w:r>
      <w:r>
        <w:rPr>
          <w:rtl w:val="true"/>
        </w:rPr>
        <w:t xml:space="preserve">ופיצוי בסך </w:t>
      </w:r>
      <w:r>
        <w:rPr/>
        <w:t>35,000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עבור נסראללה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בית המשפט המחוזי שקל לזכותו את הפגיעה הצפויה בו ובבני משפחתו כתוצאה ממאסר ממושך ואת הודאתו במעשים</w:t>
      </w:r>
      <w:r>
        <w:rPr>
          <w:rtl w:val="true"/>
        </w:rPr>
        <w:t xml:space="preserve">, </w:t>
      </w:r>
      <w:r>
        <w:rPr>
          <w:rtl w:val="true"/>
        </w:rPr>
        <w:t>החרטה על ביצועם והחיסכון בזמן שיפוטי בשל כך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 לחובתו עברו הפלילי המכביד</w:t>
      </w:r>
      <w:r>
        <w:rPr>
          <w:rtl w:val="true"/>
        </w:rPr>
        <w:t xml:space="preserve">, </w:t>
      </w:r>
      <w:r>
        <w:rPr>
          <w:rtl w:val="true"/>
        </w:rPr>
        <w:t xml:space="preserve">שכלל ריצוי עונש מאסר בפועל בגין עבירות של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ועבירות נשק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12480-04-16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נסראללה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עונשם של המשיבים מתאים למדיניות הענישה עובר לרפורמה ואינו מגשים את מדיניות ההחמרה הנלווית לעבירת הרצח באדישות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מדובר בנסיבות מובהקות של מקרה המצוי ברף העליון והחמור של עבירת הרצח באדישות לנוכח התכנון</w:t>
      </w:r>
      <w:r>
        <w:rPr>
          <w:rtl w:val="true"/>
        </w:rPr>
        <w:t xml:space="preserve">, </w:t>
      </w:r>
      <w:r>
        <w:rPr>
          <w:rtl w:val="true"/>
        </w:rPr>
        <w:t>השימוש בנשק חם והמניע למעשים</w:t>
      </w:r>
      <w:r>
        <w:rPr>
          <w:rtl w:val="true"/>
        </w:rPr>
        <w:t xml:space="preserve">, </w:t>
      </w:r>
      <w:r>
        <w:rPr>
          <w:rtl w:val="true"/>
        </w:rPr>
        <w:t>ועל כן יש להחמיר בעונשם של המשיבים</w:t>
      </w:r>
      <w:r>
        <w:rPr>
          <w:rtl w:val="true"/>
        </w:rPr>
        <w:t xml:space="preserve">. </w:t>
      </w:r>
      <w:r>
        <w:rPr>
          <w:rtl w:val="true"/>
        </w:rPr>
        <w:t>עוד נטען כי שיקולי הרתעת הרבים אף הם מצדיקים החמרה בעונשם לנוכח התופעה הקשה של פתרון סכסוכים באמצעות שימוש בנשק חם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ביחס למשיב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צוין כי פעל מתוך תפיסת עולם </w:t>
      </w:r>
      <w:r>
        <w:rPr>
          <w:rtl w:val="true"/>
        </w:rPr>
        <w:t>"</w:t>
      </w:r>
      <w:r>
        <w:rPr>
          <w:rtl w:val="true"/>
        </w:rPr>
        <w:t>שאין להשלים עמה</w:t>
      </w:r>
      <w:r>
        <w:rPr>
          <w:rtl w:val="true"/>
        </w:rPr>
        <w:t xml:space="preserve">", </w:t>
      </w:r>
      <w:r>
        <w:rPr>
          <w:rtl w:val="true"/>
        </w:rPr>
        <w:t>שלפיה מוטל עליו לנקום את הפגיעה באחותו</w:t>
      </w:r>
      <w:r>
        <w:rPr>
          <w:rtl w:val="true"/>
        </w:rPr>
        <w:t xml:space="preserve">, </w:t>
      </w:r>
      <w:r>
        <w:rPr>
          <w:rtl w:val="true"/>
        </w:rPr>
        <w:t>אשר ספק אם בכלל התרחשה במכוון ומכל מקום מדובר לכל היותר בפגיעה שנעשתה על דרך חסימת כביש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תכנן את מעשיו</w:t>
      </w:r>
      <w:r>
        <w:rPr>
          <w:rtl w:val="true"/>
        </w:rPr>
        <w:t xml:space="preserve">, </w:t>
      </w:r>
      <w:r>
        <w:rPr>
          <w:rtl w:val="true"/>
        </w:rPr>
        <w:t xml:space="preserve">חתר למציאת </w:t>
      </w:r>
      <w:r>
        <w:rPr>
          <w:rtl w:val="true"/>
        </w:rPr>
        <w:t>"</w:t>
      </w:r>
      <w:r>
        <w:rPr>
          <w:rtl w:val="true"/>
        </w:rPr>
        <w:t>אשמים</w:t>
      </w:r>
      <w:r>
        <w:rPr>
          <w:rtl w:val="true"/>
        </w:rPr>
        <w:t xml:space="preserve">", </w:t>
      </w:r>
      <w:r>
        <w:rPr>
          <w:rtl w:val="true"/>
        </w:rPr>
        <w:t>הסתובב עם הנשק הבלתי חוקי</w:t>
      </w:r>
      <w:r>
        <w:rPr>
          <w:rtl w:val="true"/>
        </w:rPr>
        <w:t xml:space="preserve">, </w:t>
      </w:r>
      <w:r>
        <w:rPr>
          <w:rtl w:val="true"/>
        </w:rPr>
        <w:t>עד הירי לעבר הרכב בו שהו המנוח ונסראללה תוך אדישות מוחלטת לתוצאה האפשרית של גרימת מותם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היה על בית המשפט להעמיד את הרף של התחתון של מתחם העונש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לכל הפחות</w:t>
      </w:r>
      <w:r>
        <w:rPr>
          <w:rtl w:val="true"/>
        </w:rPr>
        <w:t xml:space="preserve">. </w:t>
      </w:r>
      <w:r>
        <w:rPr>
          <w:rtl w:val="true"/>
        </w:rPr>
        <w:t>אשר לקביעת העונש בגדרי המתחם</w:t>
      </w:r>
      <w:r>
        <w:rPr>
          <w:rtl w:val="true"/>
        </w:rPr>
        <w:t xml:space="preserve">, </w:t>
      </w:r>
      <w:r>
        <w:rPr>
          <w:rtl w:val="true"/>
        </w:rPr>
        <w:t xml:space="preserve">הובהר כי לא די בנסיבותיו האישיות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כדי להצדיק את העונש שנגזר עליו</w:t>
      </w:r>
      <w:r>
        <w:rPr>
          <w:rtl w:val="true"/>
        </w:rPr>
        <w:t xml:space="preserve">, </w:t>
      </w:r>
      <w:r>
        <w:rPr>
          <w:rtl w:val="true"/>
        </w:rPr>
        <w:t>וזאת לנוכח חומרת מעשיו ובייחוד בשל התרשמות שירות המבחן כי אינו מתחרט על 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החיפושים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בחסימת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ובעבירות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לעמדת המשיבים</w:t>
      </w:r>
      <w:r>
        <w:rPr>
          <w:rtl w:val="true"/>
        </w:rPr>
        <w:t xml:space="preserve">, </w:t>
      </w:r>
      <w:r>
        <w:rPr>
          <w:rtl w:val="true"/>
        </w:rPr>
        <w:t>העונש שנגזר עליהם מחמיר עימם יתר על המידה</w:t>
      </w:r>
      <w:r>
        <w:rPr>
          <w:rtl w:val="true"/>
        </w:rPr>
        <w:t xml:space="preserve">. </w:t>
      </w:r>
      <w:r>
        <w:rPr>
          <w:rtl w:val="true"/>
        </w:rPr>
        <w:t xml:space="preserve">לטענת 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שגה כאשר לא בחן את העונש ההולם ביחס למדיניות הענישה בעבירת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קודם הרפורמה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 מאחר שבמועד גזר הדין טרם עוצבה מדיניות הענישה החדשה בגין עבירת הרצח באדישות</w:t>
      </w:r>
      <w:r>
        <w:rPr>
          <w:rtl w:val="true"/>
        </w:rPr>
        <w:t xml:space="preserve">, </w:t>
      </w:r>
      <w:r>
        <w:rPr>
          <w:rtl w:val="true"/>
        </w:rPr>
        <w:t>הן בשים לב למהות תיקונה של עבירת ההמתה באדישות מהריגה לרצח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האחורית</w:t>
      </w:r>
      <w:r>
        <w:rPr>
          <w:rtl w:val="true"/>
        </w:rPr>
        <w:t xml:space="preserve">" </w:t>
      </w:r>
      <w:r>
        <w:rPr>
          <w:rtl w:val="true"/>
        </w:rPr>
        <w:t>והמשיבים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ייטה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נאצר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23.6.2022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30.11.2022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shd w:fill="FFFFFF" w:val="clear"/>
        </w:rPr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השיפוטי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לדידי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ביתר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שאת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הבסיסית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מאחר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שעבירה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נושאת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עמה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מרבי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עולם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מכאן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שטווח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בגדרה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עלול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בהעדר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התוויית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סדורה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רחב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רצוי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" </w:t>
      </w:r>
      <w:r>
        <w:rPr>
          <w:rFonts w:cs="Century" w:ascii="Century" w:hAnsi="Century"/>
          <w:shd w:fill="FFFFFF" w:val="clear"/>
          <w:rtl w:val="true"/>
        </w:rPr>
        <w:t>(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shd w:fill="FFFFFF" w:val="clear"/>
          </w:rPr>
          <w:t>1442/22</w:t>
        </w:r>
      </w:hyperlink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ניקולקין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פסקה</w:t>
      </w:r>
      <w:r>
        <w:rPr>
          <w:rFonts w:ascii="Century" w:hAnsi="Century" w:cs="Century"/>
          <w:shd w:fill="FFFFFF" w:val="clear"/>
          <w:rtl w:val="true"/>
        </w:rPr>
        <w:t xml:space="preserve"> </w:t>
      </w:r>
      <w:r>
        <w:rPr>
          <w:rFonts w:cs="Century" w:ascii="Century" w:hAnsi="Century"/>
          <w:shd w:fill="FFFFFF" w:val="clear"/>
        </w:rPr>
        <w:t>14</w:t>
      </w:r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shd w:fill="FFFFFF" w:val="clear"/>
          <w:rtl w:val="true"/>
        </w:rPr>
        <w:t xml:space="preserve">] </w:t>
      </w:r>
      <w:r>
        <w:rPr>
          <w:rFonts w:cs="Century" w:ascii="Century" w:hAnsi="Century"/>
          <w:shd w:fill="FFFFFF" w:val="clear"/>
          <w:rtl w:val="true"/>
        </w:rPr>
        <w:t>(</w:t>
      </w:r>
      <w:r>
        <w:rPr>
          <w:rFonts w:cs="Century" w:ascii="Century" w:hAnsi="Century"/>
          <w:shd w:fill="FFFFFF" w:val="clear"/>
        </w:rPr>
        <w:t>28.</w:t>
      </w:r>
      <w:r>
        <w:rPr>
          <w:rFonts w:cs="Century" w:ascii="Century" w:hAnsi="Century"/>
          <w:shd w:fill="FFFFFF" w:val="clear"/>
        </w:rPr>
        <w:t>5</w:t>
      </w:r>
      <w:r>
        <w:rPr>
          <w:rFonts w:cs="Century" w:ascii="Century" w:hAnsi="Century"/>
          <w:shd w:fill="FFFFFF" w:val="clear"/>
        </w:rPr>
        <w:t>.2023</w:t>
      </w:r>
      <w:r>
        <w:rPr>
          <w:rFonts w:cs="Century" w:ascii="Century" w:hAnsi="Century"/>
          <w:shd w:fill="FFFFFF" w:val="clear"/>
          <w:rtl w:val="true"/>
        </w:rPr>
        <w:t>))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shd w:fill="FFFFFF" w:val="clear"/>
        </w:rPr>
      </w:pP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שארחיב כעת</w:t>
      </w:r>
      <w:r>
        <w:rPr>
          <w:rtl w:val="true"/>
        </w:rPr>
        <w:t xml:space="preserve">, </w:t>
      </w:r>
      <w:r>
        <w:rPr>
          <w:rtl w:val="true"/>
        </w:rPr>
        <w:t xml:space="preserve">המקרה שלפנינו הוא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מהחמורים</w:t>
      </w:r>
      <w:r>
        <w:rPr>
          <w:rtl w:val="true"/>
        </w:rPr>
        <w:t xml:space="preserve"> שהובאו לפנינו של רצח באדישות</w:t>
      </w:r>
      <w:r>
        <w:rPr>
          <w:rtl w:val="true"/>
        </w:rPr>
        <w:t xml:space="preserve">, </w:t>
      </w:r>
      <w:r>
        <w:rPr>
          <w:rtl w:val="true"/>
        </w:rPr>
        <w:t xml:space="preserve">ועם זאת העונש שנגזר על המשיבים הוא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מהקלים</w:t>
      </w:r>
      <w:r>
        <w:rPr>
          <w:rtl w:val="true"/>
        </w:rPr>
        <w:t xml:space="preserve">. </w:t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 xml:space="preserve">מקרה זה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 xml:space="preserve">אלו </w:t>
      </w:r>
      <w:r>
        <w:rPr>
          <w:rtl w:val="true"/>
        </w:rPr>
        <w:t>המצדיקים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לחברי</w:t>
      </w:r>
      <w:r>
        <w:rPr>
          <w:rtl w:val="true"/>
        </w:rPr>
        <w:t xml:space="preserve"> </w:t>
      </w:r>
      <w:r>
        <w:rPr>
          <w:rtl w:val="true"/>
        </w:rPr>
        <w:t>ולחבר</w:t>
      </w:r>
      <w:r>
        <w:rPr>
          <w:rtl w:val="true"/>
        </w:rPr>
        <w:t>ת</w:t>
      </w:r>
      <w:r>
        <w:rPr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 xml:space="preserve">המשיבים </w:t>
      </w:r>
      <w:r>
        <w:rPr>
          <w:rtl w:val="true"/>
        </w:rPr>
        <w:t>ונקבל</w:t>
      </w:r>
      <w:r>
        <w:rPr>
          <w:rtl w:val="true"/>
        </w:rPr>
        <w:t xml:space="preserve"> </w:t>
      </w:r>
      <w:r>
        <w:rPr>
          <w:rtl w:val="true"/>
        </w:rPr>
        <w:t xml:space="preserve">באופן חלקי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 xml:space="preserve">באופן שעונשו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יוחמר</w:t>
      </w:r>
      <w:r>
        <w:rPr>
          <w:rtl w:val="true"/>
        </w:rPr>
        <w:t xml:space="preserve">, </w:t>
      </w:r>
      <w:r>
        <w:rPr>
          <w:rtl w:val="true"/>
        </w:rPr>
        <w:t xml:space="preserve">ואילו עונשו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יוותר על כנו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מבין השינויים המשמעותיים שחוללה הרפורמה בעבירות ההמתה הוא מיקומו ב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של מעשה המתה אשר נעשה ביסוד נפשי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אדישות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באדישות</w:t>
      </w:r>
      <w:r>
        <w:rPr>
          <w:rtl w:val="true"/>
        </w:rPr>
        <w:t xml:space="preserve">). </w:t>
      </w:r>
      <w:r>
        <w:rPr>
          <w:rtl w:val="true"/>
        </w:rPr>
        <w:t>בעוד שעובר לרפורמה שכנו מקרים אלו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תחת 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ההריגה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קודם הרפורמה</w:t>
      </w:r>
      <w:r>
        <w:rPr>
          <w:rtl w:val="true"/>
        </w:rPr>
        <w:t xml:space="preserve">), </w:t>
      </w:r>
      <w:r>
        <w:rPr>
          <w:rtl w:val="true"/>
        </w:rPr>
        <w:t xml:space="preserve">אשר העונש המרבי בצידה היה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7.6.2023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 xml:space="preserve">עתה חקוקים מקרים אלו תחת 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 </w:t>
      </w:r>
      <w:r>
        <w:rPr>
          <w:rtl w:val="true"/>
        </w:rPr>
        <w:t xml:space="preserve">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לצד מעשה המתה ביסוד נפשי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יודגש כי בכך ביקש המחוקק לבטא הן מגמת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החמרה</w:t>
      </w:r>
      <w:r>
        <w:rPr>
          <w:rtl w:val="true"/>
        </w:rPr>
        <w:t xml:space="preserve"> ערכית</w:t>
      </w:r>
      <w:r>
        <w:rPr>
          <w:rtl w:val="true"/>
        </w:rPr>
        <w:t>-</w:t>
      </w:r>
      <w:r>
        <w:rPr>
          <w:rtl w:val="true"/>
        </w:rPr>
        <w:t xml:space="preserve">נורמטיבית המגולמת בתיוגו של הממית האדיש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כרוצח</w:t>
      </w:r>
      <w:r>
        <w:rPr>
          <w:rtl w:val="true"/>
        </w:rPr>
        <w:t xml:space="preserve">; </w:t>
      </w:r>
      <w:r>
        <w:rPr>
          <w:rtl w:val="true"/>
        </w:rPr>
        <w:t xml:space="preserve">הן מגמת החמרה בענישה כאשר העונש המרבי בגין מעשה המתה באדישות הוא 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 xml:space="preserve">המחוקק פסע צעד נוסף ביחס לממית האדיש בכך שקבע כי מעשיו אף יכולים לעלות כדי עבירת רצח בנסיבות מחמירות </w:t>
      </w:r>
      <w:r>
        <w:rPr>
          <w:rtl w:val="true"/>
        </w:rPr>
        <w:t>(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 xml:space="preserve">אשר העונש בצידה הוא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סילברה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19.2.2023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האדיש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החפצי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בהתגשמות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כריכתן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האדיש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והמזלזל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תתרחש</w:t>
      </w:r>
      <w:r>
        <w:rPr>
          <w:rtl w:val="true"/>
        </w:rPr>
        <w:t>"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20.11.2022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גריפאת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במרוצת הזמן</w:t>
      </w:r>
      <w:r>
        <w:rPr>
          <w:rtl w:val="true"/>
        </w:rPr>
        <w:t xml:space="preserve">, </w:t>
      </w:r>
      <w:r>
        <w:rPr>
          <w:rtl w:val="true"/>
        </w:rPr>
        <w:t xml:space="preserve">הלכה והתעצבה ממקרה למקרה מדיניות הענישה הרצויה והנוהגת בעבירת רצח באדישות </w:t>
      </w:r>
      <w:r>
        <w:rPr>
          <w:rtl w:val="true"/>
        </w:rPr>
        <w:t>(</w:t>
      </w:r>
      <w:r>
        <w:rPr>
          <w:rtl w:val="true"/>
        </w:rPr>
        <w:t>ראו פסקי דיני ב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9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</w:t>
      </w:r>
      <w:r>
        <w:rPr/>
        <w:t>.12.2022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אנאנטאפאק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</w:t>
      </w:r>
      <w:r>
        <w:rPr/>
        <w:t>.</w:t>
      </w:r>
      <w:r>
        <w:rPr/>
        <w:t>7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אנאנטאפאק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בפסקי הדין אשר ניתנו בבית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הוסכם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פעם אחר פעם</w:t>
      </w:r>
      <w:r>
        <w:rPr>
          <w:rtl w:val="true"/>
        </w:rPr>
        <w:t xml:space="preserve">, </w:t>
      </w:r>
      <w:r>
        <w:rPr>
          <w:rtl w:val="true"/>
        </w:rPr>
        <w:t>על כלל שופטי ההרכבים השונים</w:t>
      </w:r>
      <w:r>
        <w:rPr>
          <w:rtl w:val="true"/>
        </w:rPr>
        <w:t xml:space="preserve">, </w:t>
      </w:r>
      <w:r>
        <w:rPr>
          <w:rtl w:val="true"/>
        </w:rPr>
        <w:t xml:space="preserve">כי הרפורמה בעבירות ההמתה מכתיבה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נורמטיבית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ועונשית</w:t>
      </w:r>
      <w:r>
        <w:rPr>
          <w:rtl w:val="true"/>
        </w:rPr>
        <w:t xml:space="preserve"> ביחס למעשי המתה באדישות</w:t>
      </w:r>
      <w:r>
        <w:rPr>
          <w:rtl w:val="true"/>
        </w:rPr>
        <w:t xml:space="preserve">. </w:t>
      </w:r>
      <w:r>
        <w:rPr>
          <w:rtl w:val="true"/>
        </w:rPr>
        <w:t>מגמה זו עוברת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כחוט השני החל מדו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הצוות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יסודות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וחשבון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דרך דברי ההסבר לחוק </w:t>
      </w:r>
      <w:r>
        <w:rPr>
          <w:rtl w:val="true"/>
        </w:rPr>
        <w:t>(</w:t>
      </w:r>
      <w:r>
        <w:rPr>
          <w:rtl w:val="true"/>
        </w:rPr>
        <w:t>הצעת</w:t>
      </w:r>
      <w:r>
        <w:rPr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166</w:t>
      </w:r>
      <w:r>
        <w:rPr>
          <w:rtl w:val="true"/>
        </w:rPr>
        <w:t xml:space="preserve">) </w:t>
      </w:r>
      <w:r>
        <w:rPr>
          <w:rtl w:val="true"/>
        </w:rPr>
        <w:t>והדיונים בוועדת החוקה</w:t>
      </w:r>
      <w:r>
        <w:rPr>
          <w:rtl w:val="true"/>
        </w:rPr>
        <w:t xml:space="preserve">, </w:t>
      </w:r>
      <w:r>
        <w:rPr>
          <w:rtl w:val="true"/>
        </w:rPr>
        <w:t>חוק ומשפט וכלה בנוסח החוק הסופי ופרשנות בית המשפט לו</w:t>
      </w:r>
      <w:r>
        <w:rPr>
          <w:rtl w:val="true"/>
        </w:rPr>
        <w:t xml:space="preserve">. </w:t>
      </w:r>
      <w:r>
        <w:rPr>
          <w:rtl w:val="true"/>
        </w:rPr>
        <w:t xml:space="preserve">לכך יש לתת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גם במקרה 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בעת שניתן גזר דינו של בית המשפט המחוזי טרם התגבשה מדיניות ענישה בעבירת הרצח באדישות</w:t>
      </w:r>
      <w:r>
        <w:rPr>
          <w:rtl w:val="true"/>
        </w:rPr>
        <w:t xml:space="preserve">, </w:t>
      </w:r>
      <w:r>
        <w:rPr>
          <w:rtl w:val="true"/>
        </w:rPr>
        <w:t>בהיותה בראשית ימיה</w:t>
      </w:r>
      <w:r>
        <w:rPr>
          <w:rtl w:val="true"/>
        </w:rPr>
        <w:t xml:space="preserve">. </w:t>
      </w:r>
      <w:r>
        <w:rPr>
          <w:rtl w:val="true"/>
        </w:rPr>
        <w:t>בעוד שעובדה זו מצדיקה החמרה מדודה בעונש</w:t>
      </w:r>
      <w:r>
        <w:rPr>
          <w:rtl w:val="true"/>
        </w:rPr>
        <w:t xml:space="preserve">, </w:t>
      </w:r>
      <w:r>
        <w:rPr>
          <w:rtl w:val="true"/>
        </w:rPr>
        <w:t>גם בהתחשב בכך שערכאת הערעור אינה ממצה את הדין</w:t>
      </w:r>
      <w:r>
        <w:rPr>
          <w:rtl w:val="true"/>
        </w:rPr>
        <w:t xml:space="preserve">, </w:t>
      </w:r>
      <w:r>
        <w:rPr>
          <w:rtl w:val="true"/>
        </w:rPr>
        <w:t>אין בכך כדי להצדיק גזירת עונש לפי מדיניות הענישה שהייתה נהוגה בגין עבירת ההריגה</w:t>
      </w:r>
      <w:r>
        <w:rPr>
          <w:rtl w:val="true"/>
        </w:rPr>
        <w:t xml:space="preserve">. </w:t>
      </w:r>
      <w:r>
        <w:rPr>
          <w:rtl w:val="true"/>
        </w:rPr>
        <w:t>משעה</w:t>
      </w:r>
      <w:r>
        <w:rPr>
          <w:rtl w:val="true"/>
        </w:rPr>
        <w:t xml:space="preserve"> </w:t>
      </w:r>
      <w:r>
        <w:rPr>
          <w:rtl w:val="true"/>
        </w:rPr>
        <w:t>שבמצוות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 xml:space="preserve">שונה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אמות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 </w:t>
      </w:r>
      <w:r>
        <w:rPr>
          <w:rtl w:val="true"/>
        </w:rPr>
        <w:t>לאורם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יפעל</w:t>
      </w:r>
      <w:r>
        <w:rPr>
          <w:rtl w:val="true"/>
        </w:rPr>
        <w:t xml:space="preserve">, </w:t>
      </w:r>
      <w:r>
        <w:rPr>
          <w:rtl w:val="true"/>
        </w:rPr>
        <w:t>גם אילו בכך עלול להתגלע פער בין עונשים הנגזרים בגין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התרחשו</w:t>
      </w:r>
      <w:r>
        <w:rPr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אלקאדי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 בכלל וכך בפרט</w:t>
      </w:r>
      <w:r>
        <w:rPr>
          <w:rtl w:val="true"/>
        </w:rPr>
        <w:t xml:space="preserve">, </w:t>
      </w:r>
      <w:r>
        <w:rPr>
          <w:rtl w:val="true"/>
        </w:rPr>
        <w:t>ביחס לענישה הרצויה בעבירת הרצח באדישות לנוכח מגמת ההחמרה הערכית והעונשית שמבטאת הרפורמה בעבירת ההמתה ביחס לעבירה זו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נכון עשה בית המשפט המחוזי אשר שיווה לנגדו מגמה זו עת ניגש לגזור את דינם של המשיבים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מסכת</w:t>
      </w:r>
      <w:r>
        <w:rPr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 </w:t>
      </w:r>
      <w:r>
        <w:rPr>
          <w:rtl w:val="true"/>
        </w:rPr>
        <w:t>המתוארת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חושפת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ומחדדת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אשמת</w:t>
      </w:r>
      <w:r>
        <w:rPr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יסודו</w:t>
      </w:r>
      <w:r>
        <w:rPr>
          <w:rtl w:val="true"/>
        </w:rPr>
        <w:t xml:space="preserve"> </w:t>
      </w:r>
      <w:r>
        <w:rPr>
          <w:rtl w:val="true"/>
        </w:rPr>
        <w:t>סברה</w:t>
      </w:r>
      <w:r>
        <w:rPr>
          <w:rtl w:val="true"/>
        </w:rPr>
        <w:t xml:space="preserve"> </w:t>
      </w:r>
      <w:r>
        <w:rPr>
          <w:rtl w:val="true"/>
        </w:rPr>
        <w:t>סאלי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דרכה</w:t>
      </w:r>
      <w:r>
        <w:rPr>
          <w:rtl w:val="true"/>
        </w:rPr>
        <w:t xml:space="preserve"> </w:t>
      </w:r>
      <w:r>
        <w:rPr>
          <w:rtl w:val="true"/>
        </w:rPr>
        <w:t xml:space="preserve">בכביש </w:t>
      </w:r>
      <w:r>
        <w:rPr>
          <w:rtl w:val="true"/>
        </w:rPr>
        <w:t>נחסמה</w:t>
      </w:r>
      <w:r>
        <w:rPr>
          <w:rtl w:val="true"/>
        </w:rPr>
        <w:t>. "</w:t>
      </w:r>
      <w:r>
        <w:rPr>
          <w:rtl w:val="true"/>
        </w:rPr>
        <w:t>פגיעה</w:t>
      </w:r>
      <w:r>
        <w:rPr>
          <w:rtl w:val="true"/>
        </w:rPr>
        <w:t xml:space="preserve">" </w:t>
      </w:r>
      <w:r>
        <w:rPr>
          <w:rtl w:val="true"/>
        </w:rPr>
        <w:t>פעוטה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התרחשה</w:t>
      </w:r>
      <w:r>
        <w:rPr>
          <w:rtl w:val="true"/>
        </w:rPr>
        <w:t xml:space="preserve"> </w:t>
      </w:r>
      <w:r>
        <w:rPr>
          <w:rtl w:val="true"/>
        </w:rPr>
        <w:t>במכוון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הספיקה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ולנקום</w:t>
      </w:r>
      <w:r>
        <w:rPr>
          <w:rtl w:val="true"/>
        </w:rPr>
        <w:t xml:space="preserve">. </w:t>
      </w:r>
      <w:r>
        <w:rPr>
          <w:rtl w:val="true"/>
        </w:rPr>
        <w:t>לצורך הגשמ</w:t>
      </w:r>
      <w:r>
        <w:rPr>
          <w:rFonts w:ascii="Century" w:hAnsi="Century" w:cs="Century"/>
          <w:sz w:val="22"/>
          <w:sz w:val="22"/>
          <w:rtl w:val="true"/>
        </w:rPr>
        <w:t xml:space="preserve">ת </w:t>
      </w:r>
      <w:r>
        <w:rPr>
          <w:rFonts w:ascii="Century" w:hAnsi="Century" w:cs="Century"/>
          <w:sz w:val="22"/>
          <w:sz w:val="22"/>
          <w:rtl w:val="true"/>
        </w:rPr>
        <w:t>התכנית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האלימה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המשיב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סיפק עבורו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מאולתר</w:t>
      </w:r>
      <w:r>
        <w:rPr>
          <w:rtl w:val="true"/>
        </w:rPr>
        <w:t xml:space="preserve"> אשר בכוחו להמית אדם</w:t>
      </w:r>
      <w:r>
        <w:rPr>
          <w:rtl w:val="true"/>
        </w:rPr>
        <w:t xml:space="preserve">, </w:t>
      </w:r>
      <w:r>
        <w:rPr>
          <w:rtl w:val="true"/>
        </w:rPr>
        <w:t xml:space="preserve">והם יצאו יחדיו </w:t>
      </w:r>
      <w:r>
        <w:rPr>
          <w:rtl w:val="true"/>
        </w:rPr>
        <w:t>–</w:t>
      </w:r>
      <w:r>
        <w:rPr>
          <w:rtl w:val="true"/>
        </w:rPr>
        <w:t xml:space="preserve"> לחפש </w:t>
      </w:r>
      <w:r>
        <w:rPr>
          <w:rFonts w:ascii="Century" w:hAnsi="Century" w:cs="Century"/>
          <w:sz w:val="22"/>
          <w:sz w:val="22"/>
          <w:rtl w:val="true"/>
        </w:rPr>
        <w:t>נקמה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המשיבים</w:t>
      </w:r>
      <w:r>
        <w:rPr>
          <w:rtl w:val="true"/>
        </w:rPr>
        <w:t xml:space="preserve"> </w:t>
      </w:r>
      <w:r>
        <w:rPr>
          <w:rtl w:val="true"/>
        </w:rPr>
        <w:t xml:space="preserve">הגיעו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ביודעם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נחסמה</w:t>
      </w:r>
      <w:r>
        <w:rPr>
          <w:rtl w:val="true"/>
        </w:rPr>
        <w:t xml:space="preserve"> </w:t>
      </w:r>
      <w:r>
        <w:rPr>
          <w:rtl w:val="true"/>
        </w:rPr>
        <w:t>דרכה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סאלי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עתידים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להיפרע</w:t>
      </w:r>
      <w:r>
        <w:rPr>
          <w:rtl w:val="true"/>
        </w:rPr>
        <w:t xml:space="preserve"> </w:t>
      </w:r>
      <w:r>
        <w:rPr>
          <w:rtl w:val="true"/>
        </w:rPr>
        <w:t>מהמעורבים</w:t>
      </w:r>
      <w:r>
        <w:rPr>
          <w:rtl w:val="true"/>
        </w:rPr>
        <w:t xml:space="preserve">. </w:t>
      </w:r>
      <w:r>
        <w:rPr>
          <w:rtl w:val="true"/>
        </w:rPr>
        <w:t>משנוכחו</w:t>
      </w:r>
      <w:r>
        <w:rPr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אמרו</w:t>
      </w:r>
      <w:r>
        <w:rPr>
          <w:rtl w:val="true"/>
        </w:rPr>
        <w:t xml:space="preserve"> </w:t>
      </w:r>
      <w:r>
        <w:rPr>
          <w:rtl w:val="true"/>
        </w:rPr>
        <w:t>נואש</w:t>
      </w:r>
      <w:r>
        <w:rPr>
          <w:rtl w:val="true"/>
        </w:rPr>
        <w:t xml:space="preserve"> </w:t>
      </w:r>
      <w:r>
        <w:rPr>
          <w:rtl w:val="true"/>
        </w:rPr>
        <w:t>וח</w:t>
      </w:r>
      <w:r>
        <w:rPr>
          <w:rtl w:val="true"/>
        </w:rPr>
        <w:t>ל</w:t>
      </w:r>
      <w:r>
        <w:rPr>
          <w:rtl w:val="true"/>
        </w:rPr>
        <w:t>ף</w:t>
      </w:r>
      <w:r>
        <w:rPr>
          <w:rtl w:val="true"/>
        </w:rPr>
        <w:t xml:space="preserve"> </w:t>
      </w:r>
      <w:r>
        <w:rPr>
          <w:rtl w:val="true"/>
        </w:rPr>
        <w:t>נטישת</w:t>
      </w:r>
      <w:r>
        <w:rPr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 </w:t>
      </w:r>
      <w:r>
        <w:rPr>
          <w:rtl w:val="true"/>
        </w:rPr>
        <w:t>והרגעת</w:t>
      </w:r>
      <w:r>
        <w:rPr>
          <w:rtl w:val="true"/>
        </w:rPr>
        <w:t xml:space="preserve"> </w:t>
      </w:r>
      <w:r>
        <w:rPr>
          <w:rtl w:val="true"/>
        </w:rPr>
        <w:t>הרוחות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tl w:val="true"/>
        </w:rPr>
        <w:t xml:space="preserve"> </w:t>
      </w:r>
      <w:r>
        <w:rPr>
          <w:rtl w:val="true"/>
        </w:rPr>
        <w:t>לתור</w:t>
      </w:r>
      <w:r>
        <w:rPr>
          <w:rtl w:val="true"/>
        </w:rPr>
        <w:t xml:space="preserve"> </w:t>
      </w:r>
      <w:r>
        <w:rPr>
          <w:rtl w:val="true"/>
        </w:rPr>
        <w:t>ברחבי</w:t>
      </w:r>
      <w:r>
        <w:rPr>
          <w:rtl w:val="true"/>
        </w:rPr>
        <w:t xml:space="preserve"> </w:t>
      </w:r>
      <w:r>
        <w:rPr>
          <w:rtl w:val="true"/>
        </w:rPr>
        <w:t>שפרעם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נסראללה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tl w:val="true"/>
        </w:rPr>
        <w:t xml:space="preserve"> </w:t>
      </w:r>
      <w:r>
        <w:rPr>
          <w:rtl w:val="true"/>
        </w:rPr>
        <w:t>ומחמוד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 </w:t>
      </w:r>
      <w:r>
        <w:rPr>
          <w:rtl w:val="true"/>
        </w:rPr>
        <w:t>פעמיהם</w:t>
      </w:r>
      <w:r>
        <w:rPr>
          <w:rtl w:val="true"/>
        </w:rPr>
        <w:t xml:space="preserve"> </w:t>
      </w:r>
      <w:r>
        <w:rPr>
          <w:rtl w:val="true"/>
        </w:rPr>
        <w:t>לשכונת</w:t>
      </w:r>
      <w:r>
        <w:rPr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 –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ולפגוע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משהבחינו</w:t>
      </w:r>
      <w:r>
        <w:rPr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 </w:t>
      </w:r>
      <w:r>
        <w:rPr>
          <w:rtl w:val="true"/>
        </w:rPr>
        <w:t>ובנסראללה</w:t>
      </w:r>
      <w:r>
        <w:rPr>
          <w:rtl w:val="true"/>
        </w:rPr>
        <w:t xml:space="preserve"> </w:t>
      </w:r>
      <w:r>
        <w:rPr>
          <w:rtl w:val="true"/>
        </w:rPr>
        <w:t>ישובים</w:t>
      </w:r>
      <w:r>
        <w:rPr>
          <w:rtl w:val="true"/>
        </w:rPr>
        <w:t xml:space="preserve"> </w:t>
      </w:r>
      <w:r>
        <w:rPr>
          <w:rtl w:val="true"/>
        </w:rPr>
        <w:t>ברכבם</w:t>
      </w:r>
      <w:r>
        <w:rPr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מותם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שהמשיב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איבטח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מנסיבות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– </w:t>
      </w:r>
      <w:r>
        <w:rPr>
          <w:rtl w:val="true"/>
        </w:rPr>
        <w:t>התכנון</w:t>
      </w:r>
      <w:r>
        <w:rPr>
          <w:rtl w:val="true"/>
        </w:rPr>
        <w:t xml:space="preserve"> </w:t>
      </w:r>
      <w:r>
        <w:rPr>
          <w:rtl w:val="true"/>
        </w:rPr>
        <w:t>שקדם</w:t>
      </w:r>
      <w:r>
        <w:rPr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ההצטיידות</w:t>
      </w:r>
      <w:r>
        <w:rPr>
          <w:rtl w:val="true"/>
        </w:rPr>
        <w:t xml:space="preserve"> </w:t>
      </w:r>
      <w:r>
        <w:rPr>
          <w:rtl w:val="true"/>
        </w:rPr>
        <w:t>בנ</w:t>
      </w:r>
      <w:r>
        <w:rPr>
          <w:rtl w:val="true"/>
        </w:rPr>
        <w:t>שק חם</w:t>
      </w:r>
      <w:r>
        <w:rPr>
          <w:rtl w:val="true"/>
        </w:rPr>
        <w:t xml:space="preserve">, </w:t>
      </w:r>
      <w:r>
        <w:rPr>
          <w:rtl w:val="true"/>
        </w:rPr>
        <w:t>המניע לנקמה</w:t>
      </w:r>
      <w:r>
        <w:rPr>
          <w:rtl w:val="true"/>
        </w:rPr>
        <w:t xml:space="preserve">, </w:t>
      </w:r>
      <w:r>
        <w:rPr>
          <w:rtl w:val="true"/>
        </w:rPr>
        <w:t>ההתמדה בתכנית העבריינית</w:t>
      </w:r>
      <w:r>
        <w:rPr>
          <w:rtl w:val="true"/>
        </w:rPr>
        <w:t xml:space="preserve">, </w:t>
      </w:r>
      <w:r>
        <w:rPr>
          <w:rtl w:val="true"/>
        </w:rPr>
        <w:t xml:space="preserve">הנזק שנגרם והנזק הפוטנציאלי שעלול היה להיגרם </w:t>
      </w:r>
      <w:r>
        <w:rPr>
          <w:rtl w:val="true"/>
        </w:rPr>
        <w:t>–</w:t>
      </w:r>
      <w:r>
        <w:rPr>
          <w:rtl w:val="true"/>
        </w:rPr>
        <w:t xml:space="preserve"> חמורה כשלעצמה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 xml:space="preserve">הצטברות הנסיבות גם יחד מלמדת ביתר שאת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אדישות</w:t>
      </w:r>
      <w:r>
        <w:rPr>
          <w:rtl w:val="true"/>
        </w:rPr>
        <w:t xml:space="preserve"> המשיבים לרצח המנוח ועל הזלזול המובהק וההתנכרות לערך של חיי אדם</w:t>
      </w:r>
      <w:r>
        <w:rPr>
          <w:rtl w:val="true"/>
        </w:rPr>
        <w:t xml:space="preserve">. </w:t>
      </w:r>
      <w:r>
        <w:rPr>
          <w:rtl w:val="true"/>
        </w:rPr>
        <w:t>בעת ששמע על הפגיעה שנגרמה לאחותו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הציב לעצמו מטרה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ולפגוע</w:t>
      </w:r>
      <w:r>
        <w:rPr>
          <w:rtl w:val="true"/>
        </w:rPr>
        <w:t xml:space="preserve">. </w:t>
      </w:r>
      <w:r>
        <w:rPr>
          <w:rtl w:val="true"/>
        </w:rPr>
        <w:t>מרגע זה</w:t>
      </w:r>
      <w:r>
        <w:rPr>
          <w:rtl w:val="true"/>
        </w:rPr>
        <w:t xml:space="preserve">, </w:t>
      </w:r>
      <w:r>
        <w:rPr>
          <w:rtl w:val="true"/>
        </w:rPr>
        <w:t>הוא היה נחוש בדעתו להגשים מטרה זו ויהי מה</w:t>
      </w:r>
      <w:r>
        <w:rPr>
          <w:rtl w:val="true"/>
        </w:rPr>
        <w:t xml:space="preserve">, </w:t>
      </w:r>
      <w:r>
        <w:rPr>
          <w:rtl w:val="true"/>
        </w:rPr>
        <w:t>שלב אחר שלב הוא גילה דעתו כי ברצונו לנקום ולפגוע באמצעות נשק חם בלתי</w:t>
      </w:r>
      <w:r>
        <w:rPr>
          <w:rtl w:val="true"/>
        </w:rPr>
        <w:t>-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בעוד שלאפשרות כי מעשיו ייגרמו לתוצאה קטלנית</w:t>
      </w:r>
      <w:r>
        <w:rPr>
          <w:rtl w:val="true"/>
        </w:rPr>
        <w:t xml:space="preserve">, </w:t>
      </w:r>
      <w:r>
        <w:rPr>
          <w:rtl w:val="true"/>
        </w:rPr>
        <w:t xml:space="preserve">התייחס בשוויון נפש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אחת היא לו אם יקופחו חיי אדם אם לאו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5">
        <w:r>
          <w:rPr>
            <w:rStyle w:val="Hyperlink"/>
            <w:rtl w:val="true"/>
          </w:rPr>
          <w:t>מרים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גור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אריה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הרפורמה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בעבירות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ההמתה</w:t>
        </w:r>
        <w:r>
          <w:rPr>
            <w:rStyle w:val="Hyperlink"/>
            <w:rtl w:val="true"/>
          </w:rPr>
          <w:t xml:space="preserve">: 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מדרג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עבירות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ההמתה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ועל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רצח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מתוך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אדישות</w:t>
        </w:r>
      </w:hyperlink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וינרוט</w:t>
      </w:r>
      <w:r>
        <w:rPr>
          <w:rtl w:val="true"/>
        </w:rPr>
        <w:t xml:space="preserve"> </w:t>
      </w:r>
      <w:r>
        <w:rPr/>
        <w:t>441</w:t>
      </w:r>
      <w:r>
        <w:rPr>
          <w:rtl w:val="true"/>
        </w:rPr>
        <w:t xml:space="preserve">, </w:t>
      </w:r>
      <w:r>
        <w:rPr/>
        <w:t>469-468</w:t>
      </w:r>
      <w:r>
        <w:rPr>
          <w:rtl w:val="true"/>
        </w:rPr>
        <w:t xml:space="preserve"> (</w:t>
      </w:r>
      <w:r>
        <w:rPr>
          <w:rtl w:val="true"/>
        </w:rPr>
        <w:t>גרשון</w:t>
      </w:r>
      <w:r>
        <w:rPr>
          <w:rtl w:val="true"/>
        </w:rPr>
        <w:t xml:space="preserve"> </w:t>
      </w:r>
      <w:r>
        <w:rPr>
          <w:rtl w:val="true"/>
        </w:rPr>
        <w:t>גונטובניק</w:t>
      </w:r>
      <w:r>
        <w:rPr>
          <w:rtl w:val="true"/>
        </w:rPr>
        <w:t xml:space="preserve"> ואח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עורכים</w:t>
      </w:r>
      <w:r>
        <w:rPr>
          <w:rtl w:val="true"/>
        </w:rPr>
        <w:t xml:space="preserve"> </w:t>
      </w:r>
      <w:r>
        <w:rPr/>
        <w:t>2021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כאן המקום להתעכב על כך שהמנוח נרצח על לא עוול בכפו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 xml:space="preserve">כל רצח באשר הוא מגלם אובדן חיים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בלתי מוצדק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 xml:space="preserve">רצח המנוח צורם משהמנוח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בסכסוך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שהוביל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 xml:space="preserve">כל </w:t>
      </w:r>
      <w:r>
        <w:rPr>
          <w:rtl w:val="true"/>
        </w:rPr>
        <w:t>'</w:t>
      </w:r>
      <w:r>
        <w:rPr>
          <w:rtl w:val="true"/>
        </w:rPr>
        <w:t>חטאו</w:t>
      </w:r>
      <w:r>
        <w:rPr>
          <w:rtl w:val="true"/>
        </w:rPr>
        <w:t xml:space="preserve">' </w:t>
      </w:r>
      <w:r>
        <w:rPr>
          <w:rtl w:val="true"/>
        </w:rPr>
        <w:t>היה בכך שהתלווה לחברו נסראללה</w:t>
      </w:r>
      <w:r>
        <w:rPr>
          <w:rtl w:val="true"/>
        </w:rPr>
        <w:t xml:space="preserve">, </w:t>
      </w:r>
      <w:r>
        <w:rPr>
          <w:rtl w:val="true"/>
        </w:rPr>
        <w:t>יחדיו נסעו ברחובות שפרעם ועצרו לשוחח סמוך לכיכר עוסמאן עם מחמוד</w:t>
      </w:r>
      <w:r>
        <w:rPr>
          <w:rtl w:val="true"/>
        </w:rPr>
        <w:t xml:space="preserve">. </w:t>
      </w:r>
      <w:r>
        <w:rPr>
          <w:rtl w:val="true"/>
        </w:rPr>
        <w:t>גם אם בכך חסמו את דרכה של סאלי</w:t>
      </w:r>
      <w:r>
        <w:rPr>
          <w:rtl w:val="true"/>
        </w:rPr>
        <w:t xml:space="preserve">, </w:t>
      </w:r>
      <w:r>
        <w:rPr>
          <w:rtl w:val="true"/>
        </w:rPr>
        <w:t>וישנו ספק כאמור אם כך נעשה במכוון אם לאו</w:t>
      </w:r>
      <w:r>
        <w:rPr>
          <w:rtl w:val="true"/>
        </w:rPr>
        <w:t xml:space="preserve">, </w:t>
      </w:r>
      <w:r>
        <w:rPr>
          <w:rtl w:val="true"/>
        </w:rPr>
        <w:t>חלקו של המנוח ב</w:t>
      </w:r>
      <w:r>
        <w:rPr>
          <w:rtl w:val="true"/>
        </w:rPr>
        <w:t>'</w:t>
      </w:r>
      <w:r>
        <w:rPr>
          <w:rtl w:val="true"/>
        </w:rPr>
        <w:t>פגיעה</w:t>
      </w:r>
      <w:r>
        <w:rPr>
          <w:rtl w:val="true"/>
        </w:rPr>
        <w:t xml:space="preserve">' </w:t>
      </w:r>
      <w:r>
        <w:rPr>
          <w:rtl w:val="true"/>
        </w:rPr>
        <w:t xml:space="preserve">בסאלי </w:t>
      </w:r>
      <w:r>
        <w:rPr>
          <w:rtl w:val="true"/>
        </w:rPr>
        <w:t>–</w:t>
      </w:r>
      <w:r>
        <w:rPr>
          <w:rtl w:val="true"/>
        </w:rPr>
        <w:t xml:space="preserve"> מצומצם ביותר</w:t>
      </w:r>
      <w:r>
        <w:rPr>
          <w:rtl w:val="true"/>
        </w:rPr>
        <w:t xml:space="preserve">. </w:t>
      </w:r>
      <w:r>
        <w:rPr>
          <w:rtl w:val="true"/>
        </w:rPr>
        <w:t xml:space="preserve">עובדה זו לא עמדה בדרכו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אשר חפץ לנקום ולפגוע באלו אשר סבר כי </w:t>
      </w:r>
      <w:r>
        <w:rPr>
          <w:rtl w:val="true"/>
        </w:rPr>
        <w:t>"</w:t>
      </w:r>
      <w:r>
        <w:rPr>
          <w:rtl w:val="true"/>
        </w:rPr>
        <w:t>פגעו</w:t>
      </w:r>
      <w:r>
        <w:rPr>
          <w:rtl w:val="true"/>
        </w:rPr>
        <w:t xml:space="preserve">" </w:t>
      </w:r>
      <w:r>
        <w:rPr>
          <w:rtl w:val="true"/>
        </w:rPr>
        <w:t>באחותו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מאז ניתן גזר הדין בעניינם של המשיבים ניתנו בבית משפט זה סדרת פסקי דין שעניינם עבירות ההמתה לאחר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בפרט ביחס לעבירת הרצח באדישות </w:t>
      </w:r>
      <w:r>
        <w:rPr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tl w:val="true"/>
        </w:rPr>
        <w:t xml:space="preserve"> תקף באלימות את אמו</w:t>
      </w:r>
      <w:r>
        <w:rPr>
          <w:rtl w:val="true"/>
        </w:rPr>
        <w:t xml:space="preserve">, </w:t>
      </w:r>
      <w:r>
        <w:rPr>
          <w:rtl w:val="true"/>
        </w:rPr>
        <w:t>ועונשו הוחמר מ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מדובר היה במקרה הראשון של רצח באדישות אשר הובא לפתח בית משפט זה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 הכה במהלך קטטה באמצעות קרש עץ את המנוח אשר כלל לא היה מעורב בקטטה</w:t>
      </w:r>
      <w:r>
        <w:rPr>
          <w:rtl w:val="true"/>
        </w:rPr>
        <w:t xml:space="preserve">, </w:t>
      </w:r>
      <w:r>
        <w:rPr>
          <w:rtl w:val="true"/>
        </w:rPr>
        <w:t>ועונשו הוחמר 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 הכה למוות דר</w:t>
      </w:r>
      <w:r>
        <w:rPr>
          <w:rtl w:val="true"/>
        </w:rPr>
        <w:t>-</w:t>
      </w:r>
      <w:r>
        <w:rPr>
          <w:rtl w:val="true"/>
        </w:rPr>
        <w:t>רחוב ועונשו הוחמר מ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לשלושת מקרים אלו</w:t>
      </w:r>
      <w:r>
        <w:rPr>
          <w:rtl w:val="true"/>
        </w:rPr>
        <w:t xml:space="preserve">, </w:t>
      </w:r>
      <w:r>
        <w:rPr>
          <w:rtl w:val="true"/>
        </w:rPr>
        <w:t xml:space="preserve">אשוב על שהערתי לאחרונה כי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הוחמר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מדוד</w:t>
      </w:r>
      <w:r>
        <w:rPr>
          <w:rtl w:val="true"/>
        </w:rPr>
        <w:t xml:space="preserve"> </w:t>
      </w: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בתחילתה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יישום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למסגרת</w:t>
      </w:r>
      <w:r>
        <w:rPr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בהלכה</w:t>
      </w:r>
      <w:r>
        <w:rPr>
          <w:rtl w:val="true"/>
        </w:rPr>
        <w:t xml:space="preserve"> </w:t>
      </w:r>
      <w:r>
        <w:rPr>
          <w:rtl w:val="true"/>
        </w:rPr>
        <w:t>שלפיה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ממצה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מלוא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אנאנטאפאק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 xml:space="preserve">אשלים ואומר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אנאנטאפאק</w:t>
      </w:r>
      <w:r>
        <w:rPr>
          <w:rtl w:val="true"/>
        </w:rPr>
        <w:t xml:space="preserve"> המית את הקורבן באמצעות דקירה אחת לאחר מריבה בין הניצים</w:t>
      </w:r>
      <w:r>
        <w:rPr>
          <w:rtl w:val="true"/>
        </w:rPr>
        <w:t xml:space="preserve">. </w:t>
      </w:r>
      <w:r>
        <w:rPr>
          <w:rtl w:val="true"/>
        </w:rPr>
        <w:t xml:space="preserve">במקרה זה נגזר עליו עונש של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 ולא הוגש ערעור של המדינה על חומרת העונש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החמרה לא עמדה על הפרק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המיישמים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;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יציאה</w:t>
      </w:r>
      <w:r>
        <w:rPr>
          <w:rtl w:val="true"/>
        </w:rPr>
        <w:t xml:space="preserve">';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חיסול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משקפים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וזלזול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ומלמדים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ומתאימה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לעת כזאת </w:t>
      </w:r>
      <w:r>
        <w:rPr>
          <w:rtl w:val="true"/>
        </w:rPr>
        <w:t>חוללה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אות קין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להדגיש</w:t>
      </w:r>
      <w:r>
        <w:rPr>
          <w:rtl w:val="true"/>
        </w:rPr>
        <w:t xml:space="preserve">: </w:t>
      </w:r>
      <w:r>
        <w:rPr>
          <w:rtl w:val="true"/>
        </w:rPr>
        <w:t>לצד הרשעת המשיבים באחריות לרצח המנוח</w:t>
      </w:r>
      <w:r>
        <w:rPr>
          <w:rtl w:val="true"/>
        </w:rPr>
        <w:t xml:space="preserve">, </w:t>
      </w:r>
      <w:r>
        <w:rPr>
          <w:rtl w:val="true"/>
        </w:rPr>
        <w:t xml:space="preserve">הם הורשעו גם בעבירות נשק </w:t>
      </w:r>
      <w:r>
        <w:rPr>
          <w:rtl w:val="true"/>
        </w:rPr>
        <w:t>–</w:t>
      </w:r>
      <w:r>
        <w:rPr>
          <w:rtl w:val="true"/>
        </w:rPr>
        <w:t xml:space="preserve"> כל אחד כמבצע עיקרי</w:t>
      </w:r>
      <w:r>
        <w:rPr>
          <w:rtl w:val="true"/>
        </w:rPr>
        <w:t xml:space="preserve">. </w:t>
      </w:r>
      <w:r>
        <w:rPr>
          <w:rtl w:val="true"/>
        </w:rPr>
        <w:t>עבירות אלו חמורות בפני עצמן</w:t>
      </w:r>
      <w:r>
        <w:rPr>
          <w:rtl w:val="true"/>
        </w:rPr>
        <w:t xml:space="preserve">, </w:t>
      </w:r>
      <w:r>
        <w:rPr>
          <w:rtl w:val="true"/>
        </w:rPr>
        <w:t xml:space="preserve">ומדיניות הענישה הנוהגת בהן כוללת רכיב מאסר בפועל לתקופה </w:t>
      </w:r>
      <w:r>
        <w:rPr>
          <w:rFonts w:ascii="Century" w:hAnsi="Century" w:cs="Century"/>
          <w:sz w:val="22"/>
          <w:sz w:val="22"/>
          <w:rtl w:val="true"/>
        </w:rPr>
        <w:t>משמעותית</w:t>
      </w:r>
      <w:r>
        <w:rPr>
          <w:rtl w:val="true"/>
        </w:rPr>
        <w:t xml:space="preserve"> מאחורי סורג ובריח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עבסה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</w:t>
      </w:r>
      <w:r>
        <w:rPr/>
        <w:t>1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2165/23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4.5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אף מטעם זה ראוי להחמיר בעונשם של המשיבים</w:t>
      </w:r>
      <w:r>
        <w:rPr>
          <w:rtl w:val="true"/>
        </w:rPr>
        <w:t xml:space="preserve">, </w:t>
      </w:r>
      <w:r>
        <w:rPr>
          <w:rtl w:val="true"/>
        </w:rPr>
        <w:t>אשר אינו מתחשב דיו בעבירות הנשק בקביעת גבולות מתחם העונש ההולם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>ועל רקע מגמת ההחמרה ברפורמה בעבירות ההמתה ביחס לעבירת הרצח באדישות</w:t>
      </w:r>
      <w:r>
        <w:rPr>
          <w:rtl w:val="true"/>
        </w:rPr>
        <w:t xml:space="preserve">, </w:t>
      </w:r>
      <w:r>
        <w:rPr>
          <w:rtl w:val="true"/>
        </w:rPr>
        <w:t>כל אחד ממתחמי העונש ההולם שנקבעו בעניינם של המשיבים מקל עמם יתר על המידה ואינו הולם את חומרת מעשיהם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בגדרי המתחמים</w:t>
      </w:r>
      <w:r>
        <w:rPr>
          <w:rtl w:val="true"/>
        </w:rPr>
        <w:t xml:space="preserve">, </w:t>
      </w:r>
      <w:r>
        <w:rPr>
          <w:rtl w:val="true"/>
        </w:rPr>
        <w:t xml:space="preserve">העונש שנגזר על המשיבים </w:t>
      </w:r>
      <w:r>
        <w:rPr>
          <w:rtl w:val="true"/>
        </w:rPr>
        <w:t>–</w:t>
      </w:r>
      <w:r>
        <w:rPr>
          <w:rtl w:val="true"/>
        </w:rPr>
        <w:t xml:space="preserve"> מקל עמם יתר על המידה באופן המצדיק התערבותנו לחומרה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 להתעלם מנסיבותיו האישיות של נאשם עת בית המשפט גוזר את דינו</w:t>
      </w:r>
      <w:r>
        <w:rPr>
          <w:rtl w:val="true"/>
        </w:rPr>
        <w:t xml:space="preserve">, </w:t>
      </w:r>
      <w:r>
        <w:rPr>
          <w:rtl w:val="true"/>
        </w:rPr>
        <w:t xml:space="preserve">אולם נסיבות אלו נבחנות למול עוצמת הפגיעה בערכים המוגנים בעבירת הרצח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וכפי שהבהרתי אך לאחרונה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שהורשע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בתחתית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בגבולו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המבוצעת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אדישות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אנאנטאפא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טעמיה של קביעה זו נעוצים בעקרון קדושת חיי האדם</w:t>
      </w:r>
      <w:r>
        <w:rPr>
          <w:rtl w:val="true"/>
        </w:rPr>
        <w:t xml:space="preserve">, </w:t>
      </w:r>
      <w:r>
        <w:rPr>
          <w:rtl w:val="true"/>
        </w:rPr>
        <w:t>ובחומרת עבירת הרצח אשר אין שניה לה בספר החוקים</w:t>
      </w:r>
      <w:r>
        <w:rPr>
          <w:rtl w:val="true"/>
        </w:rPr>
        <w:t xml:space="preserve">. </w:t>
      </w:r>
      <w:r>
        <w:rPr>
          <w:rtl w:val="true"/>
        </w:rPr>
        <w:t>למול הפגיעה בערך זה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נאשם בעבירת הרצח בעלות משקל מוגבל</w:t>
      </w:r>
      <w:r>
        <w:rPr>
          <w:rtl w:val="true"/>
        </w:rPr>
        <w:t xml:space="preserve">, </w:t>
      </w:r>
      <w:r>
        <w:rPr>
          <w:rtl w:val="true"/>
        </w:rPr>
        <w:t>ומכאן כי יש לאזן במשורה בין שיקולים אלו במלאכת גזירת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בכדי התקשה בית המשפט המחוזי לאתר נסיבות לזכות המשיבים בענייננו</w:t>
      </w:r>
      <w:r>
        <w:rPr>
          <w:rtl w:val="true"/>
        </w:rPr>
        <w:t xml:space="preserve">; </w:t>
      </w:r>
      <w:r>
        <w:rPr>
          <w:rtl w:val="true"/>
        </w:rPr>
        <w:t>גם ביחס לנסיבות אשר נזקפו בכל זאת לזכותם</w:t>
      </w:r>
      <w:r>
        <w:rPr>
          <w:rtl w:val="true"/>
        </w:rPr>
        <w:t xml:space="preserve">, </w:t>
      </w:r>
      <w:r>
        <w:rPr>
          <w:rtl w:val="true"/>
        </w:rPr>
        <w:t xml:space="preserve">שגה בית המשפט המחוזי בהעניקו להן משקל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עודף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נכון עשה בית משפט קמא אשר התחשב בעברו הפלילי הנקי ובנסיבותיו האישיות והמשפחתיות המורכבות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רקע התייתמותו מאביו בצעירותו והקשיים הכלכליים שחוותה משפחתו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להודאתו ברצח המנוח ובלקיחת האחריות בגין מעשיו </w:t>
      </w:r>
      <w:r>
        <w:rPr>
          <w:rtl w:val="true"/>
        </w:rPr>
        <w:t>–</w:t>
      </w:r>
      <w:r>
        <w:rPr>
          <w:rtl w:val="true"/>
        </w:rPr>
        <w:t xml:space="preserve"> משקל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מוגבל</w:t>
      </w:r>
      <w:r>
        <w:rPr>
          <w:rtl w:val="true"/>
        </w:rPr>
        <w:t xml:space="preserve"> בלבד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הודאתו במעשים ושיתוף הפעולה עם הרשויות הובילו לחסכון בזמן שיפוטי יקר </w:t>
      </w:r>
      <w:r>
        <w:rPr>
          <w:rtl w:val="true"/>
        </w:rPr>
        <w:t>(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אולם בד בבד התרשמות שירות המבחן כי הוא </w:t>
      </w:r>
      <w:r>
        <w:rPr>
          <w:rtl w:val="true"/>
        </w:rPr>
        <w:t>"</w:t>
      </w:r>
      <w:r>
        <w:rPr>
          <w:rtl w:val="true"/>
        </w:rPr>
        <w:t>התקשה לקבל אחריות מלאה על הבעייתיות שבהתנהגותו באירוע הנדון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מאפילה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כנות</w:t>
      </w:r>
      <w:r>
        <w:rPr>
          <w:rtl w:val="true"/>
        </w:rPr>
        <w:t xml:space="preserve"> </w:t>
      </w:r>
      <w:r>
        <w:rPr>
          <w:rtl w:val="true"/>
        </w:rPr>
        <w:t xml:space="preserve">הודאתו </w:t>
      </w:r>
      <w:r>
        <w:rPr>
          <w:rtl w:val="true"/>
        </w:rPr>
        <w:t>ולקיחת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 xml:space="preserve">באופן המצמצם את משקלה כנסיבה לזכותו </w:t>
      </w:r>
      <w:r>
        <w:rPr>
          <w:rtl w:val="true"/>
        </w:rPr>
        <w:t>(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3265/22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</w:t>
      </w:r>
      <w:r>
        <w:rPr/>
        <w:t>.11.2022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3034/22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3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בית משפט זה שב ומתריע השכם והערב על הצורך במיגור האלימות ברחובות ישראל בכלל</w:t>
      </w:r>
      <w:r>
        <w:rPr>
          <w:rtl w:val="true"/>
        </w:rPr>
        <w:t xml:space="preserve">, </w:t>
      </w:r>
      <w:r>
        <w:rPr>
          <w:rtl w:val="true"/>
        </w:rPr>
        <w:t>ובהקשר של פתרון סכסוכים בפרט</w:t>
      </w:r>
      <w:r>
        <w:rPr>
          <w:rtl w:val="true"/>
        </w:rPr>
        <w:t xml:space="preserve">. </w:t>
      </w:r>
      <w:r>
        <w:rPr>
          <w:rtl w:val="true"/>
        </w:rPr>
        <w:t>כך בעיקר בימים אלו רווי דמים</w:t>
      </w:r>
      <w:r>
        <w:rPr>
          <w:rtl w:val="true"/>
        </w:rPr>
        <w:t xml:space="preserve">, </w:t>
      </w:r>
      <w:r>
        <w:rPr>
          <w:rtl w:val="true"/>
        </w:rPr>
        <w:t xml:space="preserve">כאשר מדי יום ביומו נקטלים אנשים עד כי מתעורר חשש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דיין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נדרשת מדיניות ענישה מרתיעה והולמת המעניקה משקל של ממש לשיקולי הרתעת הרבים והיחיד במלאכת גזירת העונש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21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רצח המנוח ממחיש היטב את הצורך המיידי בהתמודדות מרתיעה ומיטבית עם האלימות הגואה כיום במדינתנו</w:t>
      </w:r>
      <w:r>
        <w:rPr>
          <w:rtl w:val="true"/>
        </w:rPr>
        <w:t xml:space="preserve">, </w:t>
      </w:r>
      <w:r>
        <w:rPr>
          <w:rtl w:val="true"/>
        </w:rPr>
        <w:t>ובפרט בחברה הערבית</w:t>
      </w:r>
      <w:r>
        <w:rPr>
          <w:rtl w:val="true"/>
        </w:rPr>
        <w:t xml:space="preserve">, </w:t>
      </w:r>
      <w:r>
        <w:rPr>
          <w:rtl w:val="true"/>
        </w:rPr>
        <w:t>כפי שהדגישה המדינה בטיעוניה</w:t>
      </w:r>
      <w:r>
        <w:rPr>
          <w:rtl w:val="true"/>
        </w:rPr>
        <w:t xml:space="preserve">. </w:t>
      </w:r>
      <w:r>
        <w:rPr>
          <w:rtl w:val="true"/>
        </w:rPr>
        <w:t>שוב אנו למדים עד היכן מגעת פגיעתו הרעה של השימוש באלימות לצורך פתרון סכסוכים</w:t>
      </w:r>
      <w:r>
        <w:rPr>
          <w:rtl w:val="true"/>
        </w:rPr>
        <w:t xml:space="preserve">, </w:t>
      </w:r>
      <w:r>
        <w:rPr>
          <w:rtl w:val="true"/>
        </w:rPr>
        <w:t>כאשר גם הפעם אזרח מן השורה נקלע שלא בטובתו בתווך שבין סכסוך אלים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ובהתחשב במדיניות הענישה הנהוגה כעת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והקל בעונשם של המשיבים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בהינתן מכלול השיקולים</w:t>
      </w:r>
      <w:r>
        <w:rPr>
          <w:rtl w:val="true"/>
        </w:rPr>
        <w:t xml:space="preserve">, </w:t>
      </w:r>
      <w:r>
        <w:rPr>
          <w:rtl w:val="true"/>
        </w:rPr>
        <w:t>בנסיבות ביצוע העבירה ובנסיבותיהם האישיות של המשיבים</w:t>
      </w:r>
      <w:r>
        <w:rPr>
          <w:rtl w:val="true"/>
        </w:rPr>
        <w:t xml:space="preserve">, </w:t>
      </w:r>
      <w:r>
        <w:rPr>
          <w:rtl w:val="true"/>
        </w:rPr>
        <w:t>ובשים לב למגמת הענישה בעבירת הרצח באדישות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 ולחברתי כי נדחה את ערעור המשיבים ונקבל באופן חלקי את ערעור המדינה כך שעונשו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יעמוד על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 שגזר עליו בית המשפט המחוזי</w:t>
      </w:r>
      <w:r>
        <w:rPr>
          <w:rtl w:val="true"/>
        </w:rPr>
        <w:t xml:space="preserve">; </w:t>
      </w:r>
      <w:r>
        <w:rPr>
          <w:rtl w:val="true"/>
        </w:rPr>
        <w:t xml:space="preserve">עונשו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יוותר על כנו</w:t>
      </w:r>
      <w:r>
        <w:rPr>
          <w:rtl w:val="true"/>
        </w:rPr>
        <w:t xml:space="preserve">, </w:t>
      </w:r>
      <w:r>
        <w:rPr>
          <w:rtl w:val="true"/>
        </w:rPr>
        <w:t>ולו מאחר שערכאת הערעור תתערב רק בסטייה קיצונית ממדיניות הענישה הנוהגת ואף מן הטעם שערכאה זו אינה ממצה את הדין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יוותרו על כנם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13.8.2023</w:t>
      </w:r>
      <w:r>
        <w:rPr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6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22020790</w:t>
      </w:r>
      <w:r>
        <w:rPr>
          <w:sz w:val="16"/>
          <w:rtl w:val="true"/>
        </w:rPr>
        <w:t>_</w:t>
      </w:r>
      <w:r>
        <w:rPr>
          <w:sz w:val="16"/>
        </w:rPr>
        <w:t>J06.docx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54678313-2079/22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2079/22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יחיא חוג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יראת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001949" TargetMode="External"/><Relationship Id="rId3" Type="http://schemas.openxmlformats.org/officeDocument/2006/relationships/hyperlink" Target="http://www.nevo.co.il/safrut/book/48576" TargetMode="External"/><Relationship Id="rId4" Type="http://schemas.openxmlformats.org/officeDocument/2006/relationships/hyperlink" Target="http://www.nevo.co.il/safrut/book/4857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/144.a.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98" TargetMode="External"/><Relationship Id="rId11" Type="http://schemas.openxmlformats.org/officeDocument/2006/relationships/hyperlink" Target="http://www.nevo.co.il/law/70301/300.a" TargetMode="External"/><Relationship Id="rId12" Type="http://schemas.openxmlformats.org/officeDocument/2006/relationships/hyperlink" Target="http://www.nevo.co.il/law/70301/301a.a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/40ja.4" TargetMode="External"/><Relationship Id="rId15" Type="http://schemas.openxmlformats.org/officeDocument/2006/relationships/hyperlink" Target="http://www.nevo.co.il/law/70301/40ja.6" TargetMode="External"/><Relationship Id="rId16" Type="http://schemas.openxmlformats.org/officeDocument/2006/relationships/hyperlink" Target="http://www.nevo.co.il/case/29110556" TargetMode="External"/><Relationship Id="rId17" Type="http://schemas.openxmlformats.org/officeDocument/2006/relationships/hyperlink" Target="http://www.nevo.co.il/law/70301/300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29.a.2" TargetMode="External"/><Relationship Id="rId20" Type="http://schemas.openxmlformats.org/officeDocument/2006/relationships/hyperlink" Target="http://www.nevo.co.il/law/70301/144.a.;144.b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300.a" TargetMode="External"/><Relationship Id="rId23" Type="http://schemas.openxmlformats.org/officeDocument/2006/relationships/hyperlink" Target="http://www.nevo.co.il/law/70301/31" TargetMode="External"/><Relationship Id="rId24" Type="http://schemas.openxmlformats.org/officeDocument/2006/relationships/hyperlink" Target="http://www.nevo.co.il/law/70301/329.a.2" TargetMode="External"/><Relationship Id="rId25" Type="http://schemas.openxmlformats.org/officeDocument/2006/relationships/hyperlink" Target="http://www.nevo.co.il/law/70301/31" TargetMode="External"/><Relationship Id="rId26" Type="http://schemas.openxmlformats.org/officeDocument/2006/relationships/hyperlink" Target="http://www.nevo.co.il/law/70301/144.a.;144.b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1282242" TargetMode="External"/><Relationship Id="rId30" Type="http://schemas.openxmlformats.org/officeDocument/2006/relationships/hyperlink" Target="http://www.nevo.co.il/case/28326750" TargetMode="External"/><Relationship Id="rId31" Type="http://schemas.openxmlformats.org/officeDocument/2006/relationships/hyperlink" Target="http://www.nevo.co.il/case/27397243" TargetMode="External"/><Relationship Id="rId32" Type="http://schemas.openxmlformats.org/officeDocument/2006/relationships/hyperlink" Target="http://www.nevo.co.il/case/2835811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298" TargetMode="External"/><Relationship Id="rId35" Type="http://schemas.openxmlformats.org/officeDocument/2006/relationships/hyperlink" Target="http://www.nevo.co.il/case/27487089" TargetMode="External"/><Relationship Id="rId36" Type="http://schemas.openxmlformats.org/officeDocument/2006/relationships/hyperlink" Target="http://www.nevo.co.il/law/70301/300.a" TargetMode="External"/><Relationship Id="rId37" Type="http://schemas.openxmlformats.org/officeDocument/2006/relationships/hyperlink" Target="http://www.nevo.co.il/law/70301/301a.a" TargetMode="External"/><Relationship Id="rId38" Type="http://schemas.openxmlformats.org/officeDocument/2006/relationships/hyperlink" Target="http://www.nevo.co.il/case/27555133" TargetMode="External"/><Relationship Id="rId39" Type="http://schemas.openxmlformats.org/officeDocument/2006/relationships/hyperlink" Target="http://www.nevo.co.il/case/28912788" TargetMode="External"/><Relationship Id="rId40" Type="http://schemas.openxmlformats.org/officeDocument/2006/relationships/hyperlink" Target="http://www.nevo.co.il/case/27443208" TargetMode="External"/><Relationship Id="rId41" Type="http://schemas.openxmlformats.org/officeDocument/2006/relationships/hyperlink" Target="http://www.nevo.co.il/case/28538252" TargetMode="External"/><Relationship Id="rId42" Type="http://schemas.openxmlformats.org/officeDocument/2006/relationships/hyperlink" Target="http://www.nevo.co.il/case/28701794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7608313" TargetMode="External"/><Relationship Id="rId45" Type="http://schemas.openxmlformats.org/officeDocument/2006/relationships/hyperlink" Target="http://www.nevo.co.il/safrut/book/48576" TargetMode="External"/><Relationship Id="rId46" Type="http://schemas.openxmlformats.org/officeDocument/2006/relationships/hyperlink" Target="http://www.nevo.co.il/case/27734980" TargetMode="External"/><Relationship Id="rId47" Type="http://schemas.openxmlformats.org/officeDocument/2006/relationships/hyperlink" Target="http://www.nevo.co.il/case/29486731" TargetMode="External"/><Relationship Id="rId48" Type="http://schemas.openxmlformats.org/officeDocument/2006/relationships/hyperlink" Target="http://www.nevo.co.il/law/70301/40ja.6" TargetMode="External"/><Relationship Id="rId49" Type="http://schemas.openxmlformats.org/officeDocument/2006/relationships/hyperlink" Target="http://www.nevo.co.il/law/70301/40ja.4" TargetMode="External"/><Relationship Id="rId50" Type="http://schemas.openxmlformats.org/officeDocument/2006/relationships/hyperlink" Target="http://www.nevo.co.il/case/28610045" TargetMode="External"/><Relationship Id="rId51" Type="http://schemas.openxmlformats.org/officeDocument/2006/relationships/hyperlink" Target="http://www.nevo.co.il/case/28584846" TargetMode="External"/><Relationship Id="rId52" Type="http://schemas.openxmlformats.org/officeDocument/2006/relationships/hyperlink" Target="https://supreme.court.gov.il/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2023-08-16T09:11:00Z</dcterms:created>
  <dc:creator>h4</dc:creator>
  <dc:description/>
  <cp:keywords/>
  <dc:language>en-IL</dc:language>
  <cp:lastModifiedBy>hofit</cp:lastModifiedBy>
  <cp:lastPrinted>2023-08-13T07:02:00Z</cp:lastPrinted>
  <dcterms:modified xsi:type="dcterms:W3CDTF">2023-08-16T09:11:00Z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יחיא חוג'יראת;עקאב קאסם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48576</vt:lpwstr>
  </property>
  <property fmtid="{D5CDD505-2E9C-101B-9397-08002B2CF9AE}" pid="9" name="CASESLISTTMP1">
    <vt:lpwstr>26001949;29110556;21282242;28326750;27397243;28358114;27487089;27555133;28912788;27443208;28538252;28701794;27608313;27734980;29486731;28610045;28584846</vt:lpwstr>
  </property>
  <property fmtid="{D5CDD505-2E9C-101B-9397-08002B2CF9AE}" pid="10" name="CITY">
    <vt:lpwstr/>
  </property>
  <property fmtid="{D5CDD505-2E9C-101B-9397-08002B2CF9AE}" pid="11" name="DATE">
    <vt:lpwstr>20230813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אלרון;י' כשר;ר' רונן</vt:lpwstr>
  </property>
  <property fmtid="{D5CDD505-2E9C-101B-9397-08002B2CF9AE}" pid="15" name="LAWLISTTMP1">
    <vt:lpwstr>70301/300.a:3;329.a.2:2;144.a:2;144.b:2;029:2;031:2;298;301a.a;40ja.6;40ja.4</vt:lpwstr>
  </property>
  <property fmtid="{D5CDD505-2E9C-101B-9397-08002B2CF9AE}" pid="16" name="LAWYER">
    <vt:lpwstr>עמרי כהן;זידאן מטאנס דורון נוי;יהלי שפרלינג;אליהו חן ברק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עבירת הרצח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12455;1446;1446;1446;1446</vt:lpwstr>
  </property>
  <property fmtid="{D5CDD505-2E9C-101B-9397-08002B2CF9AE}" pid="49" name="NOSE31">
    <vt:lpwstr>רצח באדישות</vt:lpwstr>
  </property>
  <property fmtid="{D5CDD505-2E9C-101B-9397-08002B2CF9AE}" pid="50" name="NOSE310">
    <vt:lpwstr/>
  </property>
  <property fmtid="{D5CDD505-2E9C-101B-9397-08002B2CF9AE}" pid="51" name="NOSE32">
    <vt:lpwstr>מדיניות ענישה: עבירת רצח</vt:lpwstr>
  </property>
  <property fmtid="{D5CDD505-2E9C-101B-9397-08002B2CF9AE}" pid="52" name="NOSE33">
    <vt:lpwstr>מדיניות ענישה: עבירות נשק</vt:lpwstr>
  </property>
  <property fmtid="{D5CDD505-2E9C-101B-9397-08002B2CF9AE}" pid="53" name="NOSE34">
    <vt:lpwstr>מדיניות ענישה: התערבות ערכאת ערעור</vt:lpwstr>
  </property>
  <property fmtid="{D5CDD505-2E9C-101B-9397-08002B2CF9AE}" pid="54" name="NOSE35">
    <vt:lpwstr>מדיניות ענישה: שיקולים לחומרה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19512;14615;13800;8982;8995</vt:lpwstr>
  </property>
  <property fmtid="{D5CDD505-2E9C-101B-9397-08002B2CF9AE}" pid="60" name="PADIDATE">
    <vt:lpwstr>20230813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2079;2089</vt:lpwstr>
  </property>
  <property fmtid="{D5CDD505-2E9C-101B-9397-08002B2CF9AE}" pid="66" name="PROCYEAR">
    <vt:lpwstr>22;22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410120230813</vt:lpwstr>
  </property>
  <property fmtid="{D5CDD505-2E9C-101B-9397-08002B2CF9AE}" pid="70" name="TYPE_N_DATE">
    <vt:lpwstr>41020230813</vt:lpwstr>
  </property>
  <property fmtid="{D5CDD505-2E9C-101B-9397-08002B2CF9AE}" pid="71" name="VOLUME">
    <vt:lpwstr/>
  </property>
  <property fmtid="{D5CDD505-2E9C-101B-9397-08002B2CF9AE}" pid="72" name="WORDNUMPAGES">
    <vt:lpwstr>16</vt:lpwstr>
  </property>
</Properties>
</file>