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2092/21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אלכסנדר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לוז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קין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משניות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20.8.2020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8.2.2021</w:t>
            </w:r>
            <w:r>
              <w:rPr>
                <w:sz w:val="24"/>
                <w:szCs w:val="24"/>
                <w:rtl w:val="true"/>
              </w:rPr>
              <w:t xml:space="preserve"> (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11113-06-18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646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323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4.7.2022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לבן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חנאווי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כראם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רותי לבנשטיין לזר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מבט חדש על הסכמה בעברת האינוס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עיוני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54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 מצא מקום להתערב בממצאי עובדה ומהימנות שקבע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עת הרשיע את המערער באינוס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סדום בכפייה והדחה בחקירה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שהוא מתייחס להיות המתלוננת במצב של 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והדגיש כי די בכך שהמתלוננת שתתה לשוכרה והייתה במצב הכרתי מעורפל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שניתן יהיה להסיק את היעדר הסכמתה למגעים המיניים שהמערער כפה עליה בנצלו את מצבה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מקום להתערב בגזר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שכלל </w:t>
      </w:r>
      <w:r>
        <w:rPr>
          <w:rFonts w:cs="Times New Roman" w:ascii="Times New Roman" w:hAnsi="Times New Roman"/>
          <w:spacing w:val="0"/>
          <w:szCs w:val="26"/>
        </w:rPr>
        <w:t>13.5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וענישה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אינוס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בממצאים עובדתיים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מהימנות – 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סיוע – עדות יחידה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שקרי נאשם – כסיוע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פסק דין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בו הורשע המערער באינוס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סדום בכפייה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הדחה בחקירה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בעקבות הרשעתו נגזרו על המערער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וחצי 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תנאי וכן תשלום פיצוי לנפגעת העבירה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בסך של </w:t>
      </w:r>
      <w:r>
        <w:rPr>
          <w:rFonts w:cs="Times New Roman" w:ascii="Times New Roman" w:hAnsi="Times New Roman"/>
          <w:spacing w:val="0"/>
          <w:szCs w:val="26"/>
        </w:rPr>
        <w:t>150,000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טוען כי מן הדין לזכותו מהעבירות 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למצער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טוען המערער כי מן הדין להקל באופן משמעותי בעונש שהוטל עליו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שטיין ובהסכמת השופטים אלרון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אינו נופל בגדר המקרים המיוחדים שמצדיקים התערבות בממצאי עובדה שקבעה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שנמצאה אמינה על ידי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איננה עדות יחידה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זאת נתמכת בראיות חיצוניות מגוונות וכן בשקרי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שמגיעים לרמה של 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שבמקרה דנן כלל אינו 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לסעיף 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לפקודת הראיות אין תחולה 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נימק את ממצאי המהימנות שלו ביחס לעדות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שהתייחס לשינויים בגרסתה וקבע כי אין בהם כדי לפגום במהימנות עדותה בהיותם שינויים קלים שאינם נוגעים לליבת המחלוקת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המסד הראייתי עליו הושתתה הרשעת המערער הינו איתן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המתלוננת אינה לוקה בבלבול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דיוק או בחוסר בהירות אלא הייתה עקבית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תאמה את המציאות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נמצאו בה סתירות מהותיות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מנגד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ניצבת עדות המערער שמהימנותו נשללה על ידי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בצדק רב בהיותה חסרת הגיון פנימי ורוויה בסתירות מהותיות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 היא כי שקרי נאשם בחקירה ובעדות מחזקים את ראיות התביעה ומוסיפים משקל למשקלן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זאת במיוחד כאשר מדובר בשקרים שמגיעים כדי סיוע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שקרים אשר מתייחסים ללב האירוע ואשר מצביעים על ניסיונו של הנאשם להרחיק את עצמו מהאירוע ולשוות לעצמו התנהגות תמימה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אלה היו שקרי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חיזוק נוסף מצוי בעדויות בדבר מצבה הנפשי הקשה של המתלוננת בסמוך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 אם המתלוננת ובן זוגה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חבלות על גופה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חוות דעת של המעבדה הביולוגית ושל הגניקולוגית שבדקה את המתלוננת בהגיעה לבית החולים בסמוך לאירוע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הדגיש כי קיום יחסי מין עם אישה שיכורה אשר נמצאת במצב של חוסר הכרה או הכרה מעורפלת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ואינה מודעת למה שנעשה סביבה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אינו אלא אינוס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מסקנה שתהא נכונה גם ביחס לעבירות מין אחרות שחוסר הסכמה מצד נפגעת העבירה הוא יסוד מיסודותיהן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ביחס לנפגעי עבירה ממין זכר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המתלוננת לא הסכימה לקיים עם המערער מגעים מיניים והמערער היה מודע למצבה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שאין לתארו אלא כדיסאוריינטציה על רקע של שכרות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המערער לא נהג כלפי המתלוננת באלימות והמתלוננת לא הביעה שום התנגדות ממשית פיזית או מילולית למעשיו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 אותו אשם באונס ובמעשי סדום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 בכך שהמתלוננת שתתה לשוכרה והייתה במצב הכרתי מעורפל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שניתן יהיה להסיק את היעדר הסכמתה למגעים המיניים שהמערער כפה עליה בנצלו את מצבה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 חופשית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מתירנית ואף פרובוקטיבית של אישה אינה בגדר היתר לבצע בה מעשים מיניים ללא הסכמה פוזיטיבית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מפורשת או משתמעת בבירור ממכלול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הסכמה של אישה להתלוות לביתו של גבר אינה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מהווה הסכמה לקיומם של יחסי מין עם אותו גבר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הביא בחשבון את כל השיקולים הנוגעים לעניין ואין זה מקרה חריג שיש להתערב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העונש שעיקרו </w:t>
      </w:r>
      <w:r>
        <w:rPr>
          <w:rFonts w:cs="Times New Roman" w:ascii="Times New Roman" w:hAnsi="Times New Roman"/>
          <w:spacing w:val="0"/>
          <w:szCs w:val="26"/>
        </w:rPr>
        <w:t>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וחצי שנות מאסר לריצוי בפועל תואם את מדיניות הענישה הנוהגת והראויה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שבמרכזה האינטרס הציבורי בהרתעת עברייני מין פוטנציאליים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חובה ליתן משקל גם לפגיעה הקשה שגרם עבריין המין לקורבן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מינימום שככלל חובה להטיל על נאשם שביצע אינוס ושני מעשי סדום בכפייה מגיע כדי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בהתחשב בכך שהמערער הורשע גם בהדחה בחקירה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שעונש המאסר שנגזר עליו לרצות מאחורי סורג ובריח קרוב מאד לעונש המינימום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בעונש זה משום החמרה יתרה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4"/>
          <w:szCs w:val="24"/>
          <w:u w:val="single"/>
        </w:rPr>
      </w:pPr>
      <w:r>
        <w:rPr>
          <w:rFonts w:cs="Miriam" w:ascii="Century" w:hAnsi="Century"/>
          <w:b/>
          <w:spacing w:val="0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פסק 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 xml:space="preserve">באר שבע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tl w:val="true"/>
        </w:rPr>
        <w:t>ים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רז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שלו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משניות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אשר ניתן ביום </w:t>
      </w:r>
      <w:r>
        <w:rPr/>
        <w:t>20.8.2020</w:t>
      </w:r>
      <w:r>
        <w:rPr>
          <w:rtl w:val="true"/>
        </w:rPr>
        <w:t xml:space="preserve"> (</w:t>
      </w:r>
      <w:r>
        <w:rPr>
          <w:rtl w:val="true"/>
        </w:rPr>
        <w:t>הכרעת דין</w:t>
      </w:r>
      <w:r>
        <w:rPr>
          <w:rtl w:val="true"/>
        </w:rPr>
        <w:t xml:space="preserve">) </w:t>
      </w:r>
      <w:r>
        <w:rPr>
          <w:rtl w:val="true"/>
        </w:rPr>
        <w:t xml:space="preserve">וביום </w:t>
      </w:r>
      <w:r>
        <w:rPr/>
        <w:t>8.2.2021</w:t>
      </w:r>
      <w:r>
        <w:rPr>
          <w:rtl w:val="true"/>
        </w:rPr>
        <w:t xml:space="preserve"> (</w:t>
      </w:r>
      <w:r>
        <w:rPr>
          <w:rtl w:val="true"/>
        </w:rPr>
        <w:t>גזר דין</w:t>
      </w:r>
      <w:r>
        <w:rPr>
          <w:rtl w:val="true"/>
        </w:rPr>
        <w:t xml:space="preserve">),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11113-06-18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בגדרו של תיק זה הורשע המערער באינוס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>מעשה סדום בכפייה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עבירה לפי </w:t>
      </w:r>
      <w:hyperlink r:id="rId1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347</w:t>
        </w:r>
        <w:r>
          <w:rPr>
            <w:rStyle w:val="Hyperlink"/>
            <w:rFonts w:cs="Century" w:ascii="Century" w:hAnsi="Century"/>
            <w:sz w:val="22"/>
            <w:rtl w:val="true"/>
          </w:rPr>
          <w:t>(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cs="Century" w:ascii="Century" w:hAnsi="Century"/>
            <w:sz w:val="22"/>
            <w:rtl w:val="true"/>
          </w:rPr>
          <w:t>)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שתי עבירות</w:t>
      </w:r>
      <w:r>
        <w:rPr>
          <w:rtl w:val="true"/>
        </w:rPr>
        <w:t xml:space="preserve">); </w:t>
      </w:r>
      <w:r>
        <w:rPr>
          <w:rtl w:val="true"/>
        </w:rPr>
        <w:t>וכן הדחה בחקירה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בעקבות הרשעתו כאמור נגזרו על המערער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וחצי שנות מאסר בפועל</w:t>
      </w:r>
      <w:r>
        <w:rPr>
          <w:rtl w:val="true"/>
        </w:rPr>
        <w:t xml:space="preserve">,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 xml:space="preserve">תנאי וכן תשלום פיצוי לנפגעת העבירה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 xml:space="preserve">בסך של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13.4.2018</w:t>
      </w:r>
      <w:r>
        <w:rPr>
          <w:rtl w:val="true"/>
        </w:rPr>
        <w:t xml:space="preserve">, </w:t>
      </w:r>
      <w:r>
        <w:rPr>
          <w:rtl w:val="true"/>
        </w:rPr>
        <w:t xml:space="preserve">לאחר השעה </w:t>
      </w:r>
      <w:r>
        <w:rPr/>
        <w:t>02:00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שהייתה באותה עת בת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פגשה את המערער בבר בדרום הארץ</w:t>
      </w:r>
      <w:r>
        <w:rPr>
          <w:rtl w:val="true"/>
        </w:rPr>
        <w:t xml:space="preserve">. </w:t>
      </w:r>
      <w:r>
        <w:rPr>
          <w:rtl w:val="true"/>
        </w:rPr>
        <w:t>עובר למפגש בין השניים</w:t>
      </w:r>
      <w:r>
        <w:rPr>
          <w:rtl w:val="true"/>
        </w:rPr>
        <w:t xml:space="preserve">, </w:t>
      </w:r>
      <w:r>
        <w:rPr>
          <w:rtl w:val="true"/>
        </w:rPr>
        <w:t>בילתה המתלוננת בבית חברתה ביחד עם בן זוגה</w:t>
      </w:r>
      <w:r>
        <w:rPr>
          <w:rtl w:val="true"/>
        </w:rPr>
        <w:t xml:space="preserve">, </w:t>
      </w:r>
      <w:r>
        <w:rPr>
          <w:rtl w:val="true"/>
        </w:rPr>
        <w:t>שם שתתה משקאות אלכוהוליים רבים שהביאו לערפול חושיה</w:t>
      </w:r>
      <w:r>
        <w:rPr>
          <w:rtl w:val="true"/>
        </w:rPr>
        <w:t xml:space="preserve">. </w:t>
      </w:r>
      <w:r>
        <w:rPr>
          <w:rtl w:val="true"/>
        </w:rPr>
        <w:t>בשלב מסוים התגלע ריב בין המתלוננת לבן זוגה שהוביל את המתלוננת לעזוב את בית חברתה</w:t>
      </w:r>
      <w:r>
        <w:rPr>
          <w:rtl w:val="true"/>
        </w:rPr>
        <w:t xml:space="preserve">. </w:t>
      </w:r>
      <w:r>
        <w:rPr>
          <w:rtl w:val="true"/>
        </w:rPr>
        <w:t>לאחר שיצאה מן הבית</w:t>
      </w:r>
      <w:r>
        <w:rPr>
          <w:rtl w:val="true"/>
        </w:rPr>
        <w:t xml:space="preserve">, </w:t>
      </w:r>
      <w:r>
        <w:rPr>
          <w:rtl w:val="true"/>
        </w:rPr>
        <w:t xml:space="preserve">הגיעה המתלוננת לבר סמוך למקום </w:t>
      </w:r>
      <w:r>
        <w:rPr>
          <w:rtl w:val="true"/>
        </w:rPr>
        <w:t>–</w:t>
      </w:r>
      <w:r>
        <w:rPr>
          <w:rtl w:val="true"/>
        </w:rPr>
        <w:t xml:space="preserve"> אשר את בעליו הכירה היכרות מוקדמת </w:t>
      </w:r>
      <w:r>
        <w:rPr>
          <w:rtl w:val="true"/>
        </w:rPr>
        <w:t>–</w:t>
      </w:r>
      <w:r>
        <w:rPr>
          <w:rtl w:val="true"/>
        </w:rPr>
        <w:t xml:space="preserve"> שם היא שתתה משקה אלכוהולי נוסף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ששהה גם הוא באותה העת במקום</w:t>
      </w:r>
      <w:r>
        <w:rPr>
          <w:rtl w:val="true"/>
        </w:rPr>
        <w:t xml:space="preserve">, </w:t>
      </w:r>
      <w:r>
        <w:rPr>
          <w:rtl w:val="true"/>
        </w:rPr>
        <w:t>התיישב ליד המתלוננת וניהל עמה שיחה</w:t>
      </w:r>
      <w:r>
        <w:rPr>
          <w:rtl w:val="true"/>
        </w:rPr>
        <w:t xml:space="preserve">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>חשה המתלוננת סחרחורת וחוסר יציבות</w:t>
      </w:r>
      <w:r>
        <w:rPr>
          <w:rtl w:val="true"/>
        </w:rPr>
        <w:t xml:space="preserve">, </w:t>
      </w:r>
      <w:r>
        <w:rPr>
          <w:rtl w:val="true"/>
        </w:rPr>
        <w:t>ולכן החליטה לעזוב את הבר</w:t>
      </w:r>
      <w:r>
        <w:rPr>
          <w:rtl w:val="true"/>
        </w:rPr>
        <w:t xml:space="preserve">. </w:t>
      </w:r>
      <w:r>
        <w:rPr>
          <w:rtl w:val="true"/>
        </w:rPr>
        <w:t>המערער יצא יחד אתה</w:t>
      </w:r>
      <w:r>
        <w:rPr>
          <w:rtl w:val="true"/>
        </w:rPr>
        <w:t xml:space="preserve">, </w:t>
      </w:r>
      <w:r>
        <w:rPr>
          <w:rtl w:val="true"/>
        </w:rPr>
        <w:t>וכאשר היו השניים ברחוב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</w:t>
      </w:r>
      <w:r>
        <w:rPr>
          <w:rtl w:val="true"/>
        </w:rPr>
        <w:t>–</w:t>
      </w:r>
      <w:r>
        <w:rPr>
          <w:rtl w:val="true"/>
        </w:rPr>
        <w:t xml:space="preserve"> שהייתה בהכרה מעורפלת באותה עת </w:t>
      </w:r>
      <w:r>
        <w:rPr>
          <w:rtl w:val="true"/>
        </w:rPr>
        <w:t>–</w:t>
      </w:r>
      <w:r>
        <w:rPr>
          <w:rtl w:val="true"/>
        </w:rPr>
        <w:t xml:space="preserve"> החלה להתווכח עם המערער מתוך מחשבה שמדובר באדם אחר</w:t>
      </w:r>
      <w:r>
        <w:rPr>
          <w:rtl w:val="true"/>
        </w:rPr>
        <w:t xml:space="preserve">.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 xml:space="preserve">בלבלה המתלוננת בין המערער לבין אב בן זוגה </w:t>
      </w:r>
      <w:r>
        <w:rPr>
          <w:rtl w:val="true"/>
        </w:rPr>
        <w:t>(</w:t>
      </w:r>
      <w:r>
        <w:rPr>
          <w:rtl w:val="true"/>
        </w:rPr>
        <w:t>ולכן צעקה עליו כי הוא אינו משלם מזונות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מבלי שהמתלוננת זוכרת בדיוק כיצד אירע הדבר</w:t>
      </w:r>
      <w:r>
        <w:rPr>
          <w:rtl w:val="true"/>
        </w:rPr>
        <w:t xml:space="preserve">, </w:t>
      </w:r>
      <w:r>
        <w:rPr>
          <w:rtl w:val="true"/>
        </w:rPr>
        <w:t>הגיעו השניים אל דירת המערער</w:t>
      </w:r>
      <w:r>
        <w:rPr>
          <w:rtl w:val="true"/>
        </w:rPr>
        <w:t xml:space="preserve">, </w:t>
      </w:r>
      <w:r>
        <w:rPr>
          <w:rtl w:val="true"/>
        </w:rPr>
        <w:t>שם הציע לה המערער כוס מים והיא שתתה</w:t>
      </w:r>
      <w:r>
        <w:rPr>
          <w:rtl w:val="true"/>
        </w:rPr>
        <w:t xml:space="preserve">. </w:t>
      </w:r>
      <w:r>
        <w:rPr>
          <w:rtl w:val="true"/>
        </w:rPr>
        <w:t>מיד לאחר מכן כיבה המערער את האור</w:t>
      </w:r>
      <w:r>
        <w:rPr>
          <w:rtl w:val="true"/>
        </w:rPr>
        <w:t xml:space="preserve">, </w:t>
      </w:r>
      <w:r>
        <w:rPr>
          <w:rtl w:val="true"/>
        </w:rPr>
        <w:t>נתן למתלוננת מכה בפנים</w:t>
      </w:r>
      <w:r>
        <w:rPr>
          <w:rtl w:val="true"/>
        </w:rPr>
        <w:t xml:space="preserve">, </w:t>
      </w:r>
      <w:r>
        <w:rPr>
          <w:rtl w:val="true"/>
        </w:rPr>
        <w:t>הדף אותה אל עבר הספה</w:t>
      </w:r>
      <w:r>
        <w:rPr>
          <w:rtl w:val="true"/>
        </w:rPr>
        <w:t xml:space="preserve">, </w:t>
      </w:r>
      <w:r>
        <w:rPr>
          <w:rtl w:val="true"/>
        </w:rPr>
        <w:t xml:space="preserve">הפשיט אותה מבגדיה ונשכב מעליה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תוך שהיא נאבקת בו ומבקשת ממנו שיפסיק וייתן לה ללכת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 xml:space="preserve">המערער צעק לה בשפה הרוסית </w:t>
      </w:r>
      <w:r>
        <w:rPr>
          <w:rtl w:val="true"/>
        </w:rPr>
        <w:t>"</w:t>
      </w:r>
      <w:r>
        <w:rPr>
          <w:rtl w:val="true"/>
        </w:rPr>
        <w:t>תסתמי את הפה זונה</w:t>
      </w:r>
      <w:r>
        <w:rPr>
          <w:rtl w:val="true"/>
        </w:rPr>
        <w:t xml:space="preserve">", </w:t>
      </w:r>
      <w:r>
        <w:rPr>
          <w:rtl w:val="true"/>
        </w:rPr>
        <w:t>והחל בהחדרת איבר מינו לתוך איבר מינה במשך כחצי שעה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המתלוננת צעקה</w:t>
      </w:r>
      <w:r>
        <w:rPr>
          <w:rtl w:val="true"/>
        </w:rPr>
        <w:t xml:space="preserve">, </w:t>
      </w:r>
      <w:r>
        <w:rPr>
          <w:rtl w:val="true"/>
        </w:rPr>
        <w:t>בכתה והתחננה בפני המערער שיחדל ממעשיו</w:t>
      </w:r>
      <w:r>
        <w:rPr>
          <w:rtl w:val="true"/>
        </w:rPr>
        <w:t xml:space="preserve">, </w:t>
      </w:r>
      <w:r>
        <w:rPr>
          <w:rtl w:val="true"/>
        </w:rPr>
        <w:t>אך הלה לא פסק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המתלוננת אף אמרה למערער שהיא בהריון בתקווה שהדבר יניא אותו מלהמשיך</w:t>
      </w:r>
      <w:r>
        <w:rPr>
          <w:rtl w:val="true"/>
        </w:rPr>
        <w:t xml:space="preserve">, </w:t>
      </w:r>
      <w:r>
        <w:rPr>
          <w:rtl w:val="true"/>
        </w:rPr>
        <w:t>אולם המערער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היכה אותה בפניה והמשיך במעשיו</w:t>
      </w:r>
      <w:r>
        <w:rPr>
          <w:rtl w:val="true"/>
        </w:rPr>
        <w:t xml:space="preserve">. </w:t>
      </w:r>
      <w:r>
        <w:rPr>
          <w:rtl w:val="true"/>
        </w:rPr>
        <w:t>במהלך האירוע</w:t>
      </w:r>
      <w:r>
        <w:rPr>
          <w:rtl w:val="true"/>
        </w:rPr>
        <w:t xml:space="preserve">, </w:t>
      </w:r>
      <w:r>
        <w:rPr>
          <w:rtl w:val="true"/>
        </w:rPr>
        <w:t>המערער ניסה לנשק את המתלוננת</w:t>
      </w:r>
      <w:r>
        <w:rPr>
          <w:rtl w:val="true"/>
        </w:rPr>
        <w:t xml:space="preserve">, </w:t>
      </w:r>
      <w:r>
        <w:rPr>
          <w:rtl w:val="true"/>
        </w:rPr>
        <w:t>אך היא סובבה את פניה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השכיב המערער את המתלוננת על בטנה והחדיר את איבר מינו אל פי הטבעת שלה תוך שהיא סובלת מכאבים עזים</w:t>
      </w:r>
      <w:r>
        <w:rPr>
          <w:rtl w:val="true"/>
        </w:rPr>
        <w:t xml:space="preserve">. </w:t>
      </w:r>
      <w:r>
        <w:rPr>
          <w:rtl w:val="true"/>
        </w:rPr>
        <w:t>בניסיון נוסף להפסיק את מעשיו</w:t>
      </w:r>
      <w:r>
        <w:rPr>
          <w:rtl w:val="true"/>
        </w:rPr>
        <w:t xml:space="preserve">, </w:t>
      </w:r>
      <w:r>
        <w:rPr>
          <w:rtl w:val="true"/>
        </w:rPr>
        <w:t>ביקשה המתלוננת מהמערער ללכת לשירותים</w:t>
      </w:r>
      <w:r>
        <w:rPr>
          <w:rtl w:val="true"/>
        </w:rPr>
        <w:t xml:space="preserve">, </w:t>
      </w:r>
      <w:r>
        <w:rPr>
          <w:rtl w:val="true"/>
        </w:rPr>
        <w:t>אך הוא משך אותה בשיערה</w:t>
      </w:r>
      <w:r>
        <w:rPr>
          <w:rtl w:val="true"/>
        </w:rPr>
        <w:t xml:space="preserve">, </w:t>
      </w:r>
      <w:r>
        <w:rPr>
          <w:rtl w:val="true"/>
        </w:rPr>
        <w:t>הושיבה על האסלה בחדר השירותים</w:t>
      </w:r>
      <w:r>
        <w:rPr>
          <w:rtl w:val="true"/>
        </w:rPr>
        <w:t xml:space="preserve">, </w:t>
      </w:r>
      <w:r>
        <w:rPr>
          <w:rtl w:val="true"/>
        </w:rPr>
        <w:t xml:space="preserve">החדיר את איבר מינו אל פיה באומרו </w:t>
      </w:r>
      <w:r>
        <w:rPr>
          <w:rtl w:val="true"/>
        </w:rPr>
        <w:t>"</w:t>
      </w:r>
      <w:r>
        <w:rPr>
          <w:rtl w:val="true"/>
        </w:rPr>
        <w:t>תסתמי את הפה שלך זונה</w:t>
      </w:r>
      <w:r>
        <w:rPr>
          <w:rtl w:val="true"/>
        </w:rPr>
        <w:t xml:space="preserve">".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אחז בזרועותיה וטלטל אותן באופן שהותיר סימנים על גופה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החזיר המערער את המתלוננת לספה</w:t>
      </w:r>
      <w:r>
        <w:rPr>
          <w:rtl w:val="true"/>
        </w:rPr>
        <w:t xml:space="preserve">, </w:t>
      </w:r>
      <w:r>
        <w:rPr>
          <w:rtl w:val="true"/>
        </w:rPr>
        <w:t xml:space="preserve">והחדיר שוב את איבר מינו לאיבר מינה עד אשר הגיע לפורקן מיני </w:t>
      </w:r>
      <w:r>
        <w:rPr>
          <w:rtl w:val="true"/>
        </w:rPr>
        <w:t>–</w:t>
      </w:r>
      <w:r>
        <w:rPr>
          <w:rtl w:val="true"/>
        </w:rPr>
        <w:t xml:space="preserve"> כל זאת</w:t>
      </w:r>
      <w:r>
        <w:rPr>
          <w:rtl w:val="true"/>
        </w:rPr>
        <w:t xml:space="preserve">, </w:t>
      </w:r>
      <w:r>
        <w:rPr>
          <w:rtl w:val="true"/>
        </w:rPr>
        <w:t>בעוד היא מנסה להתנגד ולהדוף אותו</w:t>
      </w:r>
      <w:r>
        <w:rPr>
          <w:rtl w:val="true"/>
        </w:rPr>
        <w:t xml:space="preserve">. </w:t>
      </w:r>
      <w:r>
        <w:rPr>
          <w:rtl w:val="true"/>
        </w:rPr>
        <w:t>משחדל ממעשיו</w:t>
      </w:r>
      <w:r>
        <w:rPr>
          <w:rtl w:val="true"/>
        </w:rPr>
        <w:t xml:space="preserve">, </w:t>
      </w:r>
      <w:r>
        <w:rPr>
          <w:rtl w:val="true"/>
        </w:rPr>
        <w:t>לקח המערער את המתלוננת אל מחוץ לביתו כאשר הוא מכסה את עיניה בידיו</w:t>
      </w:r>
      <w:r>
        <w:rPr>
          <w:rtl w:val="true"/>
        </w:rPr>
        <w:t xml:space="preserve">. </w:t>
      </w:r>
      <w:r>
        <w:rPr>
          <w:rtl w:val="true"/>
        </w:rPr>
        <w:t>בהגיעם לרחוב</w:t>
      </w:r>
      <w:r>
        <w:rPr>
          <w:rtl w:val="true"/>
        </w:rPr>
        <w:t xml:space="preserve">, </w:t>
      </w:r>
      <w:r>
        <w:rPr>
          <w:rtl w:val="true"/>
        </w:rPr>
        <w:t>שחרר את ידיו ואיים על המתלוננת כי אם תתלונן עליו למשטרה הוא יהרוג אותה ואת כל בני משפחתה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במענה לכתב האישום</w:t>
      </w:r>
      <w:r>
        <w:rPr>
          <w:rtl w:val="true"/>
        </w:rPr>
        <w:t xml:space="preserve">, </w:t>
      </w:r>
      <w:r>
        <w:rPr>
          <w:rtl w:val="true"/>
        </w:rPr>
        <w:t>אישר המערער את התקיימות המפגש האקראי בינו ובין המתלוננת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כפר במעשי העבירה המיוחסים לו בכתב האישום</w:t>
      </w:r>
      <w:r>
        <w:rPr>
          <w:rtl w:val="true"/>
        </w:rPr>
        <w:t xml:space="preserve">, </w:t>
      </w:r>
      <w:r>
        <w:rPr>
          <w:rtl w:val="true"/>
        </w:rPr>
        <w:t>וטען כי השניים קיימו יחסי מין בהסכמה ומרצון חופשי</w:t>
      </w:r>
      <w:r>
        <w:rPr>
          <w:rtl w:val="true"/>
        </w:rPr>
        <w:t xml:space="preserve">. </w:t>
      </w:r>
      <w:r>
        <w:rPr>
          <w:rtl w:val="true"/>
        </w:rPr>
        <w:t>המשפט עבר אפוא לשלב ההוכחות</w:t>
      </w:r>
      <w:r>
        <w:rPr>
          <w:rtl w:val="true"/>
        </w:rPr>
        <w:t xml:space="preserve">. </w:t>
      </w:r>
      <w:r>
        <w:rPr>
          <w:rtl w:val="true"/>
        </w:rPr>
        <w:t>במסגרת פרשת התביעה</w:t>
      </w:r>
      <w:r>
        <w:rPr>
          <w:rtl w:val="true"/>
        </w:rPr>
        <w:t xml:space="preserve">, </w:t>
      </w:r>
      <w:r>
        <w:rPr>
          <w:rtl w:val="true"/>
        </w:rPr>
        <w:t>נשמעו עדות המתלוננת</w:t>
      </w:r>
      <w:r>
        <w:rPr>
          <w:rtl w:val="true"/>
        </w:rPr>
        <w:t xml:space="preserve">; </w:t>
      </w:r>
      <w:r>
        <w:rPr>
          <w:rtl w:val="true"/>
        </w:rPr>
        <w:t>עדות אם המתלוננת</w:t>
      </w:r>
      <w:r>
        <w:rPr>
          <w:rtl w:val="true"/>
        </w:rPr>
        <w:t xml:space="preserve">; </w:t>
      </w:r>
      <w:r>
        <w:rPr>
          <w:rtl w:val="true"/>
        </w:rPr>
        <w:t>עדות בן זוגה של המתלוננת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רופאה גניקולוגית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 xml:space="preserve">ר פולינה שוורצמן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שוורצמן</w:t>
      </w:r>
      <w:r>
        <w:rPr>
          <w:rtl w:val="true"/>
        </w:rPr>
        <w:t xml:space="preserve">), </w:t>
      </w:r>
      <w:r>
        <w:rPr>
          <w:rtl w:val="true"/>
        </w:rPr>
        <w:t>אשר בדקה את המתלוננת בבית החולים בסמיכות לאירוע והעניקה לה טיפול רפואי ראשוני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בתום פרשת ההוכחות והסיכומים</w:t>
      </w:r>
      <w:r>
        <w:rPr>
          <w:rtl w:val="true"/>
        </w:rPr>
        <w:t xml:space="preserve">, </w:t>
      </w:r>
      <w:r>
        <w:rPr>
          <w:rtl w:val="true"/>
        </w:rPr>
        <w:t>מצא בית משפט קמא כי המערער ביצע את המעשים הפליליים המיוחסים לו בכתב האישום</w:t>
      </w:r>
      <w:r>
        <w:rPr>
          <w:rtl w:val="true"/>
        </w:rPr>
        <w:t xml:space="preserve">. </w:t>
      </w:r>
      <w:r>
        <w:rPr>
          <w:rtl w:val="true"/>
        </w:rPr>
        <w:t>בהכרעת הדין</w:t>
      </w:r>
      <w:r>
        <w:rPr>
          <w:rtl w:val="true"/>
        </w:rPr>
        <w:t xml:space="preserve">, </w:t>
      </w:r>
      <w:r>
        <w:rPr>
          <w:rtl w:val="true"/>
        </w:rPr>
        <w:t>ציין בית המשפט כי התרשם מעדות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אשר הייתה בת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במעמד מתן העדות</w:t>
      </w:r>
      <w:r>
        <w:rPr>
          <w:rtl w:val="true"/>
        </w:rPr>
        <w:t xml:space="preserve">, </w:t>
      </w:r>
      <w:r>
        <w:rPr>
          <w:rtl w:val="true"/>
        </w:rPr>
        <w:t>לחיוב וקבע כי הוא נותן אמון מלא בעדותה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קבע בית המשפט כי מדובר בעדה מהימנה אשר לא ביקשה להפליל לשווא את המערער</w:t>
      </w:r>
      <w:r>
        <w:rPr>
          <w:rtl w:val="true"/>
        </w:rPr>
        <w:t xml:space="preserve">. </w:t>
      </w:r>
      <w:r>
        <w:rPr>
          <w:rtl w:val="true"/>
        </w:rPr>
        <w:t>בית המשפט הטעים כי המתלוננת העידה באומץ לב</w:t>
      </w:r>
      <w:r>
        <w:rPr>
          <w:rtl w:val="true"/>
        </w:rPr>
        <w:t xml:space="preserve">, </w:t>
      </w:r>
      <w:r>
        <w:rPr>
          <w:rtl w:val="true"/>
        </w:rPr>
        <w:t>וסיפרה בכאב את סיפורה כאשר סימני הטראומה ניכרו מעדותה</w:t>
      </w:r>
      <w:r>
        <w:rPr>
          <w:rtl w:val="true"/>
        </w:rPr>
        <w:t xml:space="preserve">. </w:t>
      </w:r>
      <w:r>
        <w:rPr>
          <w:rtl w:val="true"/>
        </w:rPr>
        <w:t>כמו כן קבע בית המשפט כי הדברים שמסרה המתלוננת בעדותה נאמרו בפשטות ובאותנטיות</w:t>
      </w:r>
      <w:r>
        <w:rPr>
          <w:rtl w:val="true"/>
        </w:rPr>
        <w:t xml:space="preserve">, </w:t>
      </w:r>
      <w:r>
        <w:rPr>
          <w:rtl w:val="true"/>
        </w:rPr>
        <w:t>ללא כחל ושרק</w:t>
      </w:r>
      <w:r>
        <w:rPr>
          <w:rtl w:val="true"/>
        </w:rPr>
        <w:t xml:space="preserve">. </w:t>
      </w:r>
      <w:r>
        <w:rPr>
          <w:rtl w:val="true"/>
        </w:rPr>
        <w:t>עוד קבע בית המשפט כי תיאור הדברים היה קוהרנטי ועקבי ונתמך בראיות נוספות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בית המשפט התרשם לרעה מעדות המערער ודחה אותה מכל וכל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קבע בית המשפט כי על פני ציר הזמן של חקירה ומשפט הציג המערער גרסת חפות רווית סתירות</w:t>
      </w:r>
      <w:r>
        <w:rPr>
          <w:rtl w:val="true"/>
        </w:rPr>
        <w:t xml:space="preserve">. </w:t>
      </w:r>
      <w:r>
        <w:rPr>
          <w:rtl w:val="true"/>
        </w:rPr>
        <w:t>בית המשפט הטעים בהקשר זה כי גרסת המערער שינתה את פניה מעת לעת</w:t>
      </w:r>
      <w:r>
        <w:rPr>
          <w:rtl w:val="true"/>
        </w:rPr>
        <w:t xml:space="preserve">, </w:t>
      </w:r>
      <w:r>
        <w:rPr>
          <w:rtl w:val="true"/>
        </w:rPr>
        <w:t>בהתאם להתפתחויות אשר חלו בחקירת המקרה על ידי המשטרה והראיות שעמן התבקש המערער להתעמת</w:t>
      </w:r>
      <w:r>
        <w:rPr>
          <w:rtl w:val="true"/>
        </w:rPr>
        <w:t xml:space="preserve">. </w:t>
      </w:r>
      <w:r>
        <w:rPr>
          <w:rtl w:val="true"/>
        </w:rPr>
        <w:t>תחילתה של גרסת המערער בהכחשה גורפת של עצם המפגש עם המתלוננת וקיום יחסי המין עמה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עם הגעת ראיות פורנזיות שקשרו את המערער לאירוע</w:t>
      </w:r>
      <w:r>
        <w:rPr>
          <w:rtl w:val="true"/>
        </w:rPr>
        <w:t xml:space="preserve">, </w:t>
      </w:r>
      <w:r>
        <w:rPr>
          <w:rtl w:val="true"/>
        </w:rPr>
        <w:t>עבר המערער לסיפור הבא</w:t>
      </w:r>
      <w:r>
        <w:rPr>
          <w:rtl w:val="true"/>
        </w:rPr>
        <w:t xml:space="preserve">: </w:t>
      </w:r>
      <w:r>
        <w:rPr>
          <w:rtl w:val="true"/>
        </w:rPr>
        <w:t>הוא אישר כי היה קשר מיני בינו לבין המתלוננת</w:t>
      </w:r>
      <w:r>
        <w:rPr>
          <w:rtl w:val="true"/>
        </w:rPr>
        <w:t xml:space="preserve">, </w:t>
      </w:r>
      <w:r>
        <w:rPr>
          <w:rtl w:val="true"/>
        </w:rPr>
        <w:t>אך טען כי קשר זה נבע מתשוקה מינית הדדית ומרצון חופשי</w:t>
      </w:r>
      <w:r>
        <w:rPr>
          <w:rtl w:val="true"/>
        </w:rPr>
        <w:t xml:space="preserve">. </w:t>
      </w:r>
      <w:r>
        <w:rPr>
          <w:rtl w:val="true"/>
        </w:rPr>
        <w:t>כמו כן שינה המערער את גרסתו ביחס להתקיימות מין אנאלי בינו לבין המתלוננת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שלל המערער את הדבר שלילה מוחלטת</w:t>
      </w:r>
      <w:r>
        <w:rPr>
          <w:rtl w:val="true"/>
        </w:rPr>
        <w:t xml:space="preserve">, </w:t>
      </w:r>
      <w:r>
        <w:rPr>
          <w:rtl w:val="true"/>
        </w:rPr>
        <w:t xml:space="preserve">אולם בהמשך שינה את גרסתו וטען כי ייתכן שבשלב מסוים איבר מינו הגיע </w:t>
      </w:r>
      <w:r>
        <w:rPr>
          <w:rtl w:val="true"/>
        </w:rPr>
        <w:t>"</w:t>
      </w:r>
      <w:r>
        <w:rPr>
          <w:rtl w:val="true"/>
        </w:rPr>
        <w:t>בטעות</w:t>
      </w:r>
      <w:r>
        <w:rPr>
          <w:rtl w:val="true"/>
        </w:rPr>
        <w:t xml:space="preserve">" </w:t>
      </w:r>
      <w:r>
        <w:rPr>
          <w:rtl w:val="true"/>
        </w:rPr>
        <w:t>לפי הטבעת של המתלוננת</w:t>
      </w:r>
      <w:r>
        <w:rPr>
          <w:rtl w:val="true"/>
        </w:rPr>
        <w:t xml:space="preserve">. </w:t>
      </w:r>
      <w:r>
        <w:rPr>
          <w:rtl w:val="true"/>
        </w:rPr>
        <w:t>בית משפט קמא קבע כי שקרי המערער באשר לעצם קיומו של מגע מיני עם המתלוננת נבעו מרצונו להרחיק את עצמו מהעבירות שעבר</w:t>
      </w:r>
      <w:r>
        <w:rPr>
          <w:rtl w:val="true"/>
        </w:rPr>
        <w:t xml:space="preserve">, </w:t>
      </w:r>
      <w:r>
        <w:rPr>
          <w:rtl w:val="true"/>
        </w:rPr>
        <w:t>ועל כן הם מערערים את אמינותו מן היסוד</w:t>
      </w:r>
      <w:r>
        <w:rPr>
          <w:rtl w:val="true"/>
        </w:rPr>
        <w:t xml:space="preserve">. </w:t>
      </w:r>
      <w:r>
        <w:rPr>
          <w:rtl w:val="true"/>
        </w:rPr>
        <w:t>בית משפט קמא מצא אפוא את ראיות המדינה אמינות מעבר לספק סביר והרשיע את המערער בעבירות שמניתי לעיל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בבואו לגזור את 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קבע בית משפט קמא כי </w:t>
      </w:r>
      <w:r>
        <w:rPr>
          <w:rtl w:val="true"/>
        </w:rPr>
        <w:t>"</w:t>
      </w:r>
      <w:r>
        <w:rPr>
          <w:rtl w:val="true"/>
        </w:rPr>
        <w:t>הנאשם ביצע במתלוננת</w:t>
      </w:r>
      <w:r>
        <w:rPr>
          <w:rtl w:val="true"/>
        </w:rPr>
        <w:t xml:space="preserve">, </w:t>
      </w:r>
      <w:r>
        <w:rPr>
          <w:rtl w:val="true"/>
        </w:rPr>
        <w:t>מעשי מין חמורים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פוגעניים ואלימים תוך שהוא מנצל באופן ברור את העובדה שהייתה תחת השפעת משקאות אלכוהוליים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גזר הדין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בית המשפט התייחס לחומרה היתרה של עבירות המין</w:t>
      </w:r>
      <w:r>
        <w:rPr>
          <w:rtl w:val="true"/>
        </w:rPr>
        <w:t xml:space="preserve">, </w:t>
      </w:r>
      <w:r>
        <w:rPr>
          <w:rtl w:val="true"/>
        </w:rPr>
        <w:t>אשר בוצעו תוך הפעלת אלימות קשה</w:t>
      </w:r>
      <w:r>
        <w:rPr>
          <w:rtl w:val="true"/>
        </w:rPr>
        <w:t xml:space="preserve">, </w:t>
      </w:r>
      <w:r>
        <w:rPr>
          <w:rtl w:val="true"/>
        </w:rPr>
        <w:t>כאילו הייתה המתלוננת בגדר חפץ שנועד לסיפוק גחמותיו המיניות של המערער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עמד בית המשפט על כך שלמערער הרשעות קודמות וכי עשה את שעשה כחודש בלבד לאחר שהשתחרר מבית הסוהר בו ריצה עונש מאסר בגין עבירות סמים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: </w:t>
      </w:r>
      <w:r>
        <w:rPr>
          <w:rtl w:val="true"/>
        </w:rPr>
        <w:t>בית המשפט גם ציין כי המערער הכחיש את המיוחס לו ולא לקח שום אחריות על מעשיו</w:t>
      </w:r>
      <w:r>
        <w:rPr>
          <w:rtl w:val="true"/>
        </w:rPr>
        <w:t xml:space="preserve">. </w:t>
      </w:r>
      <w:r>
        <w:rPr>
          <w:rtl w:val="true"/>
        </w:rPr>
        <w:t>לאור כל המקובץ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מתחם העונש ההולם עומד במקרה דנן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/>
        <w:t>15-11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ולבסוף החליט לגזור את עונשו של המערער ברף האמצעי</w:t>
      </w:r>
      <w:r>
        <w:rPr>
          <w:rtl w:val="true"/>
        </w:rPr>
        <w:t>-</w:t>
      </w:r>
      <w:r>
        <w:rPr>
          <w:rtl w:val="true"/>
        </w:rPr>
        <w:t xml:space="preserve">עליון של מתחם העונש ולהשית עליו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וחצי שנות מאסר בפועל לצד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 xml:space="preserve">ותשלום פיצוי למתלוננת בסך של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טוען כי מן הדין לזכותו מהעבירות בהן הורשע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שגה בית משפט קמא בהחליטו ליתן לעדות המתלוננת משקל מלא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חרף העובדה שבעת האירוע המתלוננת צרכה כמות מופרזת של אלכוהול באופן שעשוי היה להשפיע על מצבה ההכרתי</w:t>
      </w:r>
      <w:r>
        <w:rPr>
          <w:rtl w:val="true"/>
        </w:rPr>
        <w:t xml:space="preserve">, </w:t>
      </w:r>
      <w:r>
        <w:rPr>
          <w:rtl w:val="true"/>
        </w:rPr>
        <w:t>ועל היכולת שלה לזכור את האירוע כפי שהוא התרחש במציאות</w:t>
      </w:r>
      <w:r>
        <w:rPr>
          <w:rtl w:val="true"/>
        </w:rPr>
        <w:t xml:space="preserve">. </w:t>
      </w:r>
      <w:r>
        <w:rPr>
          <w:rtl w:val="true"/>
        </w:rPr>
        <w:t>במסגרת זאת</w:t>
      </w:r>
      <w:r>
        <w:rPr>
          <w:rtl w:val="true"/>
        </w:rPr>
        <w:t xml:space="preserve">, </w:t>
      </w:r>
      <w:r>
        <w:rPr>
          <w:rtl w:val="true"/>
        </w:rPr>
        <w:t>מצביע המערער על שיבושים בזיכרון המתלוננת ושחזורים שאינם נאמנים למציאות שעולים מעדותה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tl w:val="true"/>
        </w:rPr>
        <w:t xml:space="preserve">: </w:t>
      </w:r>
      <w:r>
        <w:rPr>
          <w:rtl w:val="true"/>
        </w:rPr>
        <w:t>התנהגות המתלוננת שלפרקים סברה שהמערער הוא אבי בן זוגה</w:t>
      </w:r>
      <w:r>
        <w:rPr>
          <w:rtl w:val="true"/>
        </w:rPr>
        <w:t xml:space="preserve">; </w:t>
      </w:r>
      <w:r>
        <w:rPr>
          <w:rtl w:val="true"/>
        </w:rPr>
        <w:t>פערים בין שחזור האירוע על ידי המתלוננת לבין השחזור אשר בא מפיו של בן זוגה</w:t>
      </w:r>
      <w:r>
        <w:rPr>
          <w:rtl w:val="true"/>
        </w:rPr>
        <w:t xml:space="preserve">; </w:t>
      </w:r>
      <w:r>
        <w:rPr>
          <w:rtl w:val="true"/>
        </w:rPr>
        <w:t>קושי המתלוננת לשחזר את האירוע בפעמים הראשונות בהן נדרשה לכך</w:t>
      </w:r>
      <w:r>
        <w:rPr>
          <w:rtl w:val="true"/>
        </w:rPr>
        <w:t xml:space="preserve">; </w:t>
      </w:r>
      <w:r>
        <w:rPr>
          <w:rtl w:val="true"/>
        </w:rPr>
        <w:t>העובדה שהמתלוננת טענה תחילה כי המערער גרר אותה בכוח לדירתו</w:t>
      </w:r>
      <w:r>
        <w:rPr>
          <w:rtl w:val="true"/>
        </w:rPr>
        <w:t xml:space="preserve">, </w:t>
      </w:r>
      <w:r>
        <w:rPr>
          <w:rtl w:val="true"/>
        </w:rPr>
        <w:t>ובהמשך שינתה את גרסתה באומרה כי אין היא זוכרת באיזה אופן הגיעה לדירה</w:t>
      </w:r>
      <w:r>
        <w:rPr>
          <w:rtl w:val="true"/>
        </w:rPr>
        <w:t xml:space="preserve">; </w:t>
      </w:r>
      <w:r>
        <w:rPr>
          <w:rtl w:val="true"/>
        </w:rPr>
        <w:t>וכן ההתרחשויות שאירעו בדירה שהמתלוננת אינה זוכרת כלל או במדויק</w:t>
      </w:r>
      <w:r>
        <w:rPr>
          <w:rtl w:val="true"/>
        </w:rPr>
        <w:t xml:space="preserve">. </w:t>
      </w:r>
      <w:r>
        <w:rPr>
          <w:rtl w:val="true"/>
        </w:rPr>
        <w:t xml:space="preserve">המערער נסמך בדבריו על חוות דעת מומחה שקבע שלא ניתן לשלול את האפשרות שעדות המתלוננת היא תוצר של מנגנון הנקרא </w:t>
      </w:r>
      <w:r>
        <w:rPr>
          <w:rtl w:val="true"/>
        </w:rPr>
        <w:t>"</w:t>
      </w:r>
      <w:r>
        <w:rPr>
          <w:rtl w:val="true"/>
        </w:rPr>
        <w:t>קונפבולציה</w:t>
      </w:r>
      <w:r>
        <w:rPr>
          <w:rtl w:val="true"/>
        </w:rPr>
        <w:t>" (</w:t>
      </w:r>
      <w:r>
        <w:rPr>
          <w:rFonts w:cs="Times New Roman" w:ascii="Times New Roman" w:hAnsi="Times New Roman"/>
        </w:rPr>
        <w:t>confabulation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מנגנון בו אדם משלים</w:t>
      </w:r>
      <w:r>
        <w:rPr>
          <w:rtl w:val="true"/>
        </w:rPr>
        <w:t xml:space="preserve">, </w:t>
      </w:r>
      <w:r>
        <w:rPr>
          <w:rtl w:val="true"/>
        </w:rPr>
        <w:t>בתמימות</w:t>
      </w:r>
      <w:r>
        <w:rPr>
          <w:rtl w:val="true"/>
        </w:rPr>
        <w:t xml:space="preserve">, </w:t>
      </w:r>
      <w:r>
        <w:rPr>
          <w:rtl w:val="true"/>
        </w:rPr>
        <w:t>פערים בזיכרונו באמצעות בדיית אירועים אשר לא התרחשו במציאות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יכול והמתלוננת מחקה מתודעתה זיכרונות מהאירוע שאינם מתיישבים עם מצפונה ותפיסתה הערכית </w:t>
      </w:r>
      <w:r>
        <w:rPr>
          <w:rtl w:val="true"/>
        </w:rPr>
        <w:t>–</w:t>
      </w:r>
      <w:r>
        <w:rPr>
          <w:rtl w:val="true"/>
        </w:rPr>
        <w:t xml:space="preserve"> כגון זיכרונותיה כמי שמקיימת יחסי מין מזדמנים ובוגדת בבן זוגה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>המערער מוסיף כי מלבד עדות המתלוננת אין בנמצא ראיות בעלות משקל אשר בכוחן לאשש את גרסתה</w:t>
      </w:r>
      <w:r>
        <w:rPr>
          <w:rtl w:val="true"/>
        </w:rPr>
        <w:t xml:space="preserve">. </w:t>
      </w:r>
      <w:r>
        <w:rPr>
          <w:rtl w:val="true"/>
        </w:rPr>
        <w:t>הראיה החיצונית המרכזית עליה התבסס בית משפט קמא היא חוות דעת רפואית של גניקולוגית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שוורצמן</w:t>
      </w:r>
      <w:r>
        <w:rPr>
          <w:rtl w:val="true"/>
        </w:rPr>
        <w:t xml:space="preserve">, </w:t>
      </w:r>
      <w:r>
        <w:rPr>
          <w:rtl w:val="true"/>
        </w:rPr>
        <w:t>שבדקה את המתלוננת בסמוך לאירוע ומצאה חבלות על גופה באזורי המרפק</w:t>
      </w:r>
      <w:r>
        <w:rPr>
          <w:rtl w:val="true"/>
        </w:rPr>
        <w:t xml:space="preserve">, </w:t>
      </w:r>
      <w:r>
        <w:rPr>
          <w:rtl w:val="true"/>
        </w:rPr>
        <w:t>היד והברך שלה</w:t>
      </w:r>
      <w:r>
        <w:rPr>
          <w:rtl w:val="true"/>
        </w:rPr>
        <w:t xml:space="preserve">. </w:t>
      </w:r>
      <w:r>
        <w:rPr>
          <w:rtl w:val="true"/>
        </w:rPr>
        <w:t>ביחס לממצא זה</w:t>
      </w:r>
      <w:r>
        <w:rPr>
          <w:rtl w:val="true"/>
        </w:rPr>
        <w:t xml:space="preserve">, </w:t>
      </w:r>
      <w:r>
        <w:rPr>
          <w:rtl w:val="true"/>
        </w:rPr>
        <w:t>המערער טוען כי לא מן הנמנע הוא שחבלות אלה נוצרו כאשר נתקלה המתלוננת בחפצים בזמן שהייתה תחת השפעת אלכוהול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למצער</w:t>
      </w:r>
      <w:r>
        <w:rPr>
          <w:rtl w:val="true"/>
        </w:rPr>
        <w:t xml:space="preserve">, </w:t>
      </w:r>
      <w:r>
        <w:rPr>
          <w:rtl w:val="true"/>
        </w:rPr>
        <w:t>טוען המערער כי מן הדין להקל באופן משמעותי בעונש שהוטל עליו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 xml:space="preserve">טעה בית משפט קמא שקבע את מתחם הענישה מבלי להתחשב בגילו הצעיר </w:t>
      </w:r>
      <w:r>
        <w:rPr>
          <w:rtl w:val="true"/>
        </w:rPr>
        <w:t>(</w:t>
      </w:r>
      <w:r>
        <w:rPr>
          <w:rtl w:val="true"/>
        </w:rPr>
        <w:t xml:space="preserve">המערער היה בן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בעת ביצוע המעשים</w:t>
      </w:r>
      <w:r>
        <w:rPr>
          <w:rtl w:val="true"/>
        </w:rPr>
        <w:t xml:space="preserve">), </w:t>
      </w:r>
      <w:r>
        <w:rPr>
          <w:rtl w:val="true"/>
        </w:rPr>
        <w:t>ובעובדה שהמערער נעדר עבר פלילי בתחום עבירות מין</w:t>
      </w:r>
      <w:r>
        <w:rPr>
          <w:rtl w:val="true"/>
        </w:rPr>
        <w:t xml:space="preserve">. </w:t>
      </w:r>
      <w:r>
        <w:rPr>
          <w:rtl w:val="true"/>
        </w:rPr>
        <w:t>כמו כן מפנה המערער לפסקי דין אשר דנו במקרים דומים וטוען כי העונש שהושת עליו כאמור חורג מהענישה הנוהגת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סומכת המדינה את ידיה על קביעותיו של בית משפט קמא</w:t>
      </w:r>
      <w:r>
        <w:rPr>
          <w:rtl w:val="true"/>
        </w:rPr>
        <w:t xml:space="preserve">. </w:t>
      </w:r>
      <w:r>
        <w:rPr>
          <w:rtl w:val="true"/>
        </w:rPr>
        <w:t>המדינה מדגישה את המהימנות לעילא</w:t>
      </w:r>
      <w:r>
        <w:rPr>
          <w:rtl w:val="true"/>
        </w:rPr>
        <w:t>-</w:t>
      </w:r>
      <w:r>
        <w:rPr>
          <w:rtl w:val="true"/>
        </w:rPr>
        <w:t>ולעילא שייחס בית משפט קמא לעדות המתלוננת על כל חלקיה</w:t>
      </w:r>
      <w:r>
        <w:rPr>
          <w:rtl w:val="true"/>
        </w:rPr>
        <w:t xml:space="preserve">; </w:t>
      </w:r>
      <w:r>
        <w:rPr>
          <w:rtl w:val="true"/>
        </w:rPr>
        <w:t>את שקרי המערער והאופן בו הרחיק את עצמו מביצוע העבירות</w:t>
      </w:r>
      <w:r>
        <w:rPr>
          <w:rtl w:val="true"/>
        </w:rPr>
        <w:t xml:space="preserve">; </w:t>
      </w:r>
      <w:r>
        <w:rPr>
          <w:rtl w:val="true"/>
        </w:rPr>
        <w:t>ואת החיזוקים הרבים לעדות המתלוננת</w:t>
      </w:r>
      <w:r>
        <w:rPr>
          <w:rtl w:val="true"/>
        </w:rPr>
        <w:t xml:space="preserve">, </w:t>
      </w:r>
      <w:r>
        <w:rPr>
          <w:rtl w:val="true"/>
        </w:rPr>
        <w:t>לרבות מצבה הנפשי הקשה לאחר האירוע</w:t>
      </w:r>
      <w:r>
        <w:rPr>
          <w:rtl w:val="true"/>
        </w:rPr>
        <w:t xml:space="preserve">, </w:t>
      </w:r>
      <w:r>
        <w:rPr>
          <w:rtl w:val="true"/>
        </w:rPr>
        <w:t>עדויות אמה ובן זוגה</w:t>
      </w:r>
      <w:r>
        <w:rPr>
          <w:rtl w:val="true"/>
        </w:rPr>
        <w:t xml:space="preserve">, </w:t>
      </w:r>
      <w:r>
        <w:rPr>
          <w:rtl w:val="true"/>
        </w:rPr>
        <w:t>שגם הן נמצאו מהימנות</w:t>
      </w:r>
      <w:r>
        <w:rPr>
          <w:rtl w:val="true"/>
        </w:rPr>
        <w:t xml:space="preserve">, </w:t>
      </w:r>
      <w:r>
        <w:rPr>
          <w:rtl w:val="true"/>
        </w:rPr>
        <w:t>חוות דעת ביולוגית אשר מתייחסת להימצאות זרע המערער באזור הנרתיק</w:t>
      </w:r>
      <w:r>
        <w:rPr>
          <w:rtl w:val="true"/>
        </w:rPr>
        <w:t xml:space="preserve">, </w:t>
      </w:r>
      <w:r>
        <w:rPr>
          <w:rtl w:val="true"/>
        </w:rPr>
        <w:t>בתחתונים ובפי הטבעת של המתלוננת באופן שמתיישב עם גרסתה</w:t>
      </w:r>
      <w:r>
        <w:rPr>
          <w:rtl w:val="true"/>
        </w:rPr>
        <w:t xml:space="preserve">, </w:t>
      </w:r>
      <w:r>
        <w:rPr>
          <w:rtl w:val="true"/>
        </w:rPr>
        <w:t>וכן חוות דעת ועדות של רופאה</w:t>
      </w:r>
      <w:r>
        <w:rPr>
          <w:rtl w:val="true"/>
        </w:rPr>
        <w:t xml:space="preserve">,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 שוורצמן</w:t>
      </w:r>
      <w:r>
        <w:rPr>
          <w:rtl w:val="true"/>
        </w:rPr>
        <w:t xml:space="preserve">, </w:t>
      </w:r>
      <w:r>
        <w:rPr>
          <w:rtl w:val="true"/>
        </w:rPr>
        <w:t>שמאמתות הימצאות חבלות על גופה של המתלוננת אשר תואמות את גרסתה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באשר לגזר הדין </w:t>
      </w:r>
      <w:r>
        <w:rPr>
          <w:rtl w:val="true"/>
        </w:rPr>
        <w:t>–</w:t>
      </w:r>
      <w:r>
        <w:rPr>
          <w:rtl w:val="true"/>
        </w:rPr>
        <w:t xml:space="preserve"> לטענת המדינה</w:t>
      </w:r>
      <w:r>
        <w:rPr>
          <w:rtl w:val="true"/>
        </w:rPr>
        <w:t xml:space="preserve">, </w:t>
      </w:r>
      <w:r>
        <w:rPr>
          <w:rtl w:val="true"/>
        </w:rPr>
        <w:t>עונש המאסר שהוטל על המערער הוא עונש ראוי אשר עולה בקנה אחד עם הרצון למצות את הדין עם נאשמים שביצעו עבירות מין חמורות</w:t>
      </w:r>
      <w:r>
        <w:rPr>
          <w:rtl w:val="true"/>
        </w:rPr>
        <w:t xml:space="preserve">. </w:t>
      </w:r>
      <w:r>
        <w:rPr>
          <w:rtl w:val="true"/>
        </w:rPr>
        <w:t>המדינה מבקשת אפוא מאתנו כי נדחה את הערעור על שני חלקיו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שקילת הטענות שבעלי הדין העלו בפנינו בעל</w:t>
      </w:r>
      <w:r>
        <w:rPr>
          <w:rtl w:val="true"/>
        </w:rPr>
        <w:t>-</w:t>
      </w:r>
      <w:r>
        <w:rPr>
          <w:rtl w:val="true"/>
        </w:rPr>
        <w:t>פה ובכתובים</w:t>
      </w:r>
      <w:r>
        <w:rPr>
          <w:rtl w:val="true"/>
        </w:rPr>
        <w:t xml:space="preserve">, </w:t>
      </w:r>
      <w:r>
        <w:rPr>
          <w:rtl w:val="true"/>
        </w:rPr>
        <w:t>הגעתי למסקנה כי דין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 xml:space="preserve">; </w:t>
      </w:r>
      <w:r>
        <w:rPr>
          <w:rtl w:val="true"/>
        </w:rPr>
        <w:t>וכך אציע לחבריי לעשות מהנימוקים שאפרטם להלן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אתייחס להרשעת המערער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tl w:val="true"/>
        </w:rPr>
        <w:t>-</w:t>
      </w:r>
      <w:r>
        <w:rPr>
          <w:rtl w:val="true"/>
        </w:rPr>
        <w:t>כך אדוּן בעונשו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ההרשעה</w:t>
      </w:r>
    </w:p>
    <w:p>
      <w:pPr>
        <w:pStyle w:val="Ruller41"/>
        <w:tabs>
          <w:tab w:val="left" w:pos="720" w:leader="none"/>
        </w:tabs>
        <w:spacing w:lineRule="auto" w:line="240"/>
        <w:ind w:end="0"/>
        <w:jc w:val="both"/>
        <w:rPr>
          <w:rFonts w:ascii="Times New Roman" w:hAnsi="Times New Roman" w:cs="Miriam"/>
          <w:b/>
          <w:spacing w:val="0"/>
          <w:sz w:val="28"/>
          <w:szCs w:val="24"/>
        </w:rPr>
      </w:pPr>
      <w:r>
        <w:rPr>
          <w:rFonts w:cs="Miriam" w:ascii="Times New Roman" w:hAnsi="Times New Roman"/>
          <w:b/>
          <w:spacing w:val="0"/>
          <w:sz w:val="28"/>
          <w:szCs w:val="24"/>
          <w:rtl w:val="true"/>
        </w:rPr>
      </w:r>
    </w:p>
    <w:p>
      <w:pPr>
        <w:pStyle w:val="Ruller41"/>
        <w:tabs>
          <w:tab w:val="left" w:pos="720" w:leader="none"/>
        </w:tabs>
        <w:spacing w:lineRule="auto" w:line="240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בממצאי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מהימנות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color w:val="000000"/>
          <w:sz w:val="28"/>
        </w:rPr>
      </w:pPr>
      <w:r>
        <w:rPr>
          <w:rtl w:val="true"/>
        </w:rPr>
        <w:t>הלכה היא עמנו כי בית משפט זה</w:t>
      </w:r>
      <w:r>
        <w:rPr>
          <w:rtl w:val="true"/>
        </w:rPr>
        <w:t xml:space="preserve">, </w:t>
      </w:r>
      <w:r>
        <w:rPr>
          <w:rtl w:val="true"/>
        </w:rPr>
        <w:t>בפועלו כבית משפט לערעורים פליליים</w:t>
      </w:r>
      <w:r>
        <w:rPr>
          <w:rtl w:val="true"/>
        </w:rPr>
        <w:t xml:space="preserve">, </w:t>
      </w:r>
      <w:r>
        <w:rPr>
          <w:rtl w:val="true"/>
        </w:rPr>
        <w:t>לא יתערב בממצאים עובדתיים שנקבעו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>וכן לא יבחן בשנית את העדויות אשר הערכאה הדיונית מצאה מהימנות בהתבסס על התרשמותה הישירה מעדים שהעידו בפניה ועל ניתוח מקיף של מכלול הראיות</w:t>
      </w:r>
      <w:r>
        <w:rPr>
          <w:rtl w:val="true"/>
        </w:rPr>
        <w:t xml:space="preserve">. </w:t>
      </w:r>
      <w:r>
        <w:rPr>
          <w:rtl w:val="true"/>
        </w:rPr>
        <w:t>התערבותנו</w:t>
      </w:r>
      <w:r>
        <w:rPr>
          <w:rtl w:val="true"/>
        </w:rPr>
        <w:t xml:space="preserve"> </w:t>
      </w:r>
      <w:r>
        <w:rPr>
          <w:rtl w:val="true"/>
        </w:rPr>
        <w:t>בכגון</w:t>
      </w:r>
      <w:r>
        <w:rPr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 </w:t>
      </w:r>
      <w:r>
        <w:rPr>
          <w:rtl w:val="true"/>
        </w:rPr>
        <w:t>שמורה</w:t>
      </w:r>
      <w:r>
        <w:rPr>
          <w:rtl w:val="true"/>
        </w:rPr>
        <w:t xml:space="preserve"> </w:t>
      </w:r>
      <w:r>
        <w:rPr>
          <w:rtl w:val="true"/>
        </w:rPr>
        <w:t>למקרים</w:t>
      </w:r>
      <w:r>
        <w:rPr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6.4.2021</w:t>
      </w:r>
      <w:r>
        <w:rPr>
          <w:rtl w:val="true"/>
        </w:rPr>
        <w:t xml:space="preserve">);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6277/20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24.3.2021</w:t>
      </w:r>
      <w:r>
        <w:rPr>
          <w:rtl w:val="true"/>
        </w:rPr>
        <w:t xml:space="preserve">);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7.2.2022</w:t>
      </w:r>
      <w:r>
        <w:rPr>
          <w:rtl w:val="true"/>
        </w:rPr>
        <w:t xml:space="preserve">);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31.3.2021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6826/19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שרגאי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14.2.2022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9040/05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7.12.2006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6020/07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גואטה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30.11.2009</w:t>
      </w:r>
      <w:r>
        <w:rPr>
          <w:rtl w:val="true"/>
        </w:rPr>
        <w:t xml:space="preserve">); </w:t>
      </w:r>
      <w:r>
        <w:rPr>
          <w:rtl w:val="true"/>
        </w:rPr>
        <w:t xml:space="preserve">וכן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3914/05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אלחרר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13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10.11.2008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במקרים מיוחדים אלו</w:t>
      </w:r>
      <w:r>
        <w:rPr>
          <w:rtl w:val="true"/>
        </w:rPr>
        <w:t xml:space="preserve">, </w:t>
      </w:r>
      <w:r>
        <w:rPr>
          <w:rtl w:val="true"/>
        </w:rPr>
        <w:t xml:space="preserve">התערבות כאמור מתאפשרת </w:t>
      </w:r>
      <w:r>
        <w:rPr>
          <w:rtl w:val="true"/>
        </w:rPr>
        <w:t>"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כאשר ממצאי הערכאה הדיונית מתבססים על שיקולים שבהגיון ובשכל ישר או על סבירות של העדות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כאשר מדובר במסקנות להבדיל מעובדות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כאשר הערכאה הדיונית התעלמה לחלוטין מראיות או לא שמה לב לפרטים מהותיים בחומר הראיות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כאשר הערכאה הדיונית התעלמה מסתירות מהותיות בעדות עליה נסמכה או מסתירות בין העדות עליה נסמכה לבין עדויות אחרות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כאשר הערכאה הדיונית אימצה גרסה מופרכת וחסרת הגיון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כאשר נפלה טעות מהותית או טעות בולטת לעין בהערכת המהימנות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כאשר ממצאי הערכאה הדיונית מבוססים על ראיות בכתב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תמליל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קלטת או התרשמות מחפץ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כאשר השופט שכתב את פסק הדין אינו השופט ששמע את הראיות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כאשר חלף זמן רב משמיעת הראיות ועד שנכתב פסק הדי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" 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: </w:t>
      </w:r>
      <w:r>
        <w:rPr>
          <w:rtl w:val="true"/>
        </w:rPr>
        <w:t xml:space="preserve">דברי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עמית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13.10.2021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וכן כאשר ה</w:t>
      </w:r>
      <w:r>
        <w:rPr>
          <w:rtl w:val="true"/>
        </w:rPr>
        <w:t>מסד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ראייתי</w:t>
      </w:r>
      <w:r>
        <w:rPr>
          <w:rtl w:val="true"/>
        </w:rPr>
        <w:t xml:space="preserve"> </w:t>
      </w:r>
      <w:r>
        <w:rPr>
          <w:rtl w:val="true"/>
        </w:rPr>
        <w:t xml:space="preserve">עליו מבוססת ההרשעה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מספק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במבט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 </w:t>
      </w:r>
      <w:r>
        <w:rPr>
          <w:rtl w:val="true"/>
        </w:rPr>
        <w:t>הדרוש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קביעת ממצאי עובדה מעבר לספק סביר</w:t>
      </w:r>
      <w:r>
        <w:rPr>
          <w:rtl w:val="true"/>
        </w:rPr>
        <w:t xml:space="preserve">, </w:t>
      </w:r>
      <w:r>
        <w:rPr>
          <w:rtl w:val="true"/>
        </w:rPr>
        <w:t xml:space="preserve">כפי שנדרש לצרכי הרשעה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hyperlink r:id="rId2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8794/20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sz w:val="27"/>
          <w:szCs w:val="27"/>
          <w:rtl w:val="true"/>
        </w:rPr>
        <w:t xml:space="preserve">, </w:t>
      </w:r>
      <w:r>
        <w:rPr>
          <w:color w:val="000000"/>
          <w:sz w:val="28"/>
          <w:sz w:val="28"/>
          <w:rtl w:val="true"/>
        </w:rPr>
        <w:t>פסקאות</w:t>
      </w:r>
      <w:r>
        <w:rPr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</w:rPr>
        <w:t>42-38</w:t>
      </w:r>
      <w:r>
        <w:rPr>
          <w:color w:val="000000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לפסק</w:t>
      </w:r>
      <w:r>
        <w:rPr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דיני</w:t>
      </w:r>
      <w:r>
        <w:rPr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10.5.2022</w:t>
      </w:r>
      <w:r>
        <w:rPr>
          <w:color w:val="000000"/>
          <w:sz w:val="28"/>
          <w:rtl w:val="true"/>
        </w:rPr>
        <w:t>) (</w:t>
      </w:r>
      <w:r>
        <w:rPr>
          <w:color w:val="000000"/>
          <w:sz w:val="28"/>
          <w:sz w:val="28"/>
          <w:rtl w:val="true"/>
        </w:rPr>
        <w:t>להלן</w:t>
      </w:r>
      <w:r>
        <w:rPr>
          <w:color w:val="000000"/>
          <w:sz w:val="28"/>
          <w:rtl w:val="true"/>
        </w:rPr>
        <w:t>:</w:t>
      </w:r>
      <w:r>
        <w:rPr>
          <w:color w:val="000000"/>
          <w:sz w:val="27"/>
          <w:szCs w:val="27"/>
          <w:rtl w:val="true"/>
        </w:rPr>
        <w:t xml:space="preserve"> </w:t>
      </w:r>
      <w:hyperlink r:id="rId2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8794/20</w:t>
        </w:r>
      </w:hyperlink>
      <w:r>
        <w:rPr>
          <w:color w:val="000000"/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המקרה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נופל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המיוחדים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מצדיקים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התערבות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בממצאי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color w:val="000000"/>
          <w:sz w:val="28"/>
        </w:rPr>
      </w:pPr>
      <w:r>
        <w:rPr>
          <w:color w:val="000000"/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הרשעת נאשם בעבירת מין בהתבסס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יחידה</w:t>
      </w:r>
      <w:r>
        <w:rPr>
          <w:rtl w:val="true"/>
        </w:rPr>
        <w:t xml:space="preserve"> של נפגעת העבירה מקימה עבורנו חובה מיוחדת לבחון את הממצאים העובדתיים אשר נקבעו על ידי הערכאה הדיונית</w:t>
      </w:r>
      <w:r>
        <w:rPr>
          <w:rtl w:val="true"/>
        </w:rPr>
        <w:t xml:space="preserve">. </w:t>
      </w:r>
      <w:r>
        <w:rPr>
          <w:rtl w:val="true"/>
        </w:rPr>
        <w:t xml:space="preserve">חובה זו נגזרת מהאמור </w:t>
      </w:r>
      <w:hyperlink r:id="rId3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הראיות</w:t>
      </w:r>
      <w:r>
        <w:rPr>
          <w:rtl w:val="true"/>
        </w:rPr>
        <w:t xml:space="preserve">). </w:t>
      </w:r>
      <w:r>
        <w:rPr>
          <w:rtl w:val="true"/>
        </w:rPr>
        <w:t>סעיף זה דורש מהערכאה הדיונית ליתן הנמקה מפורטת לממצאיה המרשיעים</w:t>
      </w:r>
      <w:r>
        <w:rPr>
          <w:rtl w:val="true"/>
        </w:rPr>
        <w:t xml:space="preserve">, </w:t>
      </w:r>
      <w:r>
        <w:rPr>
          <w:rtl w:val="true"/>
        </w:rPr>
        <w:t xml:space="preserve">אשר חייבת לכלול התייחסות לכל עמימות ולכל סתירה מהותית בעדותה של נפגעת העבירה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 xml:space="preserve">כדי לוודא שהמסד הראייתי על בסיסו מורשע הנאשם אכן מוכיח את אשמתו במיוחס לו מעבר לספק סביר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דיני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16.5.2019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29.1.2019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17.8.2016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בדרך זו אמורה הערכאה הדיונית לקיים את דרישת הביטחון בהרשעה מבחינת המסד הראייתי כולו</w:t>
      </w:r>
      <w:r>
        <w:rPr>
          <w:rtl w:val="true"/>
        </w:rPr>
        <w:t xml:space="preserve">, </w:t>
      </w:r>
      <w:r>
        <w:rPr>
          <w:rtl w:val="true"/>
        </w:rPr>
        <w:t xml:space="preserve">אשר ייבדק על ידי ערכאת הערעור שבאה אחריה </w:t>
      </w:r>
      <w:r>
        <w:rPr>
          <w:rtl w:val="true"/>
        </w:rPr>
        <w:t>(</w:t>
      </w:r>
      <w:r>
        <w:rPr>
          <w:rtl w:val="true"/>
        </w:rPr>
        <w:t>להסבר מלא של דרישה כאמור והרציונל שמאחוריה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8794/20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פסקאות </w:t>
      </w:r>
      <w:r>
        <w:rPr>
          <w:rFonts w:cs="Century" w:ascii="Century" w:hAnsi="Century"/>
          <w:sz w:val="22"/>
        </w:rPr>
        <w:t>51-38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 דיני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עדותה של המתלוננת </w:t>
      </w:r>
      <w:r>
        <w:rPr>
          <w:rtl w:val="true"/>
        </w:rPr>
        <w:t>–</w:t>
      </w:r>
      <w:r>
        <w:rPr>
          <w:rtl w:val="true"/>
        </w:rPr>
        <w:t xml:space="preserve"> שכאמור נמצאה על ידי בית משפט קמא אמינה לעילא</w:t>
      </w:r>
      <w:r>
        <w:rPr>
          <w:rtl w:val="true"/>
        </w:rPr>
        <w:t>-</w:t>
      </w:r>
      <w:r>
        <w:rPr>
          <w:rtl w:val="true"/>
        </w:rPr>
        <w:t xml:space="preserve">ולעילא </w:t>
      </w:r>
      <w:r>
        <w:rPr>
          <w:rtl w:val="true"/>
        </w:rPr>
        <w:t>–</w:t>
      </w:r>
      <w:r>
        <w:rPr>
          <w:rtl w:val="true"/>
        </w:rPr>
        <w:t xml:space="preserve"> איננה עדות יחידה</w:t>
      </w:r>
      <w:r>
        <w:rPr>
          <w:rtl w:val="true"/>
        </w:rPr>
        <w:t xml:space="preserve">. </w:t>
      </w:r>
      <w:r>
        <w:rPr>
          <w:rtl w:val="true"/>
        </w:rPr>
        <w:t xml:space="preserve">עדות זאת נתמכת בראיות חיצוניות מגוונות וכן בשקרי הנאשם </w:t>
      </w:r>
      <w:r>
        <w:rPr>
          <w:rtl w:val="true"/>
        </w:rPr>
        <w:t>–</w:t>
      </w:r>
      <w:r>
        <w:rPr>
          <w:rtl w:val="true"/>
        </w:rPr>
        <w:t xml:space="preserve"> שקרים אשר מגיעים לרמה של סיוע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814/81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לו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826</w:t>
      </w:r>
      <w:r>
        <w:rPr>
          <w:rtl w:val="true"/>
        </w:rPr>
        <w:t xml:space="preserve">, </w:t>
      </w:r>
      <w:r>
        <w:rPr/>
        <w:t>835-832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694/83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דנינו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249</w:t>
      </w:r>
      <w:r>
        <w:rPr>
          <w:rtl w:val="true"/>
        </w:rPr>
        <w:t xml:space="preserve">, </w:t>
      </w:r>
      <w:r>
        <w:rPr/>
        <w:t>257</w:t>
      </w:r>
      <w:r>
        <w:rPr>
          <w:rtl w:val="true"/>
        </w:rPr>
        <w:t xml:space="preserve"> (</w:t>
      </w:r>
      <w:r>
        <w:rPr/>
        <w:t>1985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1645/08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23-22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3.9.2009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3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1645/08</w:t>
        </w:r>
      </w:hyperlink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2014/94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624</w:t>
      </w:r>
      <w:r>
        <w:rPr>
          <w:rtl w:val="true"/>
        </w:rPr>
        <w:t xml:space="preserve">, </w:t>
      </w:r>
      <w:r>
        <w:rPr/>
        <w:t>637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 xml:space="preserve">)), </w:t>
      </w:r>
      <w:r>
        <w:rPr>
          <w:rtl w:val="true"/>
        </w:rPr>
        <w:t>אשר במקרה דנן כלל אינו נדרש</w:t>
      </w:r>
      <w:r>
        <w:rPr>
          <w:rtl w:val="true"/>
        </w:rPr>
        <w:t xml:space="preserve">. </w:t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hyperlink r:id="rId41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אין תחולה במקרה שלפנינו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משפט קמא נימק במפורט את ממצאי המהימנות שלו ביחס לעדות המתלוננת</w:t>
      </w:r>
      <w:r>
        <w:rPr>
          <w:rtl w:val="true"/>
        </w:rPr>
        <w:t xml:space="preserve">, </w:t>
      </w:r>
      <w:r>
        <w:rPr>
          <w:rtl w:val="true"/>
        </w:rPr>
        <w:t>תוך שהוא מקפיד להתייחס גם לשינויים בגרסתה</w:t>
      </w:r>
      <w:r>
        <w:rPr>
          <w:rtl w:val="true"/>
        </w:rPr>
        <w:t xml:space="preserve">. </w:t>
      </w:r>
      <w:r>
        <w:rPr>
          <w:rtl w:val="true"/>
        </w:rPr>
        <w:t>בנוגע לשינויים אלה</w:t>
      </w:r>
      <w:r>
        <w:rPr>
          <w:rtl w:val="true"/>
        </w:rPr>
        <w:t xml:space="preserve">, </w:t>
      </w:r>
      <w:r>
        <w:rPr>
          <w:rtl w:val="true"/>
        </w:rPr>
        <w:t>הובהר כי המתלוננת סיפרה בתשאול הראשוני בבית החולים שהמערער משך אותה בכוח לעבר ביתו ביציאתם מהבר</w:t>
      </w:r>
      <w:r>
        <w:rPr>
          <w:rtl w:val="true"/>
        </w:rPr>
        <w:t xml:space="preserve">, </w:t>
      </w:r>
      <w:r>
        <w:rPr>
          <w:rtl w:val="true"/>
        </w:rPr>
        <w:t>אולם כשעתיים לאחר מכן</w:t>
      </w:r>
      <w:r>
        <w:rPr>
          <w:rtl w:val="true"/>
        </w:rPr>
        <w:t xml:space="preserve">, </w:t>
      </w:r>
      <w:r>
        <w:rPr>
          <w:rtl w:val="true"/>
        </w:rPr>
        <w:t>בעת מתן עדותה במשטרה</w:t>
      </w:r>
      <w:r>
        <w:rPr>
          <w:rtl w:val="true"/>
        </w:rPr>
        <w:t xml:space="preserve">, </w:t>
      </w:r>
      <w:r>
        <w:rPr>
          <w:rtl w:val="true"/>
        </w:rPr>
        <w:t>תיקנה את עצמה וסיפרה שהאלימות החלה רק בהגיעה לדירת המערער ושאין היא זוכרת כיצד בדיוק הגיעה לשם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קמא חזר והדגיש כי אין בשינויי גרסה אלו כדי לפגום במהימנות עדותה של המתלוננת </w:t>
      </w:r>
      <w:r>
        <w:rPr>
          <w:rtl w:val="true"/>
        </w:rPr>
        <w:t>–</w:t>
      </w:r>
      <w:r>
        <w:rPr>
          <w:rtl w:val="true"/>
        </w:rPr>
        <w:t xml:space="preserve"> זאת</w:t>
      </w:r>
      <w:r>
        <w:rPr>
          <w:rtl w:val="true"/>
        </w:rPr>
        <w:t xml:space="preserve">, </w:t>
      </w:r>
      <w:r>
        <w:rPr>
          <w:rtl w:val="true"/>
        </w:rPr>
        <w:t>מאחר שמדובר בשינויים קלים שבשולי העדות אשר אינם נוגעים לליבת המחלוקת</w:t>
      </w:r>
      <w:r>
        <w:rPr>
          <w:rtl w:val="true"/>
        </w:rPr>
        <w:t xml:space="preserve">: </w:t>
      </w:r>
      <w:r>
        <w:rPr>
          <w:rtl w:val="true"/>
        </w:rPr>
        <w:t>היא המעשים המתוארים בכתב האישום</w:t>
      </w:r>
      <w:r>
        <w:rPr>
          <w:rtl w:val="true"/>
        </w:rPr>
        <w:t xml:space="preserve">. </w:t>
      </w:r>
      <w:r>
        <w:rPr>
          <w:rtl w:val="true"/>
        </w:rPr>
        <w:t>הנמקה זו של בית המשפט הינה משכנעת ומפורטת ואינה מעלה עילה להתערבות</w:t>
      </w:r>
      <w:r>
        <w:rPr>
          <w:rtl w:val="true"/>
        </w:rPr>
        <w:t xml:space="preserve">. </w:t>
      </w:r>
      <w:r>
        <w:rPr>
          <w:rtl w:val="true"/>
        </w:rPr>
        <w:t>המסד הראייתי עליו הושתתה הרשעת המערער הינו איתן ויש בו הביטחון הדרוש להרשעתו של נאשם בפלילים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מעבר לנדרש</w:t>
      </w:r>
      <w:r>
        <w:rPr>
          <w:rtl w:val="true"/>
        </w:rPr>
        <w:t xml:space="preserve">, </w:t>
      </w:r>
      <w:r>
        <w:rPr>
          <w:rtl w:val="true"/>
        </w:rPr>
        <w:t>אוסיף ואבהיר כי עדות המתלוננת אינה לוקה בבלבול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 xml:space="preserve">דיוק או בחוסר בהירות </w:t>
      </w:r>
      <w:r>
        <w:rPr>
          <w:rtl w:val="true"/>
        </w:rPr>
        <w:t>–</w:t>
      </w:r>
      <w:r>
        <w:rPr>
          <w:rtl w:val="true"/>
        </w:rPr>
        <w:t xml:space="preserve"> בניגוד לנטען על ידי המערער</w:t>
      </w:r>
      <w:r>
        <w:rPr>
          <w:rtl w:val="true"/>
        </w:rPr>
        <w:t xml:space="preserve">. </w:t>
      </w:r>
      <w:r>
        <w:rPr>
          <w:rtl w:val="true"/>
        </w:rPr>
        <w:t>עדות זו הייתה עקבית</w:t>
      </w:r>
      <w:r>
        <w:rPr>
          <w:rtl w:val="true"/>
        </w:rPr>
        <w:t xml:space="preserve">, </w:t>
      </w:r>
      <w:r>
        <w:rPr>
          <w:rtl w:val="true"/>
        </w:rPr>
        <w:t>תאמה את המציאות</w:t>
      </w:r>
      <w:r>
        <w:rPr>
          <w:rtl w:val="true"/>
        </w:rPr>
        <w:t xml:space="preserve">, </w:t>
      </w:r>
      <w:r>
        <w:rPr>
          <w:rtl w:val="true"/>
        </w:rPr>
        <w:t>ולא נמצאו בה סתירות מהותיות</w:t>
      </w:r>
      <w:r>
        <w:rPr>
          <w:rtl w:val="true"/>
        </w:rPr>
        <w:t xml:space="preserve">. </w:t>
      </w:r>
      <w:r>
        <w:rPr>
          <w:rtl w:val="true"/>
        </w:rPr>
        <w:t>נוסף לכך</w:t>
      </w:r>
      <w:r>
        <w:rPr>
          <w:rtl w:val="true"/>
        </w:rPr>
        <w:t xml:space="preserve">, </w:t>
      </w:r>
      <w:r>
        <w:rPr>
          <w:rtl w:val="true"/>
        </w:rPr>
        <w:t>עדות המתלוננת כללה פרטים שעלולים היו לציירה בעיניי הסובבים אותה באור פחות חיובי</w:t>
      </w:r>
      <w:r>
        <w:rPr>
          <w:rtl w:val="true"/>
        </w:rPr>
        <w:t xml:space="preserve">. </w:t>
      </w:r>
      <w:r>
        <w:rPr>
          <w:rtl w:val="true"/>
        </w:rPr>
        <w:t>פרטים אלה כוללים בתוכם את העובדה שהמתלוננת הייתה שיכורה מאוד עד כדי שחוותה בלבול בין המערער לאבי בן זוגה</w:t>
      </w:r>
      <w:r>
        <w:rPr>
          <w:rtl w:val="true"/>
        </w:rPr>
        <w:t xml:space="preserve">, </w:t>
      </w:r>
      <w:r>
        <w:rPr>
          <w:rtl w:val="true"/>
        </w:rPr>
        <w:t>וכן את כניסתה לדירת המערער בהסכמה אשר נבעה ממצבה</w:t>
      </w:r>
      <w:r>
        <w:rPr>
          <w:rtl w:val="true"/>
        </w:rPr>
        <w:t xml:space="preserve">. </w:t>
      </w:r>
      <w:r>
        <w:rPr>
          <w:rtl w:val="true"/>
        </w:rPr>
        <w:t>פרטים אלה מחזקים את המסקנה כי בפנינו עדות אותנטית של נערה אשר חוותה חוויה טראומטית קשה</w:t>
      </w:r>
      <w:r>
        <w:rPr>
          <w:rtl w:val="true"/>
        </w:rPr>
        <w:t xml:space="preserve">, </w:t>
      </w:r>
      <w:r>
        <w:rPr>
          <w:rtl w:val="true"/>
        </w:rPr>
        <w:t>ושחרף זאת אינה מנסה לייפות את פני הדברים ביחס לעצמה</w:t>
      </w:r>
      <w:r>
        <w:rPr>
          <w:rtl w:val="true"/>
        </w:rPr>
        <w:t xml:space="preserve">. </w:t>
      </w:r>
      <w:r>
        <w:rPr>
          <w:rtl w:val="true"/>
        </w:rPr>
        <w:t>בית משפט קמא צדק אפוא בקבעו כי עדותה של המתלוננת אמינה מעבר לספק סביר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ניצבת עדות המערער שמהימנותו נשללה על ידי בית משפט קמא מניה וביה</w:t>
      </w:r>
      <w:r>
        <w:rPr>
          <w:rtl w:val="true"/>
        </w:rPr>
        <w:t xml:space="preserve">, </w:t>
      </w:r>
      <w:r>
        <w:rPr>
          <w:rtl w:val="true"/>
        </w:rPr>
        <w:t>ואף זאת בצדק רב</w:t>
      </w:r>
      <w:r>
        <w:rPr>
          <w:rtl w:val="true"/>
        </w:rPr>
        <w:t xml:space="preserve">. </w:t>
      </w:r>
      <w:r>
        <w:rPr>
          <w:rtl w:val="true"/>
        </w:rPr>
        <w:t>גרסתו של המערער היא גרסה חסרת הגיון פנימי ורוויה בסתירות מהותיות</w:t>
      </w:r>
      <w:r>
        <w:rPr>
          <w:rtl w:val="true"/>
        </w:rPr>
        <w:t xml:space="preserve">. </w:t>
      </w:r>
      <w:r>
        <w:rPr>
          <w:rtl w:val="true"/>
        </w:rPr>
        <w:t>תחילתה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בהכחשתו הגורפת של המערער ביחס לכל פרט ופרט באירוע </w:t>
      </w:r>
      <w:r>
        <w:rPr>
          <w:rtl w:val="true"/>
        </w:rPr>
        <w:t>–</w:t>
      </w:r>
      <w:r>
        <w:rPr>
          <w:rtl w:val="true"/>
        </w:rPr>
        <w:t xml:space="preserve"> גרסת חפות שמצהירה כי לא היה כל מגע מיני בין המערער למתלוננת</w:t>
      </w:r>
      <w:r>
        <w:rPr>
          <w:rtl w:val="true"/>
        </w:rPr>
        <w:t xml:space="preserve">. </w:t>
      </w:r>
      <w:r>
        <w:rPr>
          <w:rtl w:val="true"/>
        </w:rPr>
        <w:t>המערער אף הרחיק לכת באמרו בחקירתו כי הוא כלל אינו מכיר את המתלוננת</w:t>
      </w:r>
      <w:r>
        <w:rPr>
          <w:rtl w:val="true"/>
        </w:rPr>
        <w:t xml:space="preserve">, </w:t>
      </w:r>
      <w:r>
        <w:rPr>
          <w:rtl w:val="true"/>
        </w:rPr>
        <w:t>כי אין הוא נוהג לשבת בברים ולשתות אלכוהול</w:t>
      </w:r>
      <w:r>
        <w:rPr>
          <w:rtl w:val="true"/>
        </w:rPr>
        <w:t xml:space="preserve">, </w:t>
      </w:r>
      <w:r>
        <w:rPr>
          <w:rtl w:val="true"/>
        </w:rPr>
        <w:t>וכי הוא גם אינו נוהג להזמין נשים לביתו</w:t>
      </w:r>
      <w:r>
        <w:rPr>
          <w:rtl w:val="true"/>
        </w:rPr>
        <w:t xml:space="preserve">. </w:t>
      </w:r>
      <w:r>
        <w:rPr>
          <w:rtl w:val="true"/>
        </w:rPr>
        <w:t xml:space="preserve">גרסה זו עברה </w:t>
      </w:r>
      <w:r>
        <w:rPr>
          <w:rtl w:val="true"/>
        </w:rPr>
        <w:t>"</w:t>
      </w:r>
      <w:r>
        <w:rPr>
          <w:rtl w:val="true"/>
        </w:rPr>
        <w:t>שיפוץ כללי</w:t>
      </w:r>
      <w:r>
        <w:rPr>
          <w:rtl w:val="true"/>
        </w:rPr>
        <w:t xml:space="preserve">" </w:t>
      </w:r>
      <w:r>
        <w:rPr>
          <w:rtl w:val="true"/>
        </w:rPr>
        <w:t>אשר נעשה על ידי המערער על</w:t>
      </w:r>
      <w:r>
        <w:rPr>
          <w:rtl w:val="true"/>
        </w:rPr>
        <w:t>-</w:t>
      </w:r>
      <w:r>
        <w:rPr>
          <w:rtl w:val="true"/>
        </w:rPr>
        <w:t xml:space="preserve">כורחו אחרי שהוטחו בפניו ממצאים אובייקטיביים בדמות ממצאי </w:t>
      </w:r>
      <w:r>
        <w:rPr>
          <w:rFonts w:cs="Century" w:ascii="Century" w:hAnsi="Century"/>
          <w:sz w:val="22"/>
        </w:rPr>
        <w:t>DNA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אשר הראו את הימצאות </w:t>
      </w:r>
      <w:r>
        <w:rPr>
          <w:rtl w:val="true"/>
        </w:rPr>
        <w:t xml:space="preserve">זרעו של המערער בנרתיקה ובתחתוניה של המתלוננת ואשר הצביעו על קיומו של מגע מיני אינטנסיבי </w:t>
      </w:r>
      <w:r>
        <w:rPr>
          <w:rtl w:val="true"/>
        </w:rPr>
        <w:t>–</w:t>
      </w:r>
      <w:r>
        <w:rPr>
          <w:rtl w:val="true"/>
        </w:rPr>
        <w:t xml:space="preserve"> ואף אגרסיבי </w:t>
      </w:r>
      <w:r>
        <w:rPr>
          <w:rtl w:val="true"/>
        </w:rPr>
        <w:t>–</w:t>
      </w:r>
      <w:r>
        <w:rPr>
          <w:rtl w:val="true"/>
        </w:rPr>
        <w:t xml:space="preserve"> בין השניים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לפי גרסתו המשופצת של המערער</w:t>
      </w:r>
      <w:r>
        <w:rPr>
          <w:rtl w:val="true"/>
        </w:rPr>
        <w:t xml:space="preserve">, </w:t>
      </w:r>
      <w:r>
        <w:rPr>
          <w:rtl w:val="true"/>
        </w:rPr>
        <w:t>מדובר במגע מיני אשר נבע מתשוקה ומהסכמה הדדית</w:t>
      </w:r>
      <w:r>
        <w:rPr>
          <w:rtl w:val="true"/>
        </w:rPr>
        <w:t xml:space="preserve">, </w:t>
      </w:r>
      <w:r>
        <w:rPr>
          <w:rtl w:val="true"/>
        </w:rPr>
        <w:t>אשר באו בעקבות היכרותם השטחית בבר</w:t>
      </w:r>
      <w:r>
        <w:rPr>
          <w:rtl w:val="true"/>
        </w:rPr>
        <w:t xml:space="preserve">. </w:t>
      </w:r>
      <w:r>
        <w:rPr>
          <w:rtl w:val="true"/>
        </w:rPr>
        <w:t>המערער אף הכחיש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את המגע המיני האנאלי שהתקיים בין השניים ורק אחרי שראה שהכחשה זו מנוגדת לעובדות</w:t>
      </w:r>
      <w:r>
        <w:rPr>
          <w:rtl w:val="true"/>
        </w:rPr>
        <w:t xml:space="preserve">, </w:t>
      </w:r>
      <w:r>
        <w:rPr>
          <w:rtl w:val="true"/>
        </w:rPr>
        <w:t>ייחס את המגע לחדירה מקרית של איבר מינו לפי הטבעת של המתלוננת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הלכה היא עמנו כי שקרי נאשם בחקירה ובעדות מחזקים את ראיות התביעה ומוסיפים משקל למשקלן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1645/08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23</w:t>
      </w:r>
      <w:r>
        <w:rPr>
          <w:rtl w:val="true"/>
        </w:rPr>
        <w:t xml:space="preserve">;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334/02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סיבוני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13.1.2003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2468/03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אלבויראת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12.1.2004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4342/97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נא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736</w:t>
      </w:r>
      <w:r>
        <w:rPr>
          <w:rtl w:val="true"/>
        </w:rPr>
        <w:t xml:space="preserve">, </w:t>
      </w:r>
      <w:r>
        <w:rPr/>
        <w:t>803</w:t>
      </w:r>
      <w:r>
        <w:rPr>
          <w:rtl w:val="true"/>
        </w:rPr>
        <w:t xml:space="preserve"> (</w:t>
      </w:r>
      <w:r>
        <w:rPr/>
        <w:t>1998</w:t>
      </w:r>
      <w:r>
        <w:rPr>
          <w:rtl w:val="true"/>
        </w:rPr>
        <w:t xml:space="preserve">)). </w:t>
      </w:r>
      <w:r>
        <w:rPr>
          <w:rtl w:val="true"/>
        </w:rPr>
        <w:t xml:space="preserve">זאת במיוחד כאשר מדובר בשקרים שכאמור מגיעים כדי סיוע </w:t>
      </w:r>
      <w:r>
        <w:rPr>
          <w:rtl w:val="true"/>
        </w:rPr>
        <w:t>–</w:t>
      </w:r>
      <w:r>
        <w:rPr>
          <w:rtl w:val="true"/>
        </w:rPr>
        <w:t xml:space="preserve"> שקרים אשר מתייחסים ללב האירוע ואשר מצביעים על ניסיונו של הנאשם להרחיק את עצמו מהאירוע ולשוות לעצמו התנהגות תמימה</w:t>
      </w:r>
      <w:r>
        <w:rPr>
          <w:rtl w:val="true"/>
        </w:rPr>
        <w:t xml:space="preserve">. </w:t>
      </w:r>
      <w:r>
        <w:rPr>
          <w:rtl w:val="true"/>
        </w:rPr>
        <w:t>אלה היו שקרי המערער במקרה שלפנינו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שיפוצים</w:t>
      </w:r>
      <w:r>
        <w:rPr>
          <w:rtl w:val="true"/>
        </w:rPr>
        <w:t xml:space="preserve">" </w:t>
      </w:r>
      <w:r>
        <w:rPr>
          <w:rtl w:val="true"/>
        </w:rPr>
        <w:t>שהמערער ביצע בגרסת החפות שלו נעשו רק כאשר הוא נאלץ להתמודד עם ראיות אובייקטיביות אשר הפריכו את גרסתו הקודמת מניה וביה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המשנה לנשיא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tl w:val="true"/>
        </w:rPr>
        <w:t xml:space="preserve"> לימדתנו כי </w:t>
      </w:r>
      <w:r>
        <w:rPr>
          <w:rtl w:val="true"/>
        </w:rPr>
        <w:t>–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עיתוי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.]</w:t>
      </w:r>
      <w:r>
        <w:rPr>
          <w:rtl w:val="true"/>
        </w:rPr>
        <w:t xml:space="preserve"> –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</w:t>
      </w:r>
      <w:r>
        <w:rPr>
          <w:rtl w:val="true"/>
        </w:rPr>
        <w:t>י</w:t>
      </w:r>
      <w:r>
        <w:rPr>
          <w:rtl w:val="true"/>
        </w:rPr>
        <w:t>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המוצגות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במעין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נסיגה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הנסיגה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מועמת</w:t>
      </w:r>
      <w:r>
        <w:rPr>
          <w:rtl w:val="true"/>
        </w:rPr>
        <w:t xml:space="preserve">, </w:t>
      </w:r>
      <w:r>
        <w:rPr>
          <w:rtl w:val="true"/>
        </w:rPr>
        <w:t>מהמסקנה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[...] </w:t>
      </w:r>
      <w:r>
        <w:rPr>
          <w:rFonts w:ascii="FrankRuehl" w:hAnsi="FrankRuehl"/>
          <w:color w:val="000000"/>
          <w:sz w:val="28"/>
          <w:sz w:val="28"/>
          <w:rtl w:val="true"/>
        </w:rPr>
        <w:t>אם במקום לעמוד על הכחשת הנוכחות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הנאשם משנה את גרסתו בהתאם לראיות המוצגות בפניו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ובהעדר הסבר לכך המעלה ספק סביר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Fonts w:ascii="FrankRuehl" w:hAnsi="FrankRuehl"/>
          <w:color w:val="000000"/>
          <w:sz w:val="28"/>
          <w:sz w:val="28"/>
          <w:rtl w:val="true"/>
        </w:rPr>
        <w:t>הוא אינו משפר את מצבו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נהפוך הוא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נאשם כזה מרע את מצבו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בנסיבות אלה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מוסכם למעשה ששיקר בגרסתו הראשונה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ובהעדר הסבר המעלה ספק סביר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שקריו מחזקים את הראיות נגדו בענין ביצוע העבירה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אין בשינוי הגרסה המאוחר כדי לצמצם את יריעת המחלוקת ליריעה צרה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בבחינת </w:t>
      </w:r>
      <w:r>
        <w:rPr>
          <w:rFonts w:cs="FrankRuehl" w:ascii="FrankRuehl" w:hAnsi="FrankRuehl"/>
          <w:color w:val="000000"/>
          <w:sz w:val="28"/>
          <w:rtl w:val="true"/>
        </w:rPr>
        <w:t>'</w:t>
      </w:r>
      <w:r>
        <w:rPr>
          <w:rFonts w:ascii="FrankRuehl" w:hAnsi="FrankRuehl"/>
          <w:color w:val="000000"/>
          <w:sz w:val="28"/>
          <w:sz w:val="28"/>
          <w:rtl w:val="true"/>
        </w:rPr>
        <w:t>הייתי בזירה אך לא השתתפתי בעבירה</w:t>
      </w:r>
      <w:r>
        <w:rPr>
          <w:rFonts w:cs="FrankRuehl" w:ascii="FrankRuehl" w:hAnsi="FrankRuehl"/>
          <w:color w:val="000000"/>
          <w:sz w:val="28"/>
          <w:rtl w:val="true"/>
        </w:rPr>
        <w:t>'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תוך </w:t>
      </w:r>
      <w:r>
        <w:rPr>
          <w:rFonts w:cs="FrankRuehl" w:ascii="FrankRuehl" w:hAnsi="FrankRuehl"/>
          <w:color w:val="000000"/>
          <w:sz w:val="28"/>
          <w:rtl w:val="true"/>
        </w:rPr>
        <w:t>'</w:t>
      </w:r>
      <w:r>
        <w:rPr>
          <w:rFonts w:ascii="FrankRuehl" w:hAnsi="FrankRuehl"/>
          <w:color w:val="000000"/>
          <w:sz w:val="28"/>
          <w:sz w:val="28"/>
          <w:rtl w:val="true"/>
        </w:rPr>
        <w:t>נטרול</w:t>
      </w:r>
      <w:r>
        <w:rPr>
          <w:rFonts w:cs="FrankRuehl" w:ascii="FrankRuehl" w:hAnsi="FrankRuehl"/>
          <w:color w:val="000000"/>
          <w:sz w:val="28"/>
          <w:rtl w:val="true"/>
        </w:rPr>
        <w:t>'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המשמעות הראייתית של ההכחשה בתחילת הדרך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מובארק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10.4.2013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נסיגה</w:t>
      </w:r>
      <w:r>
        <w:rPr>
          <w:rtl w:val="true"/>
        </w:rPr>
        <w:t xml:space="preserve">"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  <w:r>
        <w:rPr>
          <w:rtl w:val="true"/>
        </w:rPr>
        <w:t>התחמושת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שקרים</w:t>
      </w:r>
      <w:r>
        <w:rPr>
          <w:rtl w:val="true"/>
        </w:rPr>
        <w:t xml:space="preserve">, </w:t>
      </w:r>
      <w:r>
        <w:rPr>
          <w:rtl w:val="true"/>
        </w:rPr>
        <w:t>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וכהנה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שאמינותה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מסד זה של ראיות המפלילות את המערער מקבל </w:t>
      </w:r>
      <w:r>
        <w:rPr>
          <w:rtl w:val="true"/>
        </w:rPr>
        <w:t>–</w:t>
      </w:r>
      <w:r>
        <w:rPr>
          <w:rtl w:val="true"/>
        </w:rPr>
        <w:t xml:space="preserve"> למעלה מהנדרש </w:t>
      </w:r>
      <w:r>
        <w:rPr>
          <w:rtl w:val="true"/>
        </w:rPr>
        <w:t>–</w:t>
      </w:r>
      <w:r>
        <w:rPr>
          <w:rtl w:val="true"/>
        </w:rPr>
        <w:t xml:space="preserve"> חיזוק נוסף מכל אלו</w:t>
      </w:r>
      <w:r>
        <w:rPr>
          <w:rtl w:val="true"/>
        </w:rPr>
        <w:t xml:space="preserve">: </w:t>
      </w:r>
      <w:r>
        <w:rPr>
          <w:rtl w:val="true"/>
        </w:rPr>
        <w:t>עדויות בדבר מצבה הנפשי הקשה של המתלוננת בסמוך לאירוע הטראומטי שחוותה</w:t>
      </w:r>
      <w:r>
        <w:rPr>
          <w:rtl w:val="true"/>
        </w:rPr>
        <w:t xml:space="preserve">; </w:t>
      </w:r>
      <w:r>
        <w:rPr>
          <w:rtl w:val="true"/>
        </w:rPr>
        <w:t>עדות אם המתלוננת</w:t>
      </w:r>
      <w:r>
        <w:rPr>
          <w:rtl w:val="true"/>
        </w:rPr>
        <w:t xml:space="preserve">; </w:t>
      </w:r>
      <w:r>
        <w:rPr>
          <w:rtl w:val="true"/>
        </w:rPr>
        <w:t>עדות בן זוגה של המתלוננת</w:t>
      </w:r>
      <w:r>
        <w:rPr>
          <w:rtl w:val="true"/>
        </w:rPr>
        <w:t xml:space="preserve">; </w:t>
      </w:r>
      <w:r>
        <w:rPr>
          <w:rtl w:val="true"/>
        </w:rPr>
        <w:t>חבלות ופצעי שפשוף רבים על גופה של המתלוננת</w:t>
      </w:r>
      <w:r>
        <w:rPr>
          <w:rtl w:val="true"/>
        </w:rPr>
        <w:t xml:space="preserve">, </w:t>
      </w:r>
      <w:r>
        <w:rPr>
          <w:rtl w:val="true"/>
        </w:rPr>
        <w:t>אשר מצביעים על כך שהמערער נקט כלפיה באלימות</w:t>
      </w:r>
      <w:r>
        <w:rPr>
          <w:rtl w:val="true"/>
        </w:rPr>
        <w:t xml:space="preserve">; </w:t>
      </w:r>
      <w:r>
        <w:rPr>
          <w:rtl w:val="true"/>
        </w:rPr>
        <w:t>חוות דעת של המעבדה הביולוגית</w:t>
      </w:r>
      <w:r>
        <w:rPr>
          <w:rtl w:val="true"/>
        </w:rPr>
        <w:t xml:space="preserve">; </w:t>
      </w:r>
      <w:r>
        <w:rPr>
          <w:rtl w:val="true"/>
        </w:rPr>
        <w:t xml:space="preserve">וכן חוות דעתה </w:t>
      </w:r>
      <w:r>
        <w:rPr>
          <w:rtl w:val="true"/>
        </w:rPr>
        <w:t>ועדותה</w:t>
      </w:r>
      <w:r>
        <w:rPr>
          <w:rtl w:val="true"/>
        </w:rPr>
        <w:t xml:space="preserve"> של ד</w:t>
      </w:r>
      <w:r>
        <w:rPr>
          <w:rtl w:val="true"/>
        </w:rPr>
        <w:t>"</w:t>
      </w:r>
      <w:r>
        <w:rPr>
          <w:rtl w:val="true"/>
        </w:rPr>
        <w:t xml:space="preserve">ר שוורצמן </w:t>
      </w:r>
      <w:r>
        <w:rPr>
          <w:rtl w:val="true"/>
        </w:rPr>
        <w:t>–</w:t>
      </w:r>
      <w:r>
        <w:rPr>
          <w:rtl w:val="true"/>
        </w:rPr>
        <w:t xml:space="preserve"> הגניקולוגית שבדקה את המתלוננת בהגיעה אל בית החולים בסמוך לאירוע</w:t>
      </w:r>
      <w:r>
        <w:rPr>
          <w:rtl w:val="true"/>
        </w:rPr>
        <w:t xml:space="preserve">. </w:t>
      </w:r>
      <w:r>
        <w:rPr>
          <w:rtl w:val="true"/>
        </w:rPr>
        <w:t>טענת המערער לפיה חוות דעתה של ד</w:t>
      </w:r>
      <w:r>
        <w:rPr>
          <w:rtl w:val="true"/>
        </w:rPr>
        <w:t>"</w:t>
      </w:r>
      <w:r>
        <w:rPr>
          <w:rtl w:val="true"/>
        </w:rPr>
        <w:t>ר שוורצמן אינה מחזקת את עדות המתלוננת</w:t>
      </w:r>
      <w:r>
        <w:rPr>
          <w:rtl w:val="true"/>
        </w:rPr>
        <w:t xml:space="preserve">, </w:t>
      </w:r>
      <w:r>
        <w:rPr>
          <w:rtl w:val="true"/>
        </w:rPr>
        <w:t>הואיל והחבלות שנמצאו בגופה יכולות היו להיגרם כתוצאה מהיתקלות עם חפצים</w:t>
      </w:r>
      <w:r>
        <w:rPr>
          <w:rtl w:val="true"/>
        </w:rPr>
        <w:t xml:space="preserve">, </w:t>
      </w:r>
      <w:r>
        <w:rPr>
          <w:rtl w:val="true"/>
        </w:rPr>
        <w:t xml:space="preserve">התנהגות אשר אופיינית לאנשים שיכורים </w:t>
      </w:r>
      <w:r>
        <w:rPr>
          <w:rtl w:val="true"/>
        </w:rPr>
        <w:t>–</w:t>
      </w:r>
      <w:r>
        <w:rPr>
          <w:rtl w:val="true"/>
        </w:rPr>
        <w:t xml:space="preserve"> דינה להידחות</w:t>
      </w:r>
      <w:r>
        <w:rPr>
          <w:rtl w:val="true"/>
        </w:rPr>
        <w:t xml:space="preserve">. </w:t>
      </w:r>
      <w:r>
        <w:rPr>
          <w:rtl w:val="true"/>
        </w:rPr>
        <w:t>בית משפט קמא התרשם מחוות דעתה של ד</w:t>
      </w:r>
      <w:r>
        <w:rPr>
          <w:rtl w:val="true"/>
        </w:rPr>
        <w:t>"</w:t>
      </w:r>
      <w:r>
        <w:rPr>
          <w:rtl w:val="true"/>
        </w:rPr>
        <w:t>ר שוורצמן</w:t>
      </w:r>
      <w:r>
        <w:rPr>
          <w:rtl w:val="true"/>
        </w:rPr>
        <w:t xml:space="preserve">, </w:t>
      </w:r>
      <w:r>
        <w:rPr>
          <w:rtl w:val="true"/>
        </w:rPr>
        <w:t>קבע כי חוות דעת זו הינה אמינה</w:t>
      </w:r>
      <w:r>
        <w:rPr>
          <w:rtl w:val="true"/>
        </w:rPr>
        <w:t xml:space="preserve">; </w:t>
      </w:r>
      <w:r>
        <w:rPr>
          <w:rtl w:val="true"/>
        </w:rPr>
        <w:t xml:space="preserve">ובכגון דא אין כל סיבה שנתערב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10166/09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2010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8693/08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שטרנברג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 xml:space="preserve">);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5459/09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שוורץ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2015</w:t>
      </w:r>
      <w:r>
        <w:rPr>
          <w:rtl w:val="true"/>
        </w:rPr>
        <w:t xml:space="preserve">);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9612/10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קוגמן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2014</w:t>
      </w:r>
      <w:r>
        <w:rPr>
          <w:rtl w:val="true"/>
        </w:rPr>
        <w:t xml:space="preserve">); </w:t>
      </w:r>
      <w:hyperlink r:id="rId5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7014/06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לימור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2007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מסקנות ברורות אלה</w:t>
      </w:r>
      <w:r>
        <w:rPr>
          <w:rtl w:val="true"/>
        </w:rPr>
        <w:t xml:space="preserve">, </w:t>
      </w:r>
      <w:r>
        <w:rPr>
          <w:rtl w:val="true"/>
        </w:rPr>
        <w:t>די בהן כדי לדחות את הערעור על ההרשעה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המקרה שלפנינו העלה לדיון גם שאלה משפטית אליה מצאתי לנכון להתייחס</w:t>
      </w:r>
      <w:r>
        <w:rPr>
          <w:rtl w:val="true"/>
        </w:rPr>
        <w:t xml:space="preserve">, </w:t>
      </w:r>
      <w:r>
        <w:rPr>
          <w:rtl w:val="true"/>
        </w:rPr>
        <w:t xml:space="preserve">ולו בקצרה </w:t>
      </w:r>
      <w:r>
        <w:rPr>
          <w:rtl w:val="true"/>
        </w:rPr>
        <w:t>–</w:t>
      </w:r>
      <w:r>
        <w:rPr>
          <w:rtl w:val="true"/>
        </w:rPr>
        <w:t>מפאת חשיבותה</w:t>
      </w:r>
      <w:r>
        <w:rPr>
          <w:rtl w:val="true"/>
        </w:rPr>
        <w:t xml:space="preserve">, </w:t>
      </w:r>
      <w:r>
        <w:rPr>
          <w:rtl w:val="true"/>
        </w:rPr>
        <w:t xml:space="preserve">וכדי להעמיד את הדברים על דיוקם </w:t>
      </w:r>
      <w:r>
        <w:rPr>
          <w:rtl w:val="true"/>
        </w:rPr>
        <w:t>–</w:t>
      </w:r>
      <w:r>
        <w:rPr>
          <w:rtl w:val="true"/>
        </w:rPr>
        <w:t xml:space="preserve"> למרות שהתייחסות זאת איננה הכרחית להכרעתנו בערעור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כשוללת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הסכמתה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בא המערער וטוען כי המתלוננת נתנה את הסכמתה לקיום יחסי המין עמו</w:t>
      </w:r>
      <w:r>
        <w:rPr>
          <w:rtl w:val="true"/>
        </w:rPr>
        <w:t xml:space="preserve">, </w:t>
      </w:r>
      <w:r>
        <w:rPr>
          <w:rtl w:val="true"/>
        </w:rPr>
        <w:t xml:space="preserve">אלא שהיא אינה זוכרת זאת בשל היותה שיכורה כלוט בזמן המעשים </w:t>
      </w:r>
      <w:r>
        <w:rPr>
          <w:rtl w:val="true"/>
        </w:rPr>
        <w:t>–</w:t>
      </w:r>
      <w:r>
        <w:rPr>
          <w:rtl w:val="true"/>
        </w:rPr>
        <w:t xml:space="preserve"> שכרות שכפי הנראה מחקה מראשה את זיכרונה מאותו אירוע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טענה זו אינה יכולה לעמוד</w:t>
      </w:r>
      <w:r>
        <w:rPr>
          <w:rtl w:val="true"/>
        </w:rPr>
        <w:t xml:space="preserve">. </w:t>
      </w:r>
      <w:hyperlink r:id="rId5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המגדיר את עבירת האינוס</w:t>
      </w:r>
      <w:r>
        <w:rPr>
          <w:rtl w:val="true"/>
        </w:rPr>
        <w:t xml:space="preserve">, </w:t>
      </w:r>
      <w:r>
        <w:rPr>
          <w:rtl w:val="true"/>
        </w:rPr>
        <w:t>קובע כך</w:t>
      </w:r>
      <w:r>
        <w:rPr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Style w:val="big-number"/>
          <w:rFonts w:cs="Century" w:ascii="Century" w:hAnsi="Century"/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 xml:space="preserve">הבועל </w:t>
      </w:r>
      <w:r>
        <w:rPr>
          <w:rStyle w:val="default"/>
          <w:rFonts w:ascii="Century" w:hAnsi="Century" w:cs="Century"/>
          <w:rtl w:val="true"/>
        </w:rPr>
        <w:t>איש</w:t>
      </w:r>
      <w:r>
        <w:rPr>
          <w:rStyle w:val="default"/>
          <w:rFonts w:ascii="Century" w:hAnsi="Century" w:cs="Century"/>
          <w:rtl w:val="true"/>
        </w:rPr>
        <w:t>ה</w:t>
      </w:r>
      <w:r>
        <w:rPr>
          <w:rStyle w:val="default"/>
          <w:rFonts w:ascii="Century" w:hAnsi="Century" w:cs="Century"/>
          <w:rtl w:val="true"/>
        </w:rPr>
        <w:t xml:space="preserve"> –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cs="Century" w:ascii="Century" w:hAnsi="Century"/>
        </w:rPr>
        <w:t>1</w:t>
      </w:r>
      <w:r>
        <w:rPr>
          <w:rStyle w:val="default"/>
          <w:rFonts w:cs="Century" w:ascii="Century" w:hAnsi="Century"/>
          <w:rtl w:val="true"/>
        </w:rPr>
        <w:t xml:space="preserve">) </w:t>
      </w:r>
      <w:r>
        <w:rPr>
          <w:rStyle w:val="default"/>
          <w:rFonts w:ascii="Century" w:hAnsi="Century" w:cs="Century"/>
          <w:rtl w:val="true"/>
        </w:rPr>
        <w:t>שלא בהסכמתה החופשית</w:t>
      </w:r>
      <w:r>
        <w:rPr>
          <w:rStyle w:val="default"/>
          <w:rFonts w:cs="Century" w:ascii="Century" w:hAnsi="Century"/>
          <w:rtl w:val="true"/>
        </w:rPr>
        <w:t>;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[...]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אונס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ודינו</w:t>
      </w:r>
      <w:r>
        <w:rPr>
          <w:rFonts w:ascii="Century" w:hAnsi="Century" w:cs="Century"/>
          <w:rtl w:val="true"/>
        </w:rPr>
        <w:t xml:space="preserve"> –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עשרה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>".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פשיטא הוא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 xml:space="preserve">כי קיום מגע מיני עם אישה ללא הסכמתה החופשית הוא בגדר אינוס </w:t>
      </w:r>
      <w:r>
        <w:rPr>
          <w:rtl w:val="true"/>
        </w:rPr>
        <w:t>–</w:t>
      </w:r>
      <w:r>
        <w:rPr>
          <w:rtl w:val="true"/>
        </w:rPr>
        <w:t xml:space="preserve"> וזאת גם כאשר האישה אינה מביעה התנגדות פיזית או מילולית למגע המיני אשר נכפה עליה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hyperlink r:id="rId5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8987/12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טרשתי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 xml:space="preserve">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ארבל</w:t>
      </w:r>
      <w:r>
        <w:rPr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28.10.2013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טרשתי</w:t>
      </w:r>
      <w:r>
        <w:rPr>
          <w:sz w:val="28"/>
          <w:rtl w:val="true"/>
        </w:rPr>
        <w:t xml:space="preserve">); </w:t>
      </w:r>
      <w:hyperlink r:id="rId5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2489/12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20</w:t>
      </w:r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13.8.2012</w:t>
      </w:r>
      <w:r>
        <w:rPr>
          <w:sz w:val="28"/>
          <w:rtl w:val="true"/>
        </w:rPr>
        <w:t xml:space="preserve">); </w:t>
      </w:r>
      <w:hyperlink r:id="rId5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132/10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טוואצאו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sz w:val="28"/>
          <w:rtl w:val="true"/>
        </w:rPr>
        <w:t>,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5.9.2011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טוואצאו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 xml:space="preserve">וכן </w:t>
      </w:r>
      <w:hyperlink r:id="rId5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2606/04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בנבידה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פסקאות </w:t>
      </w:r>
      <w:r>
        <w:rPr>
          <w:sz w:val="28"/>
        </w:rPr>
        <w:t>28-27</w:t>
      </w:r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26.4.2006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לכל אישה</w:t>
      </w:r>
      <w:r>
        <w:rPr>
          <w:rtl w:val="true"/>
        </w:rPr>
        <w:t xml:space="preserve">, </w:t>
      </w:r>
      <w:r>
        <w:rPr>
          <w:rtl w:val="true"/>
        </w:rPr>
        <w:t>כמו לכל אדם אוטונומי</w:t>
      </w:r>
      <w:r>
        <w:rPr>
          <w:rtl w:val="true"/>
        </w:rPr>
        <w:t xml:space="preserve">, </w:t>
      </w:r>
      <w:r>
        <w:rPr>
          <w:rtl w:val="true"/>
        </w:rPr>
        <w:t>נתונה ריבונות מלאה ובלעדית על גופה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באין הסכמה פוזיטיבית וברורה מצד האישה לקיומו של מגע מיני</w:t>
      </w:r>
      <w:r>
        <w:rPr>
          <w:rtl w:val="true"/>
        </w:rPr>
        <w:t xml:space="preserve">, </w:t>
      </w:r>
      <w:r>
        <w:rPr>
          <w:rtl w:val="true"/>
        </w:rPr>
        <w:t>מגע כאמור הוא מגע שנכפה על האישה</w:t>
      </w:r>
      <w:r>
        <w:rPr>
          <w:rtl w:val="true"/>
        </w:rPr>
        <w:t xml:space="preserve">; </w:t>
      </w:r>
      <w:r>
        <w:rPr>
          <w:rtl w:val="true"/>
        </w:rPr>
        <w:t>וככל שמגע זה מגיע כדי בעילה</w:t>
      </w:r>
      <w:r>
        <w:rPr>
          <w:rtl w:val="true"/>
        </w:rPr>
        <w:t xml:space="preserve">, </w:t>
      </w:r>
      <w:r>
        <w:rPr>
          <w:rtl w:val="true"/>
        </w:rPr>
        <w:t>כמשמעה ב</w:t>
      </w:r>
      <w:hyperlink r:id="rId5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הרי הוא בגדר אינוס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10898/08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15.4.2010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6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10898/08</w:t>
        </w:r>
      </w:hyperlink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אין בידינו לקבל את גרסת המערער כי המתלוננת כביכול הסכימה לקיים עמו יחסי מין</w:t>
      </w:r>
      <w:r>
        <w:rPr>
          <w:rtl w:val="true"/>
        </w:rPr>
        <w:t xml:space="preserve">, </w:t>
      </w:r>
      <w:r>
        <w:rPr>
          <w:rtl w:val="true"/>
        </w:rPr>
        <w:t>בעודה שיכורה עד כדי חוסר יכולת לדעת היכן היא נמצאת ובלבול בין המערער לבין אבי בן</w:t>
      </w:r>
      <w:r>
        <w:rPr>
          <w:rtl w:val="true"/>
        </w:rPr>
        <w:t>-</w:t>
      </w:r>
      <w:r>
        <w:rPr>
          <w:rtl w:val="true"/>
        </w:rPr>
        <w:t>זוגה</w:t>
      </w:r>
      <w:r>
        <w:rPr>
          <w:rtl w:val="true"/>
        </w:rPr>
        <w:t xml:space="preserve">, </w:t>
      </w:r>
      <w:r>
        <w:rPr>
          <w:rtl w:val="true"/>
        </w:rPr>
        <w:t xml:space="preserve">אותו האשימה בסרבנות מזונות </w:t>
      </w:r>
      <w:r>
        <w:rPr>
          <w:rtl w:val="true"/>
        </w:rPr>
        <w:t>–</w:t>
      </w:r>
      <w:r>
        <w:rPr>
          <w:rtl w:val="true"/>
        </w:rPr>
        <w:t xml:space="preserve"> וזאת</w:t>
      </w:r>
      <w:r>
        <w:rPr>
          <w:rtl w:val="true"/>
        </w:rPr>
        <w:t xml:space="preserve">, </w:t>
      </w:r>
      <w:r>
        <w:rPr>
          <w:rtl w:val="true"/>
        </w:rPr>
        <w:t>כעניין משפטי טהור אשר אינו תלוי כהוא זה בשיקולי אמינות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אדם שנמצא תחת השפעה כבדה של משקאות משכרים או סמים</w:t>
      </w:r>
      <w:r>
        <w:rPr>
          <w:rtl w:val="true"/>
        </w:rPr>
        <w:t xml:space="preserve">, </w:t>
      </w:r>
      <w:r>
        <w:rPr>
          <w:rtl w:val="true"/>
        </w:rPr>
        <w:t>שמחלישה באופן ניכר את תפיסת המציאות שלו</w:t>
      </w:r>
      <w:r>
        <w:rPr>
          <w:rtl w:val="true"/>
        </w:rPr>
        <w:t xml:space="preserve">, </w:t>
      </w:r>
      <w:r>
        <w:rPr>
          <w:rtl w:val="true"/>
        </w:rPr>
        <w:t xml:space="preserve">שרוי במצב אשר מונע ממנו ליתן הסכמה חופשית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238/08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מט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22.4.2010</w:t>
      </w:r>
      <w:r>
        <w:rPr>
          <w:rtl w:val="true"/>
        </w:rPr>
        <w:t xml:space="preserve">);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7257/08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15</w:t>
      </w:r>
      <w:r>
        <w:rPr>
          <w:rtl w:val="true"/>
        </w:rPr>
        <w:t xml:space="preserve">,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22.4.2010</w:t>
      </w:r>
      <w:r>
        <w:rPr>
          <w:rtl w:val="true"/>
        </w:rPr>
        <w:t xml:space="preserve">); </w:t>
      </w:r>
      <w:hyperlink r:id="rId6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10898/08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15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טרשתי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בסיטואציות כגון אלו</w:t>
      </w:r>
      <w:r>
        <w:rPr>
          <w:rtl w:val="true"/>
        </w:rPr>
        <w:t xml:space="preserve">, </w:t>
      </w:r>
      <w:r>
        <w:rPr>
          <w:rtl w:val="true"/>
        </w:rPr>
        <w:t>פערי הכוחות בין גבר ששולט על מעשיו לבין האישה השיכורה הינם מובהקים וקלים לזיהוי</w:t>
      </w:r>
      <w:r>
        <w:rPr>
          <w:rtl w:val="true"/>
        </w:rPr>
        <w:t xml:space="preserve">. </w:t>
      </w:r>
      <w:r>
        <w:rPr>
          <w:rtl w:val="true"/>
        </w:rPr>
        <w:t>כושר ההתנגדות של האישה נחלש עד מאד</w:t>
      </w:r>
      <w:r>
        <w:rPr>
          <w:rtl w:val="true"/>
        </w:rPr>
        <w:t xml:space="preserve">. </w:t>
      </w:r>
      <w:r>
        <w:rPr>
          <w:rtl w:val="true"/>
        </w:rPr>
        <w:t>יכולתה לתת הסכמה אותנטית לקיום יחסי מין</w:t>
      </w:r>
      <w:r>
        <w:rPr>
          <w:rtl w:val="true"/>
        </w:rPr>
        <w:t xml:space="preserve">, </w:t>
      </w:r>
      <w:r>
        <w:rPr>
          <w:rtl w:val="true"/>
        </w:rPr>
        <w:t xml:space="preserve">אף היא נחלשת עד מאד ולמעשה נעלמת לחלוטין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רותי לבנשטיין </w:t>
      </w:r>
      <w:hyperlink r:id="rId65">
        <w:r>
          <w:rPr>
            <w:rStyle w:val="Hyperlink"/>
            <w:color w:val="0000FF"/>
            <w:u w:val="single"/>
            <w:rtl w:val="true"/>
          </w:rPr>
          <w:t>לזר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מבט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חדש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הסכמה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בעברת האינוס</w:t>
      </w:r>
      <w:r>
        <w:rPr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עיוני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משפט</w:t>
      </w:r>
      <w:r>
        <w:rPr>
          <w:rtl w:val="true"/>
        </w:rPr>
        <w:t xml:space="preserve"> מב </w:t>
      </w:r>
      <w:r>
        <w:rPr/>
        <w:t>67</w:t>
      </w:r>
      <w:r>
        <w:rPr>
          <w:rtl w:val="true"/>
        </w:rPr>
        <w:t xml:space="preserve">, </w:t>
      </w:r>
      <w:r>
        <w:rPr/>
        <w:t>84</w:t>
      </w:r>
      <w:r>
        <w:rPr>
          <w:rtl w:val="true"/>
        </w:rPr>
        <w:t xml:space="preserve"> (</w:t>
      </w:r>
      <w:r>
        <w:rPr/>
        <w:t>2019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טרשתי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25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קיום יחסי מין עם אישה שיכורה אשר נמצאת במצב של חוסר הכרה או הכרה מעורפלת</w:t>
      </w:r>
      <w:r>
        <w:rPr>
          <w:rtl w:val="true"/>
        </w:rPr>
        <w:t xml:space="preserve">, </w:t>
      </w:r>
      <w:r>
        <w:rPr>
          <w:rtl w:val="true"/>
        </w:rPr>
        <w:t>ואינה מודעת למה שנעשה סביבה</w:t>
      </w:r>
      <w:r>
        <w:rPr>
          <w:rtl w:val="true"/>
        </w:rPr>
        <w:t xml:space="preserve">, </w:t>
      </w:r>
      <w:r>
        <w:rPr>
          <w:rtl w:val="true"/>
        </w:rPr>
        <w:t xml:space="preserve">אינו אלא אינוס כהגדרתו בחוק </w:t>
      </w:r>
      <w:r>
        <w:rPr>
          <w:rtl w:val="true"/>
        </w:rPr>
        <w:t>(</w:t>
      </w:r>
      <w:r>
        <w:rPr>
          <w:rtl w:val="true"/>
        </w:rPr>
        <w:t xml:space="preserve">מסקנה שתהא נכונה גם ביחס לעבירות מין אחרות </w:t>
      </w:r>
      <w:r>
        <w:rPr>
          <w:rtl w:val="true"/>
        </w:rPr>
        <w:t>–</w:t>
      </w:r>
      <w:r>
        <w:rPr>
          <w:rtl w:val="true"/>
        </w:rPr>
        <w:t xml:space="preserve"> כדוגמת מעשה מגונה בנסיבות אינוס או מעשה סדום בכפייה </w:t>
      </w:r>
      <w:r>
        <w:rPr>
          <w:rtl w:val="true"/>
        </w:rPr>
        <w:t>–</w:t>
      </w:r>
      <w:r>
        <w:rPr>
          <w:rtl w:val="true"/>
        </w:rPr>
        <w:t xml:space="preserve"> שחוסר הסכמה מצד נפגעת העבירה הוא יסוד מיסודותיהן</w:t>
      </w:r>
      <w:r>
        <w:rPr>
          <w:rtl w:val="true"/>
        </w:rPr>
        <w:t xml:space="preserve">; </w:t>
      </w:r>
      <w:r>
        <w:rPr>
          <w:rtl w:val="true"/>
        </w:rPr>
        <w:t>וכן ביחס לנפגעי עבירה ממין זכר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היה מודע היטב למצבה של המתלוננת</w:t>
      </w:r>
      <w:r>
        <w:rPr>
          <w:rtl w:val="true"/>
        </w:rPr>
        <w:t xml:space="preserve">. </w:t>
      </w:r>
      <w:r>
        <w:rPr>
          <w:rtl w:val="true"/>
        </w:rPr>
        <w:t>המערער העיד אמנם כי להערכתו המתלוננת הבינה את מה שעשתה</w:t>
      </w:r>
      <w:r>
        <w:rPr>
          <w:rtl w:val="true"/>
        </w:rPr>
        <w:t xml:space="preserve">, </w:t>
      </w:r>
      <w:r>
        <w:rPr>
          <w:rtl w:val="true"/>
        </w:rPr>
        <w:t>למרות הבלבול שנבע מהיותה שיכורה</w:t>
      </w:r>
      <w:r>
        <w:rPr>
          <w:rtl w:val="true"/>
        </w:rPr>
        <w:t xml:space="preserve">, </w:t>
      </w:r>
      <w:r>
        <w:rPr>
          <w:rtl w:val="true"/>
        </w:rPr>
        <w:t xml:space="preserve">אולם גם אם נרצה להאמין לדבריו אלו </w:t>
      </w:r>
      <w:r>
        <w:rPr>
          <w:rtl w:val="true"/>
        </w:rPr>
        <w:t>–</w:t>
      </w:r>
      <w:r>
        <w:rPr>
          <w:rtl w:val="true"/>
        </w:rPr>
        <w:t xml:space="preserve"> מטעמים שלדידי אינם בנמצא </w:t>
      </w:r>
      <w:r>
        <w:rPr>
          <w:rtl w:val="true"/>
        </w:rPr>
        <w:t>–</w:t>
      </w:r>
      <w:r>
        <w:rPr>
          <w:rtl w:val="true"/>
        </w:rPr>
        <w:t xml:space="preserve"> לא יהא בהם כדי לשנות את מסקנתי כי הלה אנס את המתלוננת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 שהמתלוננת לא הסכימה לקיים עמו שום מגעים מיניים והמערער</w:t>
      </w:r>
      <w:r>
        <w:rPr>
          <w:rtl w:val="true"/>
        </w:rPr>
        <w:t xml:space="preserve">, </w:t>
      </w:r>
      <w:r>
        <w:rPr>
          <w:rtl w:val="true"/>
        </w:rPr>
        <w:t>גם לפי דבריו שלו</w:t>
      </w:r>
      <w:r>
        <w:rPr>
          <w:rtl w:val="true"/>
        </w:rPr>
        <w:t xml:space="preserve">, </w:t>
      </w:r>
      <w:r>
        <w:rPr>
          <w:rtl w:val="true"/>
        </w:rPr>
        <w:t>היה מודע למצבה שכאמור אין לתארו אלא כדיסאוריינטציה על רקע של שכרות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אביא מדבריו החשובים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ובראן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ומניחים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, </w:t>
      </w:r>
      <w:r>
        <w:rPr>
          <w:rtl w:val="true"/>
        </w:rPr>
        <w:t>דיינו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6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רואים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שחשד</w:t>
      </w:r>
      <w:r>
        <w:rPr>
          <w:rtl w:val="true"/>
        </w:rPr>
        <w:t xml:space="preserve">...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מלבררם</w:t>
      </w:r>
      <w:r>
        <w:rPr>
          <w:rtl w:val="true"/>
        </w:rPr>
        <w:t xml:space="preserve">'.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...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2056/09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27.5.2009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6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2056/09</w:t>
        </w:r>
      </w:hyperlink>
      <w:r>
        <w:rPr>
          <w:rtl w:val="true"/>
        </w:rPr>
        <w:t xml:space="preserve">);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: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/>
        <w:t>305-304</w:t>
      </w:r>
      <w:r>
        <w:rPr>
          <w:rtl w:val="true"/>
        </w:rPr>
        <w:t xml:space="preserve"> (</w:t>
      </w:r>
      <w:r>
        <w:rPr/>
        <w:t>2000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טייב</w:t>
      </w:r>
      <w:r>
        <w:rPr>
          <w:rtl w:val="true"/>
        </w:rPr>
        <w:t xml:space="preserve">);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14.9.2017</w:t>
      </w:r>
      <w:r>
        <w:rPr>
          <w:rtl w:val="true"/>
        </w:rPr>
        <w:t xml:space="preserve">);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12.11.2014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סיגר</w:t>
      </w:r>
      <w:r>
        <w:rPr>
          <w:rtl w:val="true"/>
        </w:rPr>
        <w:t xml:space="preserve">);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7296/07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/>
        <w:t>22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12.8.2010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תורן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10898/08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ודוק</w:t>
      </w:r>
      <w:r>
        <w:rPr>
          <w:rtl w:val="true"/>
        </w:rPr>
        <w:t xml:space="preserve">: </w:t>
      </w:r>
      <w:r>
        <w:rPr>
          <w:rtl w:val="true"/>
        </w:rPr>
        <w:t>אני מגיע למסקנה זו מבלי לקחת בחשבון את קביעתו של בית משפט קמא כי המערער הפעיל אלימות קשה כלפי המתלוננת</w:t>
      </w:r>
      <w:r>
        <w:rPr>
          <w:rtl w:val="true"/>
        </w:rPr>
        <w:t xml:space="preserve">. </w:t>
      </w:r>
      <w:r>
        <w:rPr>
          <w:rtl w:val="true"/>
        </w:rPr>
        <w:t>על אלימות זו אמר בית משפט קמא את הדברים הבאים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משערותיה</w:t>
      </w:r>
      <w:r>
        <w:rPr>
          <w:rtl w:val="true"/>
        </w:rPr>
        <w:t xml:space="preserve">, </w:t>
      </w:r>
      <w:r>
        <w:rPr>
          <w:rtl w:val="true"/>
        </w:rPr>
        <w:t>ונהג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גחמותיו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בניסיונה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,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ואטומות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לסיכום האמור</w:t>
      </w:r>
      <w:r>
        <w:rPr>
          <w:rtl w:val="true"/>
        </w:rPr>
        <w:t xml:space="preserve">: </w:t>
      </w:r>
      <w:r>
        <w:rPr>
          <w:rtl w:val="true"/>
        </w:rPr>
        <w:t xml:space="preserve">אף אם נרחיק לכת ונקבל את טענת המערער לפיה הוא לא נהג כלפי המתלוננת באלימות והמתלוננת לא הביעה שום התנגדות ממשית </w:t>
      </w:r>
      <w:r>
        <w:rPr>
          <w:rtl w:val="true"/>
        </w:rPr>
        <w:t>–</w:t>
      </w:r>
      <w:r>
        <w:rPr>
          <w:rtl w:val="true"/>
        </w:rPr>
        <w:t xml:space="preserve"> פיזית או מילולית </w:t>
      </w:r>
      <w:r>
        <w:rPr>
          <w:rtl w:val="true"/>
        </w:rPr>
        <w:t>–</w:t>
      </w:r>
      <w:r>
        <w:rPr>
          <w:rtl w:val="true"/>
        </w:rPr>
        <w:t xml:space="preserve"> למעשיו</w:t>
      </w:r>
      <w:r>
        <w:rPr>
          <w:rtl w:val="true"/>
        </w:rPr>
        <w:t xml:space="preserve">, </w:t>
      </w:r>
      <w:r>
        <w:rPr>
          <w:rtl w:val="true"/>
        </w:rPr>
        <w:t>נמצא אותו אשם באונס ובמעשי סדום</w:t>
      </w:r>
      <w:r>
        <w:rPr>
          <w:rtl w:val="true"/>
        </w:rPr>
        <w:t xml:space="preserve">. </w:t>
      </w:r>
      <w:r>
        <w:rPr>
          <w:rtl w:val="true"/>
        </w:rPr>
        <w:t>די בכך שהמתלוננת שתתה לשוכרה והייתה במצב הכרתי מעורפל</w:t>
      </w:r>
      <w:r>
        <w:rPr>
          <w:rtl w:val="true"/>
        </w:rPr>
        <w:t xml:space="preserve">, </w:t>
      </w:r>
      <w:r>
        <w:rPr>
          <w:rtl w:val="true"/>
        </w:rPr>
        <w:t>כדברי המערער עצמו</w:t>
      </w:r>
      <w:r>
        <w:rPr>
          <w:rtl w:val="true"/>
        </w:rPr>
        <w:t xml:space="preserve">, </w:t>
      </w:r>
      <w:r>
        <w:rPr>
          <w:rtl w:val="true"/>
        </w:rPr>
        <w:t xml:space="preserve">כדי שניתן יהיה להסיק ממכלול הנסיבות את היעדר הסכמתה למגעים המיניים שהמערער כפה עליה בנצלו את מצבה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5297/15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27.9.2017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קסה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טרשתי</w:t>
      </w:r>
      <w:r>
        <w:rPr>
          <w:rtl w:val="true"/>
        </w:rPr>
        <w:t xml:space="preserve">, </w:t>
      </w:r>
      <w:r>
        <w:rPr>
          <w:rtl w:val="true"/>
        </w:rPr>
        <w:t xml:space="preserve">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rtl w:val="true"/>
        </w:rPr>
        <w:t xml:space="preserve">; </w:t>
      </w:r>
      <w:r>
        <w:rPr>
          <w:sz w:val="28"/>
          <w:sz w:val="28"/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תורן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בפסקה </w:t>
      </w:r>
      <w:r>
        <w:rPr>
          <w:sz w:val="28"/>
        </w:rPr>
        <w:t>21</w:t>
      </w:r>
      <w:r>
        <w:rPr>
          <w:sz w:val="28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למעלה מן הצורך</w:t>
      </w:r>
      <w:r>
        <w:rPr>
          <w:rtl w:val="true"/>
        </w:rPr>
        <w:t xml:space="preserve">, </w:t>
      </w:r>
      <w:r>
        <w:rPr>
          <w:rtl w:val="true"/>
        </w:rPr>
        <w:t xml:space="preserve">אוסיף כי מעשיו של המערער אף עולים כדי עבירה לפי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: </w:t>
      </w:r>
      <w:r>
        <w:rPr>
          <w:rtl w:val="true"/>
        </w:rPr>
        <w:t>בעילת אישה</w:t>
      </w:r>
      <w:r>
        <w:rPr>
          <w:rStyle w:val="default"/>
          <w:rFonts w:ascii="Century" w:hAnsi="Century" w:cs="Century"/>
          <w:rtl w:val="true"/>
        </w:rPr>
        <w:t xml:space="preserve"> תוך ניצול </w:t>
      </w:r>
      <w:r>
        <w:rPr>
          <w:rtl w:val="true"/>
        </w:rPr>
        <w:t xml:space="preserve">מצב בו היא אינה מסוגלת לתת את הסכמתה בשל מצבה הפיזי או הנפשי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 xml:space="preserve">עניין </w:t>
      </w:r>
      <w:r>
        <w:rPr>
          <w:rFonts w:cs="Miriam"/>
          <w:spacing w:val="0"/>
          <w:szCs w:val="24"/>
          <w:rtl w:val="true"/>
        </w:rPr>
        <w:t>תורן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בפסקה </w:t>
      </w:r>
      <w:r>
        <w:rPr>
          <w:sz w:val="28"/>
        </w:rPr>
        <w:t>12</w:t>
      </w:r>
      <w:r>
        <w:rPr>
          <w:sz w:val="28"/>
          <w:rtl w:val="true"/>
        </w:rPr>
        <w:t xml:space="preserve">; </w:t>
      </w:r>
      <w:hyperlink r:id="rId7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3005/08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26</w:t>
      </w:r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2.3.2009</w:t>
      </w:r>
      <w:r>
        <w:rPr>
          <w:sz w:val="28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הרשעתו של נאשם בעבירה כאמור אינה טעונה הוכחה שמראה</w:t>
      </w:r>
      <w:r>
        <w:rPr>
          <w:rtl w:val="true"/>
        </w:rPr>
        <w:t xml:space="preserve">, </w:t>
      </w:r>
      <w:r>
        <w:rPr>
          <w:rtl w:val="true"/>
        </w:rPr>
        <w:t>מעבר לספק סביר</w:t>
      </w:r>
      <w:r>
        <w:rPr>
          <w:rtl w:val="true"/>
        </w:rPr>
        <w:t xml:space="preserve">, </w:t>
      </w:r>
      <w:r>
        <w:rPr>
          <w:rtl w:val="true"/>
        </w:rPr>
        <w:t>כי יכולתה של האישה ליתן הסכמה חופשית למגע המיני שחוותה נשללה ממנה לחלוטין</w:t>
      </w:r>
      <w:r>
        <w:rPr>
          <w:rtl w:val="true"/>
        </w:rPr>
        <w:t xml:space="preserve">: </w:t>
      </w:r>
      <w:r>
        <w:rPr>
          <w:rtl w:val="true"/>
        </w:rPr>
        <w:t>הוכחה כי יכולת התנגדותה של האישה נשללה ממנה במידה ניכרת</w:t>
      </w:r>
      <w:r>
        <w:rPr>
          <w:rtl w:val="true"/>
        </w:rPr>
        <w:t xml:space="preserve">, </w:t>
      </w:r>
      <w:r>
        <w:rPr>
          <w:rtl w:val="true"/>
        </w:rPr>
        <w:t xml:space="preserve">דיה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ראו</w:t>
      </w:r>
      <w:r>
        <w:rPr>
          <w:sz w:val="22"/>
          <w:rtl w:val="true"/>
        </w:rPr>
        <w:t xml:space="preserve">: </w:t>
      </w:r>
      <w:r>
        <w:rPr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קסה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 xml:space="preserve">בפסקה </w:t>
      </w:r>
      <w:r>
        <w:rPr>
          <w:sz w:val="22"/>
        </w:rPr>
        <w:t>14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טרשתי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22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תורן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12</w:t>
      </w:r>
      <w:r>
        <w:rPr>
          <w:rtl w:val="true"/>
        </w:rPr>
        <w:t xml:space="preserve">; </w:t>
      </w:r>
      <w:hyperlink r:id="rId77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6008/93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2.2.1995</w:t>
      </w:r>
      <w:r>
        <w:rPr>
          <w:rtl w:val="true"/>
        </w:rPr>
        <w:t>)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וראו גם</w:t>
      </w:r>
      <w:r>
        <w:rPr>
          <w:rtl w:val="true"/>
        </w:rPr>
        <w:t xml:space="preserve">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4443/10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קחקוזאשווילי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26-25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20.12.2012</w:t>
      </w:r>
      <w:r>
        <w:rPr>
          <w:rtl w:val="true"/>
        </w:rPr>
        <w:t xml:space="preserve">); </w:t>
      </w:r>
      <w:hyperlink r:id="rId7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2056/09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22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סיגר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28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למקובץ עד כה אוסיף את המובן מאליו</w:t>
      </w:r>
      <w:r>
        <w:rPr>
          <w:rtl w:val="true"/>
        </w:rPr>
        <w:t xml:space="preserve">: </w:t>
      </w:r>
      <w:r>
        <w:rPr>
          <w:rtl w:val="true"/>
        </w:rPr>
        <w:t>התנהגות חופשית</w:t>
      </w:r>
      <w:r>
        <w:rPr>
          <w:rtl w:val="true"/>
        </w:rPr>
        <w:t xml:space="preserve">, </w:t>
      </w:r>
      <w:r>
        <w:rPr>
          <w:rtl w:val="true"/>
        </w:rPr>
        <w:t xml:space="preserve">מתירנית ואף פרובוקטיבית של אישה אינה בגדר היתר לבצע בה מעשים מיניים ללא הסכמתה </w:t>
      </w:r>
      <w:r>
        <w:rPr>
          <w:rtl w:val="true"/>
        </w:rPr>
        <w:t>–</w:t>
      </w:r>
      <w:r>
        <w:rPr>
          <w:rtl w:val="true"/>
        </w:rPr>
        <w:t xml:space="preserve"> וכוונתי להסכמה פוזיטיבית</w:t>
      </w:r>
      <w:r>
        <w:rPr>
          <w:rtl w:val="true"/>
        </w:rPr>
        <w:t xml:space="preserve">, </w:t>
      </w:r>
      <w:r>
        <w:rPr>
          <w:rtl w:val="true"/>
        </w:rPr>
        <w:t>מפורשת או משתמעת בבירור ממכלול הנסיבות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הסכמה של אישה להתלוות לביתו של גבר אינה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 xml:space="preserve">מהווה הסכמה לקיומם של יחסי מין עם אותו גבר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6662/13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2.3.2015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אני מציין דברים אלה</w:t>
      </w:r>
      <w:r>
        <w:rPr>
          <w:rtl w:val="true"/>
        </w:rPr>
        <w:t xml:space="preserve">, </w:t>
      </w:r>
      <w:r>
        <w:rPr>
          <w:rtl w:val="true"/>
        </w:rPr>
        <w:t>למרות היותם מובנים מאליהם</w:t>
      </w:r>
      <w:r>
        <w:rPr>
          <w:rtl w:val="true"/>
        </w:rPr>
        <w:t xml:space="preserve">, </w:t>
      </w:r>
      <w:r>
        <w:rPr>
          <w:rtl w:val="true"/>
        </w:rPr>
        <w:t>משתי סיבות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לדאבוננו</w:t>
      </w:r>
      <w:r>
        <w:rPr>
          <w:rtl w:val="true"/>
        </w:rPr>
        <w:t xml:space="preserve">, </w:t>
      </w:r>
      <w:r>
        <w:rPr>
          <w:rtl w:val="true"/>
        </w:rPr>
        <w:t>יש מי שאינו רואה דברים אלה כמובנים מאליהם</w:t>
      </w:r>
      <w:r>
        <w:rPr>
          <w:rtl w:val="true"/>
        </w:rPr>
        <w:t xml:space="preserve">, </w:t>
      </w:r>
      <w:r>
        <w:rPr>
          <w:rtl w:val="true"/>
        </w:rPr>
        <w:t>ותפיסה מעוותת זו של המציאות טעונה תיקון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 דכאן העלה טענה על האופן המתירני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tl w:val="true"/>
        </w:rPr>
        <w:t>-</w:t>
      </w:r>
      <w:r>
        <w:rPr>
          <w:rtl w:val="true"/>
        </w:rPr>
        <w:t>כדי</w:t>
      </w:r>
      <w:r>
        <w:rPr>
          <w:rtl w:val="true"/>
        </w:rPr>
        <w:t>-</w:t>
      </w:r>
      <w:r>
        <w:rPr>
          <w:rtl w:val="true"/>
        </w:rPr>
        <w:t>פרובוקטיבי</w:t>
      </w:r>
      <w:r>
        <w:rPr>
          <w:rtl w:val="true"/>
        </w:rPr>
        <w:t xml:space="preserve">, </w:t>
      </w:r>
      <w:r>
        <w:rPr>
          <w:rtl w:val="true"/>
        </w:rPr>
        <w:t>שבו התנהגה המתלוננת בבר בהיותה תחת השפעת אלכוהול</w:t>
      </w:r>
      <w:r>
        <w:rPr>
          <w:rtl w:val="true"/>
        </w:rPr>
        <w:t xml:space="preserve">. </w:t>
      </w:r>
      <w:r>
        <w:rPr>
          <w:rtl w:val="true"/>
        </w:rPr>
        <w:t>לכל אישה</w:t>
      </w:r>
      <w:r>
        <w:rPr>
          <w:rtl w:val="true"/>
        </w:rPr>
        <w:t xml:space="preserve">, </w:t>
      </w:r>
      <w:r>
        <w:rPr>
          <w:rtl w:val="true"/>
        </w:rPr>
        <w:t>באשר היא אדם בן חורין</w:t>
      </w:r>
      <w:r>
        <w:rPr>
          <w:rtl w:val="true"/>
        </w:rPr>
        <w:t xml:space="preserve">, </w:t>
      </w:r>
      <w:r>
        <w:rPr>
          <w:rtl w:val="true"/>
        </w:rPr>
        <w:t>יש זכות מלאה לנהל את עצמה לפי רצונה</w:t>
      </w:r>
      <w:r>
        <w:rPr>
          <w:rtl w:val="true"/>
        </w:rPr>
        <w:t>-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לשדר לאנשים שהיא חפצה ביקרם</w:t>
      </w:r>
      <w:r>
        <w:rPr>
          <w:rtl w:val="true"/>
        </w:rPr>
        <w:t xml:space="preserve">, </w:t>
      </w:r>
      <w:r>
        <w:rPr>
          <w:rtl w:val="true"/>
        </w:rPr>
        <w:t>ולסביבתה כולה</w:t>
      </w:r>
      <w:r>
        <w:rPr>
          <w:rtl w:val="true"/>
        </w:rPr>
        <w:t xml:space="preserve">, </w:t>
      </w:r>
      <w:r>
        <w:rPr>
          <w:rtl w:val="true"/>
        </w:rPr>
        <w:t>מתירנות מינית</w:t>
      </w:r>
      <w:r>
        <w:rPr>
          <w:rtl w:val="true"/>
        </w:rPr>
        <w:t xml:space="preserve">, </w:t>
      </w:r>
      <w:r>
        <w:rPr>
          <w:rtl w:val="true"/>
        </w:rPr>
        <w:t xml:space="preserve">ואף להתנהג באופן שנתפס כפרובוקטיבי </w:t>
      </w:r>
      <w:r>
        <w:rPr>
          <w:rtl w:val="true"/>
        </w:rPr>
        <w:t>–</w:t>
      </w:r>
      <w:r>
        <w:rPr>
          <w:rtl w:val="true"/>
        </w:rPr>
        <w:t xml:space="preserve"> מבלי שמימושה של חירות כאמור יתפרש על ידי מאן דהוא כהזמנה לקיום יחסי מין המופנית אליו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מטעמים אלה אציע לחבריי לדחות את הערעור על ההרשעה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פעל בניגוד לרצונה של המתלוננת תוך הפעלת אלימות קשה כלפיה</w:t>
      </w:r>
      <w:r>
        <w:rPr>
          <w:rtl w:val="true"/>
        </w:rPr>
        <w:t xml:space="preserve">, </w:t>
      </w:r>
      <w:r>
        <w:rPr>
          <w:rtl w:val="true"/>
        </w:rPr>
        <w:t>וחרף התנגדותה</w:t>
      </w:r>
      <w:r>
        <w:rPr>
          <w:rtl w:val="true"/>
        </w:rPr>
        <w:t xml:space="preserve">. </w:t>
      </w:r>
      <w:r>
        <w:rPr>
          <w:rtl w:val="true"/>
        </w:rPr>
        <w:t>המערער כפה על המתלוננת מגעים מיניים ברוטליים שכאמור מגיעים כדי אינוס ומעשה סדום בכפייה</w:t>
      </w:r>
      <w:r>
        <w:rPr>
          <w:rtl w:val="true"/>
        </w:rPr>
        <w:t xml:space="preserve">. </w:t>
      </w:r>
      <w:r>
        <w:rPr>
          <w:rtl w:val="true"/>
        </w:rPr>
        <w:t>לצד הנזק הפיזי שמעשים אלה גרמו למתלוננת</w:t>
      </w:r>
      <w:r>
        <w:rPr>
          <w:rtl w:val="true"/>
        </w:rPr>
        <w:t xml:space="preserve">, </w:t>
      </w:r>
      <w:r>
        <w:rPr>
          <w:rtl w:val="true"/>
        </w:rPr>
        <w:t xml:space="preserve">הם השפילו אותה השפלה עמוקה ומחקו את רצונה ואת </w:t>
      </w:r>
      <w:r>
        <w:rPr>
          <w:rtl w:val="true"/>
        </w:rPr>
        <w:t>הָאֲנִי</w:t>
      </w:r>
      <w:r>
        <w:rPr>
          <w:rtl w:val="true"/>
        </w:rPr>
        <w:t xml:space="preserve"> שלה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איים המערער על המתלוננת לבל תתלונן נגדו ועל ידי כך ביצע עבירה נוספת של הדחה בחקירה</w:t>
      </w:r>
      <w:r>
        <w:rPr>
          <w:rtl w:val="true"/>
        </w:rPr>
        <w:t xml:space="preserve">. </w:t>
      </w:r>
      <w:r>
        <w:rPr>
          <w:rtl w:val="true"/>
        </w:rPr>
        <w:t>הפגיעה במתלוננת היתה קשה</w:t>
      </w:r>
      <w:r>
        <w:rPr>
          <w:rtl w:val="true"/>
        </w:rPr>
        <w:t xml:space="preserve">. </w:t>
      </w:r>
      <w:r>
        <w:rPr>
          <w:rtl w:val="true"/>
        </w:rPr>
        <w:t>כפי שעולה מתסקיר נפגעת העבירה</w:t>
      </w:r>
      <w:r>
        <w:rPr>
          <w:rtl w:val="true"/>
        </w:rPr>
        <w:t xml:space="preserve">, </w:t>
      </w:r>
      <w:r>
        <w:rPr>
          <w:rtl w:val="true"/>
        </w:rPr>
        <w:t>המערער קטע את רצף חייה של המתלוננת ואת מסלול התבגרותה הטבעי</w:t>
      </w:r>
      <w:r>
        <w:rPr>
          <w:rtl w:val="true"/>
        </w:rPr>
        <w:t xml:space="preserve">, </w:t>
      </w:r>
      <w:r>
        <w:rPr>
          <w:rtl w:val="true"/>
        </w:rPr>
        <w:t>וכן ערער את ביטחונה האישי ברמה קיומית הכי בסיסית</w:t>
      </w:r>
      <w:r>
        <w:rPr>
          <w:rtl w:val="true"/>
        </w:rPr>
        <w:t xml:space="preserve">. </w:t>
      </w:r>
      <w:r>
        <w:rPr>
          <w:rtl w:val="true"/>
        </w:rPr>
        <w:t>המתלוננת סובלת מטראומה ומחרדה</w:t>
      </w:r>
      <w:r>
        <w:rPr>
          <w:rtl w:val="true"/>
        </w:rPr>
        <w:t xml:space="preserve">; </w:t>
      </w:r>
      <w:r>
        <w:rPr>
          <w:rtl w:val="true"/>
        </w:rPr>
        <w:t>יחסיה עם משפחתה</w:t>
      </w:r>
      <w:r>
        <w:rPr>
          <w:rtl w:val="true"/>
        </w:rPr>
        <w:t xml:space="preserve">, </w:t>
      </w:r>
      <w:r>
        <w:rPr>
          <w:rtl w:val="true"/>
        </w:rPr>
        <w:t>עם בן זוגה לשעבר ועם חבריה נפגעו</w:t>
      </w:r>
      <w:r>
        <w:rPr>
          <w:rtl w:val="true"/>
        </w:rPr>
        <w:t xml:space="preserve">; </w:t>
      </w:r>
      <w:r>
        <w:rPr>
          <w:rtl w:val="true"/>
        </w:rPr>
        <w:t>ודימויה העצמי התערער</w:t>
      </w:r>
      <w:r>
        <w:rPr>
          <w:rtl w:val="true"/>
        </w:rPr>
        <w:t xml:space="preserve">. </w:t>
      </w:r>
      <w:r>
        <w:rPr>
          <w:rtl w:val="true"/>
        </w:rPr>
        <w:t>מעשיו הפוגעניים של המערער חרטו צלקות עמוקות בנפשה של המתלוננת</w:t>
      </w:r>
      <w:r>
        <w:rPr>
          <w:rtl w:val="true"/>
        </w:rPr>
        <w:t xml:space="preserve">, </w:t>
      </w:r>
      <w:r>
        <w:rPr>
          <w:rtl w:val="true"/>
        </w:rPr>
        <w:t>שאותן היא תיאלץ לשאת כל חייה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בעניינים אלו</w:t>
      </w:r>
      <w:r>
        <w:rPr>
          <w:rtl w:val="true"/>
        </w:rPr>
        <w:t xml:space="preserve">, </w:t>
      </w:r>
      <w:r>
        <w:rPr>
          <w:rtl w:val="true"/>
        </w:rPr>
        <w:t xml:space="preserve">אין לי אלא לחזור על דבריו הנכוחים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טייב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הָאֲנִי</w:t>
      </w:r>
      <w:r>
        <w:rPr>
          <w:rtl w:val="true"/>
        </w:rPr>
        <w:t xml:space="preserve">. </w:t>
      </w:r>
      <w:r>
        <w:rPr>
          <w:rtl w:val="true"/>
        </w:rPr>
        <w:t>בריח</w:t>
      </w:r>
      <w:r>
        <w:rPr>
          <w:rtl w:val="true"/>
        </w:rPr>
        <w:t>-</w:t>
      </w:r>
      <w:r>
        <w:rPr>
          <w:rtl w:val="true"/>
        </w:rPr>
        <w:t>התיכון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חופשית</w:t>
      </w:r>
      <w:r>
        <w:rPr>
          <w:rtl w:val="true"/>
        </w:rPr>
        <w:t xml:space="preserve">;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לאישה</w:t>
      </w:r>
      <w:r>
        <w:rPr>
          <w:rtl w:val="true"/>
        </w:rPr>
        <w:t xml:space="preserve">, </w:t>
      </w:r>
      <w:r>
        <w:rPr>
          <w:rtl w:val="true"/>
        </w:rPr>
        <w:t>וזכותה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והוא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). </w:t>
      </w:r>
      <w:r>
        <w:rPr>
          <w:rtl w:val="true"/>
        </w:rPr>
        <w:t>פלישה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>-</w:t>
      </w:r>
      <w:r>
        <w:rPr>
          <w:rtl w:val="true"/>
        </w:rPr>
        <w:t>בהיתר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, </w:t>
      </w:r>
      <w:r>
        <w:rPr>
          <w:rtl w:val="true"/>
        </w:rPr>
        <w:t>לגופו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משפילה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ומדכאת</w:t>
      </w:r>
      <w:r>
        <w:rPr>
          <w:rtl w:val="true"/>
        </w:rPr>
        <w:t xml:space="preserve">; </w:t>
      </w:r>
      <w:r>
        <w:rPr>
          <w:rtl w:val="true"/>
        </w:rPr>
        <w:t>כואבת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כואבת</w:t>
      </w:r>
      <w:r>
        <w:rPr>
          <w:rtl w:val="true"/>
        </w:rPr>
        <w:t>-</w:t>
      </w:r>
      <w:r>
        <w:rPr>
          <w:rtl w:val="true"/>
        </w:rPr>
        <w:t>במאוד</w:t>
      </w:r>
      <w:r>
        <w:rPr>
          <w:rtl w:val="true"/>
        </w:rPr>
        <w:t xml:space="preserve">;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; </w:t>
      </w:r>
      <w:r>
        <w:rPr>
          <w:rtl w:val="true"/>
        </w:rPr>
        <w:t>מעליבה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והעלבון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וצורב</w:t>
      </w:r>
      <w:r>
        <w:rPr>
          <w:rtl w:val="true"/>
        </w:rPr>
        <w:t xml:space="preserve">. </w:t>
      </w:r>
      <w:r>
        <w:rPr>
          <w:rtl w:val="true"/>
        </w:rPr>
        <w:t>נרמס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הָאֲנִי</w:t>
      </w:r>
      <w:r>
        <w:rPr>
          <w:rtl w:val="true"/>
        </w:rPr>
        <w:t xml:space="preserve">,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נחתכת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</w:t>
      </w:r>
      <w:r>
        <w:rPr>
          <w:rtl w:val="true"/>
        </w:rPr>
        <w:t xml:space="preserve">, </w:t>
      </w:r>
      <w:r>
        <w:rPr>
          <w:rtl w:val="true"/>
        </w:rPr>
        <w:t>נגרעת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האוטונומיה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הרצון</w:t>
      </w:r>
      <w:r>
        <w:rPr>
          <w:rtl w:val="true"/>
        </w:rPr>
        <w:t xml:space="preserve">, </w:t>
      </w:r>
      <w:r>
        <w:rPr>
          <w:rtl w:val="true"/>
        </w:rPr>
        <w:t>נדרס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טייב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329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בידוע הוא כי אין ערכאת הערעור מתערבת בחומרת העונש אשר נקבע</w:t>
      </w:r>
      <w:r>
        <w:rPr>
          <w:rtl w:val="true"/>
        </w:rPr>
        <w:t xml:space="preserve">, </w:t>
      </w:r>
      <w:r>
        <w:rPr>
          <w:rtl w:val="true"/>
        </w:rPr>
        <w:t>כפי שנקבע</w:t>
      </w:r>
      <w:r>
        <w:rPr>
          <w:rtl w:val="true"/>
        </w:rPr>
        <w:t xml:space="preserve">, </w:t>
      </w:r>
      <w:r>
        <w:rPr>
          <w:rtl w:val="true"/>
        </w:rPr>
        <w:t>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1.12.2013</w:t>
      </w:r>
      <w:r>
        <w:rPr>
          <w:rtl w:val="true"/>
        </w:rPr>
        <w:t xml:space="preserve">); </w:t>
      </w:r>
      <w:hyperlink r:id="rId8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1242/97</w:t>
        </w:r>
      </w:hyperlink>
      <w:r>
        <w:rPr>
          <w:rtl w:val="true"/>
        </w:rPr>
        <w:t xml:space="preserve"> </w:t>
      </w:r>
      <w:r>
        <w:rPr>
          <w:rFonts w:cs="Miriam"/>
          <w:szCs w:val="24"/>
          <w:rtl w:val="true"/>
        </w:rPr>
        <w:t>גרינברג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מדינת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3.2.1998</w:t>
      </w:r>
      <w:r>
        <w:rPr>
          <w:rtl w:val="true"/>
        </w:rPr>
        <w:t xml:space="preserve">); </w:t>
      </w:r>
      <w:hyperlink r:id="rId8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3091/08</w:t>
        </w:r>
      </w:hyperlink>
      <w:r>
        <w:rPr>
          <w:rtl w:val="true"/>
        </w:rPr>
        <w:t xml:space="preserve"> </w:t>
      </w:r>
      <w:r>
        <w:rPr>
          <w:rFonts w:cs="Miriam"/>
          <w:szCs w:val="24"/>
          <w:rtl w:val="true"/>
        </w:rPr>
        <w:t>טרייגר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נ</w:t>
      </w:r>
      <w:r>
        <w:rPr>
          <w:rFonts w:cs="Miriam"/>
          <w:szCs w:val="24"/>
          <w:rtl w:val="true"/>
        </w:rPr>
        <w:t xml:space="preserve">' </w:t>
      </w:r>
      <w:r>
        <w:rPr>
          <w:rFonts w:cs="Miriam"/>
          <w:szCs w:val="24"/>
          <w:rtl w:val="true"/>
        </w:rPr>
        <w:t>מדינת</w:t>
      </w:r>
      <w:r>
        <w:rPr>
          <w:rFonts w:eastAsia="Garamond"/>
          <w:szCs w:val="24"/>
          <w:rtl w:val="true"/>
        </w:rPr>
        <w:t xml:space="preserve"> </w:t>
      </w:r>
      <w:r>
        <w:rPr>
          <w:rFonts w:cs="Miriam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)). </w:t>
      </w:r>
      <w:r>
        <w:rPr>
          <w:rtl w:val="true"/>
        </w:rPr>
        <w:t>סבורני כי המקרה שלפנינו אינו נמנה על אותם מקרים חריגים אשר קוראים להתערבותנו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גזר דינו של בית משפט קמא מבוסס כדבעי</w:t>
      </w:r>
      <w:r>
        <w:rPr>
          <w:rtl w:val="true"/>
        </w:rPr>
        <w:t xml:space="preserve">. </w:t>
      </w:r>
      <w:r>
        <w:rPr>
          <w:rtl w:val="true"/>
        </w:rPr>
        <w:t>בית המשפט הביא בחשבון את כל השיקולים הנוגעים לעניין</w:t>
      </w:r>
      <w:r>
        <w:rPr>
          <w:rtl w:val="true"/>
        </w:rPr>
        <w:t xml:space="preserve">. </w:t>
      </w:r>
      <w:r>
        <w:rPr>
          <w:rtl w:val="true"/>
        </w:rPr>
        <w:t xml:space="preserve">העונש שנגזר על המערער </w:t>
      </w:r>
      <w:r>
        <w:rPr>
          <w:rtl w:val="true"/>
        </w:rPr>
        <w:t>–</w:t>
      </w:r>
      <w:r>
        <w:rPr>
          <w:rtl w:val="true"/>
        </w:rPr>
        <w:t xml:space="preserve"> שעיקרו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וחצי שנות מאסר לריצוי בפועל </w:t>
      </w:r>
      <w:r>
        <w:rPr>
          <w:rtl w:val="true"/>
        </w:rPr>
        <w:t>–</w:t>
      </w:r>
      <w:r>
        <w:rPr>
          <w:rtl w:val="true"/>
        </w:rPr>
        <w:t xml:space="preserve"> בהחלט תואם את מדיניות הענישה הנוהגת והראויה במקרים כגון דא</w:t>
      </w:r>
      <w:r>
        <w:rPr>
          <w:rtl w:val="true"/>
        </w:rPr>
        <w:t xml:space="preserve">, </w:t>
      </w:r>
      <w:r>
        <w:rPr>
          <w:rtl w:val="true"/>
        </w:rPr>
        <w:t xml:space="preserve">שבמרכזה האינטרס הציבורי בהרתעת עברייני מין פוטנציאליים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25.6.2012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8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2056/09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בפסקה </w:t>
      </w:r>
      <w:r>
        <w:rPr>
          <w:rFonts w:cs="Century" w:ascii="Century" w:hAnsi="Century"/>
          <w:sz w:val="22"/>
        </w:rPr>
        <w:t>29</w:t>
      </w:r>
      <w:r>
        <w:rPr>
          <w:rtl w:val="true"/>
        </w:rPr>
        <w:t xml:space="preserve">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9994/07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11.8.2008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מרגוליס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4.6.2006</w:t>
      </w:r>
      <w:r>
        <w:rPr>
          <w:rtl w:val="true"/>
        </w:rPr>
        <w:t xml:space="preserve">);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7657/00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28.1.2002</w:t>
      </w:r>
      <w:r>
        <w:rPr>
          <w:rtl w:val="true"/>
        </w:rPr>
        <w:t>))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זאת ועוד</w:t>
      </w:r>
      <w:r>
        <w:rPr>
          <w:rtl w:val="true"/>
        </w:rPr>
        <w:t xml:space="preserve">: </w:t>
      </w:r>
      <w:r>
        <w:rPr>
          <w:rtl w:val="true"/>
        </w:rPr>
        <w:t xml:space="preserve">חובה עלינו ליתן משקל גם לפגיעה הקשה שגרם עבריין המין לקורבן ולצלקות שהותיר בנפשו של הקורבן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8233/05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14.8.2008</w:t>
      </w:r>
      <w:r>
        <w:rPr>
          <w:rtl w:val="true"/>
        </w:rPr>
        <w:t xml:space="preserve">);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23.5.2017</w:t>
      </w:r>
      <w:r>
        <w:rPr>
          <w:rtl w:val="true"/>
        </w:rPr>
        <w:t xml:space="preserve">)). </w:t>
      </w:r>
      <w:r>
        <w:rPr>
          <w:rtl w:val="true"/>
        </w:rPr>
        <w:t>כפי שהזדמן לי להעיר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sz w:val="28"/>
        </w:rPr>
      </w:pPr>
      <w:r>
        <w:rPr>
          <w:rtl w:val="true"/>
        </w:rPr>
        <w:t>"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>.]</w:t>
      </w:r>
      <w:r>
        <w:rPr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Fonts w:cs="Times New Roman" w:ascii="Times New Roman" w:hAnsi="Times New Roman"/>
          <w:sz w:val="24"/>
          <w:szCs w:val="24"/>
        </w:rPr>
        <w:t>lex talionis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הפחיתו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 xml:space="preserve">.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לקורבנו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Jean Hampton, </w:t>
      </w:r>
      <w:r>
        <w:rPr>
          <w:rFonts w:cs="Times New Roman" w:ascii="Times New Roman" w:hAnsi="Times New Roman"/>
          <w:i/>
          <w:iCs/>
          <w:sz w:val="24"/>
          <w:szCs w:val="24"/>
        </w:rPr>
        <w:t>The Retributive Idea</w:t>
      </w:r>
      <w:r>
        <w:rPr>
          <w:rFonts w:cs="Times New Roman" w:ascii="Times New Roman" w:hAnsi="Times New Roman"/>
          <w:sz w:val="24"/>
          <w:szCs w:val="24"/>
        </w:rPr>
        <w:t xml:space="preserve">, in Jeffrie G. Murphy &amp; Jean Hampton, </w:t>
      </w:r>
      <w:r>
        <w:rPr>
          <w:rFonts w:cs="Times New Roman" w:ascii="Times New Roman" w:hAnsi="Times New Roman"/>
          <w:smallCaps/>
          <w:sz w:val="24"/>
          <w:szCs w:val="24"/>
        </w:rPr>
        <w:t>Forgiveness and Mercy 111, 131 (1988)</w:t>
      </w:r>
      <w:r>
        <w:rPr>
          <w:rFonts w:cs="Times New Roman" w:ascii="Times New Roman" w:hAnsi="Times New Roman"/>
          <w:smallCaps/>
          <w:sz w:val="24"/>
          <w:szCs w:val="24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. </w:t>
      </w:r>
      <w:r>
        <w:rPr>
          <w:rtl w:val="true"/>
        </w:rPr>
        <w:t>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וסרק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זעקתנו</w:t>
      </w:r>
      <w:r>
        <w:rPr>
          <w:rtl w:val="true"/>
        </w:rPr>
        <w:t xml:space="preserve">"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hyperlink r:id="rId9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3792/18</w:t>
        </w:r>
      </w:hyperlink>
      <w:r>
        <w:rPr>
          <w:color w:val="000000"/>
          <w:sz w:val="27"/>
          <w:szCs w:val="27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sz w:val="28"/>
          <w:sz w:val="28"/>
          <w:rtl w:val="true"/>
        </w:rPr>
        <w:t>פסקה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cs="Century" w:ascii="Century" w:hAnsi="Century"/>
          <w:sz w:val="28"/>
        </w:rPr>
        <w:t>20</w:t>
      </w:r>
      <w:r>
        <w:rPr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sz w:val="28"/>
          <w:rtl w:val="true"/>
        </w:rPr>
        <w:t>(</w:t>
      </w:r>
      <w:r>
        <w:rPr>
          <w:color w:val="000000"/>
          <w:sz w:val="28"/>
        </w:rPr>
        <w:t>11.11.2018</w:t>
      </w:r>
      <w:r>
        <w:rPr>
          <w:color w:val="000000"/>
          <w:sz w:val="28"/>
          <w:rtl w:val="true"/>
        </w:rPr>
        <w:t>)).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לזאת אוסיף כי לפי מצוות המחוקק</w:t>
      </w:r>
      <w:r>
        <w:rPr>
          <w:rtl w:val="true"/>
        </w:rPr>
        <w:t xml:space="preserve">, </w:t>
      </w:r>
      <w:r>
        <w:rPr>
          <w:rtl w:val="true"/>
        </w:rPr>
        <w:t xml:space="preserve">כפי שבאה לידי ביטוי </w:t>
      </w:r>
      <w:hyperlink r:id="rId93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עונש מינימום</w:t>
      </w:r>
      <w:r>
        <w:rPr>
          <w:rtl w:val="true"/>
        </w:rPr>
        <w:t xml:space="preserve">, </w:t>
      </w:r>
      <w:r>
        <w:rPr>
          <w:rtl w:val="true"/>
        </w:rPr>
        <w:t xml:space="preserve">שככלל חובה עלינו להטילו על נאשם שביצע אינוס ושני מעשי סדום בכפייה </w:t>
      </w:r>
      <w:r>
        <w:rPr>
          <w:rtl w:val="true"/>
        </w:rPr>
        <w:t>–</w:t>
      </w:r>
      <w:r>
        <w:rPr>
          <w:rtl w:val="true"/>
        </w:rPr>
        <w:t xml:space="preserve"> עבירות לפי </w:t>
      </w:r>
      <w:hyperlink r:id="rId9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96"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–</w:t>
      </w:r>
      <w:r>
        <w:rPr>
          <w:rtl w:val="true"/>
        </w:rPr>
        <w:t xml:space="preserve"> מגיע כדי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לריצוי בפועל</w:t>
      </w:r>
      <w:r>
        <w:rPr>
          <w:rtl w:val="true"/>
        </w:rPr>
        <w:t xml:space="preserve">. </w:t>
      </w:r>
      <w:r>
        <w:rPr>
          <w:rtl w:val="true"/>
        </w:rPr>
        <w:t>בהתחשב בכך שהמערער הורשע גם בהדחה בחקירה</w:t>
      </w:r>
      <w:r>
        <w:rPr>
          <w:rtl w:val="true"/>
        </w:rPr>
        <w:t xml:space="preserve">, </w:t>
      </w:r>
      <w:r>
        <w:rPr>
          <w:rtl w:val="true"/>
        </w:rPr>
        <w:t>נראה אפוא שעונש המאסר שנגזר עליו לרצות מאחורי סורג ובריח קרוב מאד לעונש המינימום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 בעונש זה משום החמרה יתרה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אם דעתי תישמע</w:t>
      </w:r>
      <w:r>
        <w:rPr>
          <w:rtl w:val="true"/>
        </w:rPr>
        <w:t xml:space="preserve">, </w:t>
      </w:r>
      <w:r>
        <w:rPr>
          <w:rtl w:val="true"/>
        </w:rPr>
        <w:t>נדחה את הערעור שלפנינו על כל רכיביו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firstLine="720" w:end="0"/>
        <w:jc w:val="start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BODYVERDICT"/>
        <w:ind w:end="0"/>
        <w:jc w:val="start"/>
        <w:rPr>
          <w:rFonts w:ascii="Century" w:hAnsi="Century" w:cs="Miriam"/>
          <w:sz w:val="24"/>
          <w:szCs w:val="24"/>
          <w:u w:val="single"/>
        </w:rPr>
      </w:pPr>
      <w:r>
        <w:rPr>
          <w:rFonts w:cs="Miriam" w:ascii="Century" w:hAnsi="Century"/>
          <w:sz w:val="24"/>
          <w:szCs w:val="24"/>
          <w:u w:val="single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1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23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30.10.2022</w:t>
      </w:r>
      <w:r>
        <w:rPr>
          <w:rtl w:val="true"/>
        </w:rPr>
        <w:t xml:space="preserve">). </w:t>
      </w:r>
      <w:bookmarkEnd w:id="23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1"/>
              <w:ind w:end="0"/>
              <w:jc w:val="start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90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21020920</w:t>
      </w:r>
      <w:r>
        <w:rPr>
          <w:sz w:val="16"/>
          <w:rtl w:val="true"/>
        </w:rPr>
        <w:t>_</w:t>
      </w:r>
      <w:r>
        <w:rPr>
          <w:sz w:val="16"/>
        </w:rPr>
        <w:t>F10.docx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בג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54678313-2092/21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99"/>
      <w:footerReference w:type="default" r:id="rId10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Miriam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2092/21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אלכסנדר לוז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קין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FrankRuehl" w:hAnsi="FrankRuehl" w:cs="FrankRuehl"/>
        <w:color w:val="000000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Miriam" w:hAnsi="Miriam" w:eastAsia="Times New Roman" w:cs="Miriam"/>
      <w:sz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FrankRuehl" w:hAnsi="FrankRuehl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8"/>
      <w:sz w:val="28"/>
      <w:szCs w:val="28"/>
      <w:u w:val="none"/>
      <w:vertAlign w:val="baseline"/>
    </w:rPr>
  </w:style>
  <w:style w:type="character" w:styleId="WW8Num13z0">
    <w:name w:val="WW8Num13z0"/>
    <w:qFormat/>
    <w:rPr>
      <w:sz w:val="28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cs="FrankRuehl"/>
      <w:b w:val="false"/>
      <w:bCs w:val="false"/>
      <w:szCs w:val="28"/>
    </w:rPr>
  </w:style>
  <w:style w:type="character" w:styleId="WW8Num15z1">
    <w:name w:val="WW8Num15z1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big-number">
    <w:name w:val="big-number"/>
    <w:basedOn w:val="DefaultParagraphFont"/>
    <w:qFormat/>
    <w:rPr/>
  </w:style>
  <w:style w:type="character" w:styleId="default">
    <w:name w:val="default"/>
    <w:basedOn w:val="DefaultParagraphFont"/>
    <w:qFormat/>
    <w:rPr/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p22">
    <w:name w:val="p22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278731" TargetMode="External"/><Relationship Id="rId3" Type="http://schemas.openxmlformats.org/officeDocument/2006/relationships/hyperlink" Target="http://www.nevo.co.il/safrut/book/35249" TargetMode="External"/><Relationship Id="rId4" Type="http://schemas.openxmlformats.org/officeDocument/2006/relationships/hyperlink" Target="http://www.nevo.co.il/safrut/book/35249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45.b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a.4" TargetMode="External"/><Relationship Id="rId9" Type="http://schemas.openxmlformats.org/officeDocument/2006/relationships/hyperlink" Target="http://www.nevo.co.il/law/70301/347.b" TargetMode="External"/><Relationship Id="rId10" Type="http://schemas.openxmlformats.org/officeDocument/2006/relationships/hyperlink" Target="http://www.nevo.co.il/law/70301/355.a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54a.b" TargetMode="External"/><Relationship Id="rId13" Type="http://schemas.openxmlformats.org/officeDocument/2006/relationships/hyperlink" Target="http://www.nevo.co.il/case/24278731" TargetMode="External"/><Relationship Id="rId14" Type="http://schemas.openxmlformats.org/officeDocument/2006/relationships/hyperlink" Target="http://www.nevo.co.il/law/70301/345.a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/245.b" TargetMode="External"/><Relationship Id="rId19" Type="http://schemas.openxmlformats.org/officeDocument/2006/relationships/hyperlink" Target="http://www.nevo.co.il/case/26396573" TargetMode="External"/><Relationship Id="rId20" Type="http://schemas.openxmlformats.org/officeDocument/2006/relationships/hyperlink" Target="http://www.nevo.co.il/case/26986954" TargetMode="External"/><Relationship Id="rId21" Type="http://schemas.openxmlformats.org/officeDocument/2006/relationships/hyperlink" Target="http://www.nevo.co.il/case/26830322" TargetMode="External"/><Relationship Id="rId22" Type="http://schemas.openxmlformats.org/officeDocument/2006/relationships/hyperlink" Target="http://www.nevo.co.il/case/26538274" TargetMode="External"/><Relationship Id="rId23" Type="http://schemas.openxmlformats.org/officeDocument/2006/relationships/hyperlink" Target="http://www.nevo.co.il/case/26117879" TargetMode="External"/><Relationship Id="rId24" Type="http://schemas.openxmlformats.org/officeDocument/2006/relationships/hyperlink" Target="http://www.nevo.co.il/case/6143693" TargetMode="External"/><Relationship Id="rId25" Type="http://schemas.openxmlformats.org/officeDocument/2006/relationships/hyperlink" Target="http://www.nevo.co.il/case/5747965" TargetMode="External"/><Relationship Id="rId26" Type="http://schemas.openxmlformats.org/officeDocument/2006/relationships/hyperlink" Target="http://www.nevo.co.il/case/5922787" TargetMode="External"/><Relationship Id="rId27" Type="http://schemas.openxmlformats.org/officeDocument/2006/relationships/hyperlink" Target="http://www.nevo.co.il/case/26314372" TargetMode="External"/><Relationship Id="rId28" Type="http://schemas.openxmlformats.org/officeDocument/2006/relationships/hyperlink" Target="http://www.nevo.co.il/case/27245032" TargetMode="External"/><Relationship Id="rId29" Type="http://schemas.openxmlformats.org/officeDocument/2006/relationships/hyperlink" Target="http://www.nevo.co.il/case/27245032" TargetMode="External"/><Relationship Id="rId30" Type="http://schemas.openxmlformats.org/officeDocument/2006/relationships/hyperlink" Target="http://www.nevo.co.il/law/98569/54a.b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case/25014832" TargetMode="External"/><Relationship Id="rId33" Type="http://schemas.openxmlformats.org/officeDocument/2006/relationships/hyperlink" Target="http://www.nevo.co.il/case/24323669" TargetMode="External"/><Relationship Id="rId34" Type="http://schemas.openxmlformats.org/officeDocument/2006/relationships/hyperlink" Target="http://www.nevo.co.il/case/13055235" TargetMode="External"/><Relationship Id="rId35" Type="http://schemas.openxmlformats.org/officeDocument/2006/relationships/hyperlink" Target="http://www.nevo.co.il/case/27245032" TargetMode="External"/><Relationship Id="rId36" Type="http://schemas.openxmlformats.org/officeDocument/2006/relationships/hyperlink" Target="http://www.nevo.co.il/case/17931845" TargetMode="External"/><Relationship Id="rId37" Type="http://schemas.openxmlformats.org/officeDocument/2006/relationships/hyperlink" Target="http://www.nevo.co.il/case/17939869" TargetMode="External"/><Relationship Id="rId38" Type="http://schemas.openxmlformats.org/officeDocument/2006/relationships/hyperlink" Target="http://www.nevo.co.il/case/6103934" TargetMode="External"/><Relationship Id="rId39" Type="http://schemas.openxmlformats.org/officeDocument/2006/relationships/hyperlink" Target="http://www.nevo.co.il/case/6103934" TargetMode="External"/><Relationship Id="rId40" Type="http://schemas.openxmlformats.org/officeDocument/2006/relationships/hyperlink" Target="http://www.nevo.co.il/case/17914229" TargetMode="External"/><Relationship Id="rId41" Type="http://schemas.openxmlformats.org/officeDocument/2006/relationships/hyperlink" Target="http://www.nevo.co.il/law/98569/54a.b" TargetMode="External"/><Relationship Id="rId42" Type="http://schemas.openxmlformats.org/officeDocument/2006/relationships/hyperlink" Target="http://www.nevo.co.il/law/98569" TargetMode="External"/><Relationship Id="rId43" Type="http://schemas.openxmlformats.org/officeDocument/2006/relationships/hyperlink" Target="http://www.nevo.co.il/case/6103934" TargetMode="External"/><Relationship Id="rId44" Type="http://schemas.openxmlformats.org/officeDocument/2006/relationships/hyperlink" Target="http://www.nevo.co.il/case/5613988" TargetMode="External"/><Relationship Id="rId45" Type="http://schemas.openxmlformats.org/officeDocument/2006/relationships/hyperlink" Target="http://www.nevo.co.il/case/5835340" TargetMode="External"/><Relationship Id="rId46" Type="http://schemas.openxmlformats.org/officeDocument/2006/relationships/hyperlink" Target="http://www.nevo.co.il/case/5811601" TargetMode="External"/><Relationship Id="rId47" Type="http://schemas.openxmlformats.org/officeDocument/2006/relationships/hyperlink" Target="http://www.nevo.co.il/case/5718544" TargetMode="External"/><Relationship Id="rId48" Type="http://schemas.openxmlformats.org/officeDocument/2006/relationships/hyperlink" Target="http://www.nevo.co.il/case/6243138" TargetMode="External"/><Relationship Id="rId49" Type="http://schemas.openxmlformats.org/officeDocument/2006/relationships/hyperlink" Target="http://www.nevo.co.il/case/6135618" TargetMode="External"/><Relationship Id="rId50" Type="http://schemas.openxmlformats.org/officeDocument/2006/relationships/hyperlink" Target="http://www.nevo.co.il/case/5768471" TargetMode="External"/><Relationship Id="rId51" Type="http://schemas.openxmlformats.org/officeDocument/2006/relationships/hyperlink" Target="http://www.nevo.co.il/case/5979891" TargetMode="External"/><Relationship Id="rId52" Type="http://schemas.openxmlformats.org/officeDocument/2006/relationships/hyperlink" Target="http://www.nevo.co.il/case/6091961" TargetMode="External"/><Relationship Id="rId53" Type="http://schemas.openxmlformats.org/officeDocument/2006/relationships/hyperlink" Target="http://www.nevo.co.il/law/70301/345.a.1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5610517" TargetMode="External"/><Relationship Id="rId56" Type="http://schemas.openxmlformats.org/officeDocument/2006/relationships/hyperlink" Target="http://www.nevo.co.il/case/6244290" TargetMode="External"/><Relationship Id="rId57" Type="http://schemas.openxmlformats.org/officeDocument/2006/relationships/hyperlink" Target="http://www.nevo.co.il/case/5675714" TargetMode="External"/><Relationship Id="rId58" Type="http://schemas.openxmlformats.org/officeDocument/2006/relationships/hyperlink" Target="http://www.nevo.co.il/case/5709733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case/6243324" TargetMode="External"/><Relationship Id="rId61" Type="http://schemas.openxmlformats.org/officeDocument/2006/relationships/hyperlink" Target="http://www.nevo.co.il/case/6243324" TargetMode="External"/><Relationship Id="rId62" Type="http://schemas.openxmlformats.org/officeDocument/2006/relationships/hyperlink" Target="http://www.nevo.co.il/case/6244211" TargetMode="External"/><Relationship Id="rId63" Type="http://schemas.openxmlformats.org/officeDocument/2006/relationships/hyperlink" Target="http://www.nevo.co.il/case/6247692" TargetMode="External"/><Relationship Id="rId64" Type="http://schemas.openxmlformats.org/officeDocument/2006/relationships/hyperlink" Target="http://www.nevo.co.il/case/6243324" TargetMode="External"/><Relationship Id="rId65" Type="http://schemas.openxmlformats.org/officeDocument/2006/relationships/hyperlink" Target="http://www.nevo.co.il/safrut/book/35249" TargetMode="External"/><Relationship Id="rId66" Type="http://schemas.openxmlformats.org/officeDocument/2006/relationships/hyperlink" Target="http://www.nevo.co.il/law/70301" TargetMode="External"/><Relationship Id="rId67" Type="http://schemas.openxmlformats.org/officeDocument/2006/relationships/hyperlink" Target="http://www.nevo.co.il/case/6244024" TargetMode="External"/><Relationship Id="rId68" Type="http://schemas.openxmlformats.org/officeDocument/2006/relationships/hyperlink" Target="http://www.nevo.co.il/case/6244024" TargetMode="External"/><Relationship Id="rId69" Type="http://schemas.openxmlformats.org/officeDocument/2006/relationships/hyperlink" Target="http://www.nevo.co.il/case/5678391" TargetMode="External"/><Relationship Id="rId70" Type="http://schemas.openxmlformats.org/officeDocument/2006/relationships/hyperlink" Target="http://www.nevo.co.il/case/21478802" TargetMode="External"/><Relationship Id="rId71" Type="http://schemas.openxmlformats.org/officeDocument/2006/relationships/hyperlink" Target="http://www.nevo.co.il/case/16900372" TargetMode="External"/><Relationship Id="rId72" Type="http://schemas.openxmlformats.org/officeDocument/2006/relationships/hyperlink" Target="http://www.nevo.co.il/case/6236734" TargetMode="External"/><Relationship Id="rId73" Type="http://schemas.openxmlformats.org/officeDocument/2006/relationships/hyperlink" Target="http://www.nevo.co.il/case/21473005" TargetMode="External"/><Relationship Id="rId74" Type="http://schemas.openxmlformats.org/officeDocument/2006/relationships/hyperlink" Target="http://www.nevo.co.il/law/70301/345.a.4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://www.nevo.co.il/case/6244643" TargetMode="External"/><Relationship Id="rId77" Type="http://schemas.openxmlformats.org/officeDocument/2006/relationships/hyperlink" Target="http://www.nevo.co.il/case/17928503" TargetMode="External"/><Relationship Id="rId78" Type="http://schemas.openxmlformats.org/officeDocument/2006/relationships/hyperlink" Target="http://www.nevo.co.il/case/5957709" TargetMode="External"/><Relationship Id="rId79" Type="http://schemas.openxmlformats.org/officeDocument/2006/relationships/hyperlink" Target="http://www.nevo.co.il/case/6244024" TargetMode="External"/><Relationship Id="rId80" Type="http://schemas.openxmlformats.org/officeDocument/2006/relationships/hyperlink" Target="http://www.nevo.co.il/case/10442754" TargetMode="External"/><Relationship Id="rId81" Type="http://schemas.openxmlformats.org/officeDocument/2006/relationships/hyperlink" Target="http://www.nevo.co.il/case/6731208" TargetMode="External"/><Relationship Id="rId82" Type="http://schemas.openxmlformats.org/officeDocument/2006/relationships/hyperlink" Target="http://www.nevo.co.il/case/5755866" TargetMode="External"/><Relationship Id="rId83" Type="http://schemas.openxmlformats.org/officeDocument/2006/relationships/hyperlink" Target="http://www.nevo.co.il/case/5875466" TargetMode="External"/><Relationship Id="rId84" Type="http://schemas.openxmlformats.org/officeDocument/2006/relationships/hyperlink" Target="http://www.nevo.co.il/case/6247428" TargetMode="External"/><Relationship Id="rId85" Type="http://schemas.openxmlformats.org/officeDocument/2006/relationships/hyperlink" Target="http://www.nevo.co.il/case/6244024" TargetMode="External"/><Relationship Id="rId86" Type="http://schemas.openxmlformats.org/officeDocument/2006/relationships/hyperlink" Target="http://www.nevo.co.il/case/6241014" TargetMode="External"/><Relationship Id="rId87" Type="http://schemas.openxmlformats.org/officeDocument/2006/relationships/hyperlink" Target="http://www.nevo.co.il/case/6226929" TargetMode="External"/><Relationship Id="rId88" Type="http://schemas.openxmlformats.org/officeDocument/2006/relationships/hyperlink" Target="http://www.nevo.co.il/case/6109540" TargetMode="External"/><Relationship Id="rId89" Type="http://schemas.openxmlformats.org/officeDocument/2006/relationships/hyperlink" Target="http://www.nevo.co.il/case/6239118" TargetMode="External"/><Relationship Id="rId90" Type="http://schemas.openxmlformats.org/officeDocument/2006/relationships/hyperlink" Target="http://www.nevo.co.il/case/20937932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case/24263089" TargetMode="External"/><Relationship Id="rId93" Type="http://schemas.openxmlformats.org/officeDocument/2006/relationships/hyperlink" Target="http://www.nevo.co.il/law/70301/355.a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law/70301/345.a.1" TargetMode="External"/><Relationship Id="rId96" Type="http://schemas.openxmlformats.org/officeDocument/2006/relationships/hyperlink" Target="http://www.nevo.co.il/law/70301/347.b" TargetMode="External"/><Relationship Id="rId97" Type="http://schemas.openxmlformats.org/officeDocument/2006/relationships/hyperlink" Target="https://supreme.court.gov.il/" TargetMode="External"/><Relationship Id="rId98" Type="http://schemas.openxmlformats.org/officeDocument/2006/relationships/hyperlink" Target="http://www.nevo.co.il/advertisements/nevo-100.doc" TargetMode="External"/><Relationship Id="rId99" Type="http://schemas.openxmlformats.org/officeDocument/2006/relationships/header" Target="header1.xml"/><Relationship Id="rId100" Type="http://schemas.openxmlformats.org/officeDocument/2006/relationships/footer" Target="footer1.xml"/><Relationship Id="rId101" Type="http://schemas.openxmlformats.org/officeDocument/2006/relationships/numbering" Target="numbering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2022-10-31T12:28:00Z</dcterms:created>
  <dc:creator>h4</dc:creator>
  <dc:description/>
  <cp:keywords/>
  <dc:language>en-IL</dc:language>
  <cp:lastModifiedBy>orly</cp:lastModifiedBy>
  <cp:lastPrinted>2022-10-30T11:00:00Z</cp:lastPrinted>
  <dcterms:modified xsi:type="dcterms:W3CDTF">2022-10-31T12:28:00Z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אלכסנדר לוז'קין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35249</vt:lpwstr>
  </property>
  <property fmtid="{D5CDD505-2E9C-101B-9397-08002B2CF9AE}" pid="9" name="CASESLISTTMP1">
    <vt:lpwstr>24278731:2;26396573;26986954;26830322;26538274;26117879;6143693;5747965;5922787;26314372;27245032:3;25014832;24323669;13055235;17931845;17939869;6103934:3;17914229;5613988;5835340;5811601;5718544;6243138;6135618;5768471;5979891;6091961;5610517;6244290</vt:lpwstr>
  </property>
  <property fmtid="{D5CDD505-2E9C-101B-9397-08002B2CF9AE}" pid="10" name="CASESLISTTMP2">
    <vt:lpwstr>5675714;5709733;6243324:3;6244211;6247692;6244024:4;5678391;21478802;16900372;6236734;21473005;6244643;17928503;5957709;10442754;6731208;5755866;5875466;6247428;6241014;6226929;6109540;6239118;20937932;24263089</vt:lpwstr>
  </property>
  <property fmtid="{D5CDD505-2E9C-101B-9397-08002B2CF9AE}" pid="11" name="CITY">
    <vt:lpwstr/>
  </property>
  <property fmtid="{D5CDD505-2E9C-101B-9397-08002B2CF9AE}" pid="12" name="DATE">
    <vt:lpwstr>20221030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אלרון;א' שטיין;ח' כבוב</vt:lpwstr>
  </property>
  <property fmtid="{D5CDD505-2E9C-101B-9397-08002B2CF9AE}" pid="16" name="LAWLISTTMP1">
    <vt:lpwstr>70301/345.a.1:4;347.b:2;245.b;345.a.4;355.a</vt:lpwstr>
  </property>
  <property fmtid="{D5CDD505-2E9C-101B-9397-08002B2CF9AE}" pid="17" name="LAWLISTTMP2">
    <vt:lpwstr>98569/054a.b:2</vt:lpwstr>
  </property>
  <property fmtid="{D5CDD505-2E9C-101B-9397-08002B2CF9AE}" pid="18" name="LAWYER">
    <vt:lpwstr>נעימה חנאווי כראם;עלי אבו לבן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פאני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דיון פלילי</vt:lpwstr>
  </property>
  <property fmtid="{D5CDD505-2E9C-101B-9397-08002B2CF9AE}" pid="32" name="NOSE13">
    <vt:lpwstr>דיון פלילי</vt:lpwstr>
  </property>
  <property fmtid="{D5CDD505-2E9C-101B-9397-08002B2CF9AE}" pid="33" name="NOSE14">
    <vt:lpwstr>ראיות</vt:lpwstr>
  </property>
  <property fmtid="{D5CDD505-2E9C-101B-9397-08002B2CF9AE}" pid="34" name="NOSE15">
    <vt:lpwstr>ראיות</vt:lpwstr>
  </property>
  <property fmtid="{D5CDD505-2E9C-101B-9397-08002B2CF9AE}" pid="35" name="NOSE16">
    <vt:lpwstr>ראיות</vt:lpwstr>
  </property>
  <property fmtid="{D5CDD505-2E9C-101B-9397-08002B2CF9AE}" pid="36" name="NOSE17">
    <vt:lpwstr>עונשין</vt:lpwstr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77;18;18;89;89;89;77</vt:lpwstr>
  </property>
  <property fmtid="{D5CDD505-2E9C-101B-9397-08002B2CF9AE}" pid="40" name="NOSE21">
    <vt:lpwstr>עבירות</vt:lpwstr>
  </property>
  <property fmtid="{D5CDD505-2E9C-101B-9397-08002B2CF9AE}" pid="41" name="NOSE210">
    <vt:lpwstr/>
  </property>
  <property fmtid="{D5CDD505-2E9C-101B-9397-08002B2CF9AE}" pid="42" name="NOSE22">
    <vt:lpwstr>ערעור</vt:lpwstr>
  </property>
  <property fmtid="{D5CDD505-2E9C-101B-9397-08002B2CF9AE}" pid="43" name="NOSE23">
    <vt:lpwstr>ערעור</vt:lpwstr>
  </property>
  <property fmtid="{D5CDD505-2E9C-101B-9397-08002B2CF9AE}" pid="44" name="NOSE24">
    <vt:lpwstr>מהימנות</vt:lpwstr>
  </property>
  <property fmtid="{D5CDD505-2E9C-101B-9397-08002B2CF9AE}" pid="45" name="NOSE25">
    <vt:lpwstr>סיוע</vt:lpwstr>
  </property>
  <property fmtid="{D5CDD505-2E9C-101B-9397-08002B2CF9AE}" pid="46" name="NOSE26">
    <vt:lpwstr>שקרי נאשם</vt:lpwstr>
  </property>
  <property fmtid="{D5CDD505-2E9C-101B-9397-08002B2CF9AE}" pid="47" name="NOSE27">
    <vt:lpwstr>ענישה</vt:lpwstr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1443;504;504;1635;1651;1667;1446</vt:lpwstr>
  </property>
  <property fmtid="{D5CDD505-2E9C-101B-9397-08002B2CF9AE}" pid="51" name="NOSE31">
    <vt:lpwstr>אינוס</vt:lpwstr>
  </property>
  <property fmtid="{D5CDD505-2E9C-101B-9397-08002B2CF9AE}" pid="52" name="NOSE310">
    <vt:lpwstr/>
  </property>
  <property fmtid="{D5CDD505-2E9C-101B-9397-08002B2CF9AE}" pid="53" name="NOSE32">
    <vt:lpwstr>אי-התערבות במידת העונש</vt:lpwstr>
  </property>
  <property fmtid="{D5CDD505-2E9C-101B-9397-08002B2CF9AE}" pid="54" name="NOSE33">
    <vt:lpwstr>אי-התערבות בממצאים עובדתיים</vt:lpwstr>
  </property>
  <property fmtid="{D5CDD505-2E9C-101B-9397-08002B2CF9AE}" pid="55" name="NOSE34">
    <vt:lpwstr>התערבות ערכאת ערעור</vt:lpwstr>
  </property>
  <property fmtid="{D5CDD505-2E9C-101B-9397-08002B2CF9AE}" pid="56" name="NOSE35">
    <vt:lpwstr>עדות יחידה</vt:lpwstr>
  </property>
  <property fmtid="{D5CDD505-2E9C-101B-9397-08002B2CF9AE}" pid="57" name="NOSE36">
    <vt:lpwstr>כסיוע</vt:lpwstr>
  </property>
  <property fmtid="{D5CDD505-2E9C-101B-9397-08002B2CF9AE}" pid="58" name="NOSE37">
    <vt:lpwstr>מדיניות ענישה: עבירות מין</vt:lpwstr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8763;17039;3849;10199;10362;10541;8988</vt:lpwstr>
  </property>
  <property fmtid="{D5CDD505-2E9C-101B-9397-08002B2CF9AE}" pid="62" name="PADIDATE">
    <vt:lpwstr>20221031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2092</vt:lpwstr>
  </property>
  <property fmtid="{D5CDD505-2E9C-101B-9397-08002B2CF9AE}" pid="68" name="PROCYEAR">
    <vt:lpwstr>21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410120221030</vt:lpwstr>
  </property>
  <property fmtid="{D5CDD505-2E9C-101B-9397-08002B2CF9AE}" pid="72" name="TYPE_N_DATE">
    <vt:lpwstr>41020221030</vt:lpwstr>
  </property>
  <property fmtid="{D5CDD505-2E9C-101B-9397-08002B2CF9AE}" pid="73" name="VOLUME">
    <vt:lpwstr/>
  </property>
  <property fmtid="{D5CDD505-2E9C-101B-9397-08002B2CF9AE}" pid="74" name="WORDNUMPAGES">
    <vt:lpwstr>19</vt:lpwstr>
  </property>
</Properties>
</file>