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0"/>
        <w:gridCol w:w="5243"/>
      </w:tblGrid>
      <w:tr>
        <w:trPr/>
        <w:tc>
          <w:tcPr>
            <w:tcW w:w="312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4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2" w:type="dxa"/>
        <w:jc w:val="start"/>
        <w:tblInd w:w="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23"/>
        <w:gridCol w:w="5239"/>
      </w:tblGrid>
      <w:tr>
        <w:trPr>
          <w:trHeight w:val="287" w:hRule="atLeast"/>
        </w:trPr>
        <w:tc>
          <w:tcPr>
            <w:tcW w:w="3123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23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52083-03-17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10.10.2018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קאפח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2" w:type="dxa"/>
        <w:jc w:val="start"/>
        <w:tblInd w:w="-12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90"/>
        <w:gridCol w:w="3227"/>
        <w:gridCol w:w="1845"/>
      </w:tblGrid>
      <w:tr>
        <w:trPr/>
        <w:tc>
          <w:tcPr>
            <w:tcW w:w="329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22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בחשון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6.11.2019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184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הלוי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  <w:r>
              <w:rPr>
                <w:rtl w:val="true"/>
              </w:rPr>
              <w:t>;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בנישתי</w:t>
            </w:r>
          </w:p>
        </w:tc>
      </w:tr>
      <w:tr>
        <w:trPr/>
        <w:tc>
          <w:tcPr>
            <w:tcW w:w="323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4" w:name="FirstLawyer"/>
            <w:bookmarkStart w:id="5" w:name="FirstLawyer"/>
            <w:bookmarkEnd w:id="5"/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רוזנברג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BodyRuller1"/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ניל הנדל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מיכאל כהן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ראיה נסיבתית בעניין מעמדן של ראיות נסיבתיות בפלילים – מבט אמפירי על הרשעות שגויות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ספר יורם דנציגר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לימור זר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גוטמן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עידו באום עורכים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2019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00"/>
            <w:sz w:val="24"/>
            <w:szCs w:val="24"/>
            <w:u w:val="none"/>
          </w:rPr>
          <w:t>361</w:t>
        </w:r>
      </w:hyperlink>
    </w:p>
    <w:p>
      <w:pPr>
        <w:pStyle w:val="BodyRuller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"/>
      <w:bookmarkStart w:id="7" w:name="LawTable"/>
      <w:bookmarkEnd w:id="7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144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380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402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499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0" w:name="ABSTRACT_START"/>
      <w:bookmarkEnd w:id="10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האשמה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מישורים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המובילים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התבססה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בפלילים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שתחילתו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מושכלת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הטקטי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המפלילה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אוחז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בהעדיפו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משלדידו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מצמצם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הושארה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זוהתה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מכשירי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ששוייכו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איכוניהם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דפוסי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המשתתפים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המעורבים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סגירתה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ומצוידים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צירופם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צירוף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הטקטי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באשמתו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תרחיש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דחוקה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תיאורטית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מופרכת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החלופיים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התרחישים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המרשיעה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שנוהלו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שמעורבותו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איכוניהם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דגימת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חלופית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FrankRuehl"/>
          <w:sz w:val="24"/>
          <w:szCs w:val="26"/>
          <w:rtl w:val="true"/>
        </w:rPr>
        <w:t>/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להאזנה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למתרחש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הפנימי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הנסיבתיות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שיחה</w:t>
      </w:r>
      <w:r>
        <w:rPr>
          <w:rFonts w:cs="FrankRuehl"/>
          <w:sz w:val="24"/>
          <w:szCs w:val="26"/>
          <w:rtl w:val="true"/>
        </w:rPr>
        <w:t>/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לטלפון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במהלכו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ההכרעות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לשיטתו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ההליכים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מונחות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המומחה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התקשורת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המעצרים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1" w:name="ABSTRACT_END"/>
      <w:bookmarkStart w:id="12" w:name="ABSTRACT_END"/>
      <w:bookmarkEnd w:id="1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BodyRuller1"/>
              <w:ind w:end="0"/>
              <w:jc w:val="center"/>
              <w:rPr>
                <w:b/>
                <w:bCs/>
                <w:u w:val="single"/>
              </w:rPr>
            </w:pPr>
            <w:bookmarkStart w:id="13" w:name="PsakDin"/>
            <w:bookmarkStart w:id="14" w:name="Links_Kitvei_End"/>
            <w:bookmarkEnd w:id="14"/>
            <w:r>
              <w:rPr>
                <w:b/>
                <w:b/>
                <w:bCs/>
                <w:u w:val="single"/>
                <w:rtl w:val="true"/>
              </w:rPr>
              <w:t>פסק</w:t>
            </w:r>
            <w:r>
              <w:rPr>
                <w:b/>
                <w:bCs/>
                <w:u w:val="single"/>
                <w:rtl w:val="true"/>
              </w:rPr>
              <w:t>-</w:t>
            </w:r>
            <w:r>
              <w:rPr>
                <w:b/>
                <w:b/>
                <w:bCs/>
                <w:u w:val="single"/>
                <w:rtl w:val="true"/>
              </w:rPr>
              <w:t>דין</w:t>
            </w:r>
            <w:bookmarkEnd w:id="13"/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ערעור על הכרעת דינו של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בית המשפט המחוזי בתל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אביב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כבוד השופט </w:t>
      </w:r>
      <w:r>
        <w:rPr>
          <w:rFonts w:ascii="Miriam" w:hAnsi="Miriam" w:cs="Miriam"/>
          <w:spacing w:val="10"/>
          <w:sz w:val="24"/>
          <w:sz w:val="24"/>
          <w:rtl w:val="true"/>
        </w:rPr>
        <w:t>צ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קאפח</w:t>
      </w:r>
      <w:r>
        <w:rPr>
          <w:rFonts w:cs="Miriam" w:ascii="Miriam" w:hAnsi="Miriam"/>
          <w:spacing w:val="10"/>
          <w:sz w:val="24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</w:t>
      </w:r>
      <w:hyperlink r:id="rId1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52083-03-17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מיום </w:t>
      </w:r>
      <w:r>
        <w:rPr>
          <w:rFonts w:cs="FrankRuehl" w:ascii="FrankRuehl" w:hAnsi="FrankRuehl"/>
          <w:spacing w:val="10"/>
          <w:sz w:val="28"/>
          <w:szCs w:val="28"/>
        </w:rPr>
        <w:t>10.10.2018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בגדרה הורשע המערער בביצוע בצוותא של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ניסיון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שוד בנסיבות מחמירות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15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402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17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1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1977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החוק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החזקה ונשיאת נשק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19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רישא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רישא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21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תקיפה הגורמת חבלה של ממש בנסיבות מחמירות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22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382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23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380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24"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29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ועבירה של קשירת קשר לביצוע פשע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25"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</w:rPr>
          <w:t>499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pacing w:val="10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10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בשל כך נדון המערער לעונש של שש שנות מאסר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בניכוי ימי מעצרו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מאסרים מותנים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הערעור מופנה כלפי ההרשעה בלבד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 xml:space="preserve">עיקרי </w:t>
      </w:r>
      <w:r>
        <w:rPr>
          <w:rFonts w:ascii="Miriam" w:hAnsi="Miriam" w:cs="Miriam"/>
          <w:spacing w:val="10"/>
          <w:sz w:val="24"/>
          <w:sz w:val="24"/>
          <w:rtl w:val="true"/>
        </w:rPr>
        <w:t>כתב האישום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 המתוקן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Miriam" w:ascii="Miriam" w:hAnsi="Miriam"/>
          <w:spacing w:val="10"/>
          <w:sz w:val="24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פי עובדות כתב האישום המתוקן עובר ליום </w:t>
      </w:r>
      <w:r>
        <w:rPr>
          <w:rFonts w:cs="FrankRuehl" w:ascii="FrankRuehl" w:hAnsi="FrankRuehl"/>
          <w:spacing w:val="10"/>
          <w:sz w:val="28"/>
          <w:szCs w:val="28"/>
        </w:rPr>
        <w:t>17.12.2016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קשרו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נאשם נוסף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 xml:space="preserve">הנאשם </w:t>
      </w:r>
      <w:r>
        <w:rPr>
          <w:rFonts w:cs="Miriam" w:ascii="Miriam" w:hAnsi="Miriam"/>
          <w:spacing w:val="10"/>
          <w:sz w:val="24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ואחרים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שזהותם אינה ידועה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קשר לביצוע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שוד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לשם כך קיבל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pacing w:val="10"/>
          <w:sz w:val="28"/>
          <w:szCs w:val="28"/>
        </w:rPr>
        <w:t>19.12.2016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pacing w:val="10"/>
          <w:sz w:val="28"/>
          <w:szCs w:val="28"/>
        </w:rPr>
        <w:t>18:00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 בסמוך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מאדם שזהותו אינה ידועה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רכב שעד לאותה עת היה מצוי ברשות בעליו ביבנה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וזאת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בידיעתו ובהסכמתו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pacing w:val="10"/>
          <w:sz w:val="28"/>
          <w:szCs w:val="28"/>
        </w:rPr>
        <w:t>18:52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הגיעו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ושלושה אחרים באמצעות הרכב סמוך לחנות תכשיטים בכיכר המדינה בתל אביב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כשהם מצוידים בכפפות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בכובעי גרב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באקדח טעון בכדורים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בפטיש ובשק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והכל – בידיעתו ובהסכמתו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באותה העת הגיע המערער לקרבת החנות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בידיעתו ובהסכמתו של 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ושניים מהאחרים יצאו מן הרכב והלכו לעבר החנות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כשהם רעולי פנים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כפפות על ידיהם והם מצוידים באקדח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בפטיש ובשק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כשהגיעו  לפתח החנות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הכה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בדלת הכניסה בפטיש והדלת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שהיתה סגורה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נשברה ונפתחה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השלושה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נכנסו לחנות תוך שצעקו לעבר בעלי החנות ומוכרת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המתלוננים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דרשו שיביאו תכשיטים ויאמרו היכן הכספת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נופפו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כלפיהם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באקדח ובפטיש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השלושה הכניסו תכשיטים בשווי רב לשק והנאשם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הפנה אקדח לעבר בעל החנות ואיים עליו לפתוח את הכספת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בתום מאבק אלים בין השלושה לבין בעל החנות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נמלטו השלושה מן החנות ללא התכשיטים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נכנסו לתוך הרכב שהמתין להם ונמלטו מהמקום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מכן נטשו את הרכב ברחוב סמוך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כתוצאה מכך נגרמו לבעל החנות חבלות של ממש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המתואר לעיל נעשה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פי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הנטען ב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כתב האישום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בהסכמתו ובידיעתו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 xml:space="preserve">ההליך בבית המשפט המחוזי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שלושה חודשים לאחר ניסיון השוד נעצרו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המערער והנאשם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השניים הועמדו לדין 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כפרו במיוחס להם והרשעתם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לאחר שנשמעה פרשת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התבססה על ראיות נסיבתיות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מפאת חשיבות הקביעות העובדתיות שעליהן מבוססת הרשעת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יובאו להלן בפירוט ובהרחבה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תחילה נדרש בית המשפט לעובדות שלא היו שנויות במחלוקת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וביניהן אלו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במוקד הדיון עמדו שני טלפונים ניידים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שאינם רשומים על שמם של המערער והנאשם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 פי הנטען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מכשיר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שמספרו מסתיים בספרות </w:t>
      </w:r>
      <w:r>
        <w:rPr>
          <w:rFonts w:cs="FrankRuehl" w:ascii="FrankRuehl" w:hAnsi="FrankRuehl"/>
          <w:spacing w:val="10"/>
          <w:sz w:val="28"/>
          <w:szCs w:val="28"/>
        </w:rPr>
        <w:t>052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שייך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מכשיר שני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שמספרו מסתיים בספרות </w:t>
      </w:r>
      <w:r>
        <w:rPr>
          <w:rFonts w:cs="FrankRuehl" w:ascii="FrankRuehl" w:hAnsi="FrankRuehl"/>
          <w:spacing w:val="10"/>
          <w:sz w:val="28"/>
          <w:szCs w:val="28"/>
        </w:rPr>
        <w:t>025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נתפס בביתו של המערער ולפי הנטען הוא עשה בו שימוש בשיחותיו עם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לשם ביצוע העבירה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בהתאמה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טלפון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1</w:t>
      </w:r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rtl w:val="true"/>
        </w:rPr>
        <w:t>טלפון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ביום האירוע בסמוך לשעה </w:t>
      </w:r>
      <w:r>
        <w:rPr>
          <w:rFonts w:cs="FrankRuehl" w:ascii="FrankRuehl" w:hAnsi="FrankRuehl"/>
          <w:spacing w:val="10"/>
          <w:sz w:val="28"/>
          <w:szCs w:val="28"/>
        </w:rPr>
        <w:t>17:04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עשה אלמוני את דרכו מלוד ליבנה כשהוא נושא עימו את 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במהלך הנסיעה שוחח עם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שיחה שאורכה </w:t>
      </w:r>
      <w:r>
        <w:rPr>
          <w:rFonts w:cs="FrankRuehl" w:ascii="FrankRuehl" w:hAnsi="FrankRuehl"/>
          <w:spacing w:val="10"/>
          <w:sz w:val="28"/>
          <w:szCs w:val="28"/>
        </w:rPr>
        <w:t>39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בהגיעו ליבנה נקלט באיזור הקיוסק שבסמוך אליו נגנב הרכב ששימש את השודדים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בשעה </w:t>
      </w:r>
      <w:r>
        <w:rPr>
          <w:rFonts w:cs="FrankRuehl" w:ascii="FrankRuehl" w:hAnsi="FrankRuehl"/>
          <w:spacing w:val="10"/>
          <w:sz w:val="28"/>
          <w:szCs w:val="28"/>
        </w:rPr>
        <w:t>18:00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נסע האלמוני מיבנה לתל אביב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כשהוא משוחח עם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שיחה שאורכה </w:t>
      </w:r>
      <w:r>
        <w:rPr>
          <w:rFonts w:cs="FrankRuehl" w:ascii="FrankRuehl" w:hAnsi="FrankRuehl"/>
          <w:spacing w:val="10"/>
          <w:sz w:val="28"/>
          <w:szCs w:val="28"/>
        </w:rPr>
        <w:t>31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בהגיעו לתל אביב בשעה </w:t>
      </w:r>
      <w:r>
        <w:rPr>
          <w:rFonts w:cs="FrankRuehl" w:ascii="FrankRuehl" w:hAnsi="FrankRuehl"/>
          <w:spacing w:val="10"/>
          <w:sz w:val="28"/>
          <w:szCs w:val="28"/>
        </w:rPr>
        <w:t>18:42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שוחח עם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שיחה שאורכה </w:t>
      </w:r>
      <w:r>
        <w:rPr>
          <w:rFonts w:cs="FrankRuehl" w:ascii="FrankRuehl" w:hAnsi="FrankRuehl"/>
          <w:spacing w:val="10"/>
          <w:sz w:val="28"/>
          <w:szCs w:val="28"/>
        </w:rPr>
        <w:t>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דקות 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49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שכללה גם את זמן ביצוע ניסיון השוד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באותה עת שהה האלמוני באתר אנטנה סלולרית השולטת על החנות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במקביל באותו יום נשא פלוני את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יחד עם שני טלפונים ניידים אחרים השייכים למערער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ביום אירוע ניסיון השוד שוחח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רק עם 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מהשעה </w:t>
      </w:r>
      <w:r>
        <w:rPr>
          <w:rFonts w:cs="FrankRuehl" w:ascii="FrankRuehl" w:hAnsi="FrankRuehl"/>
          <w:spacing w:val="10"/>
          <w:sz w:val="28"/>
          <w:szCs w:val="28"/>
        </w:rPr>
        <w:t>14:52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pacing w:val="10"/>
          <w:sz w:val="28"/>
          <w:szCs w:val="28"/>
        </w:rPr>
        <w:t>19:00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 הטלפונים שהו באתר החולש על הקיוסק שבסמוך אליו נלקח הרכב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גם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עשה דרכו מיבנה לתל אביב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 הטלפונים נקלטו בשני אתרים החולשים על החנות במהלך השוד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בעל הרכב שנלקח ביבנה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 מכר ומודע של המערער והרכב נלקח לאחר שהלה נכנס לקיוסק למספר שניות בהותירו את הרכב מונע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השימוש במונח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בהקשר זה אינו משקף בהכרח מלל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ציין בית המשפט בהמשך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המערער אישר כי שני טלפונים סלולריים שנתפסו גם הם בביתו הינם בבעלותו ובשימושו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טלפון שמספרו מסתיים בספרות </w:t>
      </w:r>
      <w:r>
        <w:rPr>
          <w:rFonts w:cs="FrankRuehl" w:ascii="FrankRuehl" w:hAnsi="FrankRuehl"/>
          <w:spacing w:val="10"/>
          <w:sz w:val="28"/>
          <w:szCs w:val="28"/>
        </w:rPr>
        <w:t>876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וטלפון שמספרו מסתיים בספרות </w:t>
      </w:r>
      <w:r>
        <w:rPr>
          <w:rFonts w:cs="FrankRuehl" w:ascii="FrankRuehl" w:hAnsi="FrankRuehl"/>
          <w:spacing w:val="10"/>
          <w:sz w:val="28"/>
          <w:szCs w:val="28"/>
        </w:rPr>
        <w:t>734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trike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רקע זה נפנה בית המשפט לבחון את הראיות הנסיבתיות שהונחו בפניו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תחילה קבע בית המשפט כי נסיבות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גניבת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קבלת הרכב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כלשונו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מיקום הקושרים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הכוונה לנאשם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ולמערער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ג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'.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באותו מקום וההיכרות המוקדמת בין בעל הרכב לבין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מהווים נדבך חשוב במארג הראייתי ובהמשך בחן את הראיות ביחס לנאשם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 אחד בנפרד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trike/>
          <w:spacing w:val="10"/>
          <w:sz w:val="28"/>
          <w:szCs w:val="28"/>
        </w:rPr>
      </w:pPr>
      <w:r>
        <w:rPr>
          <w:rFonts w:cs="FrankRuehl" w:ascii="FrankRuehl" w:hAnsi="FrankRuehl"/>
          <w:strike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 xml:space="preserve">הרשעת הנאשם </w:t>
      </w:r>
      <w:r>
        <w:rPr>
          <w:rFonts w:cs="Miriam" w:ascii="Miriam" w:hAnsi="Miriam"/>
          <w:spacing w:val="10"/>
          <w:sz w:val="24"/>
        </w:rPr>
        <w:t>1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ההרשעה התבססה על שורת הראיות הנסיבתיות שלהלן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(-)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דגימת דנ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 שנמצאה על גבי 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נותר בחנות ואשר תאמ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דגימה שנלקחה מ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לאחר מעצרו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על סמך ממצא זה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שהנאשם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לא נתן לו הסבר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קבע בית המשפט כי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היה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אחד מהשלושה שנכנסו 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חנות במהלך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ניסיון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השוד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(-) 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קב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 בית המשפט כי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טלפון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היה בשימושו הבלעדי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 של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וכי ממצא זה משתלב עם ממצאי בדיקת הדנ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קביעה זו התבססה על הודעת אבי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כי זהו המספר של בנו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על קיומן של שיחות מטלפון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למספרי טלפון של בני משפחתו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על זהות נמעני השיחות בטלפון נוסף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שלגביו אין מחלוקת כי הוא שייך לנאשם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ועל שתיקת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ותגובתו למשמע דברי אביו 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אם הוא אומר הוא צודק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"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עמ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'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להכרעת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הקביעה כי כעניין של ידיעה שיפוטית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השימוש בטלפון על ידי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במהלך ניסיון השוד נעשה באמצעות אוזניות אלחוטיות מתחת לכיסוי הראש וכן כי בדרך זו הוחזק 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קו פתוח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שיאפשר האזנה או מתן הוראות במהלך השוד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מחקרי תקשורת וחוות דעתו של מומחה המשיבה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נקבע כי אין מחלוקת בין המומחים מטעם הצדדים כי איכוני השיחות מלמדים היכן היה המנוי בתחילת השיחה ובסופה אך לא במהלכה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כי מדברי שני המומחים עולה כי קיימת היתכנות כי טלפון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היה בחנות וכי לאור ממצא בדיקת הדנ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ניתן לקבוע זאת בוודאות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עוד נקבע כי עיתוי סיום השיחה הארוכה בין שני הטלפונים קשור בבירור לניסיון השוד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שנמשך כשתי דקות והחל בשעה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18:54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כאשר השיחה החלה לפני כן בשעה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18:41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והסתיימה לאחריו בשעה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18:58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בית המשפט גם קבע כי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היה ביבנה ובתל אביב ביום האירוע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ודחה את גרסתו כי מעולם לא היה ביבנה וכי לא היה בתל אביב לפני חודש פברואר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2017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כגרסה שקרית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על כל המשתמע מן הבחינה הראייתית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תיאור השודד הדומיננטי מבין השלושה שנכנסו לחנות ומבטאו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על ידי בעל החנות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נקבע שהתיאור אינו עומד בניגוד לחזותו החיצונית של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ואף קרוב אליה מאוד ומהווה תוספת למכלול הראיות אף שמשקלו אינו גבוה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ציפת סדין וספוגי המזרן שנתפסו בחיפוש כדין בדירת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תואמים לבד הציפה ולספוג שנמצאו במקום ניסיון השוד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בכך ראה בית המשפט נדבך נוסף למסקנה כי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הוא שביצע את ניסיון השוד יחד עם האחרים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תוך שהדגיש כי גם בלעדיהם נסמכת ההרשעה על אדנים מוצקים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דחיית טענות למחדלי חקירה תוך שנקבע כי אין בפגמים שנתגלו כדי לפגום בהגנת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 xml:space="preserve">במאמר מוסגר יוער כי הנאשם </w:t>
      </w:r>
      <w:r>
        <w:rPr>
          <w:rFonts w:cs="FrankRuehl" w:ascii="FrankRuehl" w:hAnsi="FrankRuehl"/>
          <w:spacing w:val="10"/>
          <w:sz w:val="28"/>
          <w:szCs w:val="28"/>
          <w:lang w:val="en-GB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GB"/>
        </w:rPr>
        <w:t>לא ערער על הרשעתו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GB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  <w:lang w:val="en-IL"/>
        </w:rPr>
      </w:pPr>
      <w:r>
        <w:rPr>
          <w:rFonts w:ascii="Miriam" w:hAnsi="Miriam" w:cs="Miriam"/>
          <w:spacing w:val="10"/>
          <w:sz w:val="24"/>
          <w:sz w:val="24"/>
          <w:rtl w:val="true"/>
          <w:lang w:val="en-IL"/>
        </w:rPr>
        <w:t>הרשעת המערער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  <w:lang w:val="en-GB"/>
        </w:rPr>
      </w:pPr>
      <w:r>
        <w:rPr>
          <w:rFonts w:cs="Miriam" w:ascii="Miriam" w:hAnsi="Miriam"/>
          <w:spacing w:val="10"/>
          <w:sz w:val="24"/>
          <w:rtl w:val="true"/>
          <w:lang w:val="en-GB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lang w:val="en-IL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כאמור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גם הרשעת המערער התבססה על ראיות נסיבתיות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ואלו הן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שנמצא בביתו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לגביו נקבע כי הוא החוליה המקשרת בין המערער לבין הנאשם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הקביעה כי שותפו לקשר של הנאשם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נשא עימו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לצד טלפון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שני טלפונים סלולריים נוספים הרשומים על שם המערער 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876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וטלפון </w:t>
      </w:r>
      <w:r>
        <w:rPr>
          <w:rFonts w:cs="FrankRuehl" w:ascii="FrankRuehl" w:hAnsi="FrankRuehl"/>
          <w:spacing w:val="10"/>
          <w:sz w:val="28"/>
          <w:szCs w:val="28"/>
          <w:lang w:val="en-IL"/>
        </w:rPr>
        <w:t>734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).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>הקשר בין המערער לבין בעל הרכב ששימש בניסיון השוד</w:t>
      </w: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  <w:lang w:val="en-IL"/>
        </w:rPr>
        <w:t xml:space="preserve">בהקשר זה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נקבע כי המערער ניסה להרחיק עצמו מהיכרות משמעותית עם בעל הרכב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 שעולה כי ההיכרות ביניהם עמוקה יותר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בהתבסס על עדותו של בעל הרכב שהוגשה לאחר שהוכרז כעד עוין וממנה עולה כי ימים ספורים לפני האירוע שוחח עם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שנחלץ לעזרתו והוא אף ידע בעל פה את המספר של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כשנשאל בחקירתו אם יש למערער מספר נוסף לזה השמור ברשימת אנשי הקשר אצלו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IL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IL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פלטי השיחות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שבהתבסס עליהם קבע בית המשפט כי השימוש בשלושת מכשירי הטלפון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</w:rPr>
        <w:t>876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וטלפון </w:t>
      </w:r>
      <w:r>
        <w:rPr>
          <w:rFonts w:cs="FrankRuehl" w:ascii="FrankRuehl" w:hAnsi="FrankRuehl"/>
          <w:spacing w:val="10"/>
          <w:sz w:val="28"/>
          <w:szCs w:val="28"/>
        </w:rPr>
        <w:t>734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בוצע על ידי אותו אדם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בית המשפט גם ציין כי אין מחלוקת כי ביום האירוע נקלטו שלושת הטלפונים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</w:rPr>
        <w:t>876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וטלפון </w:t>
      </w:r>
      <w:r>
        <w:rPr>
          <w:rFonts w:cs="FrankRuehl" w:ascii="FrankRuehl" w:hAnsi="FrankRuehl"/>
          <w:spacing w:val="10"/>
          <w:sz w:val="28"/>
          <w:szCs w:val="28"/>
        </w:rPr>
        <w:t>734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באותם אתרים בשעות שונות לאורך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במספר ערים שונות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קבע בית המשפט כי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היה מצוי בשימושו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ניסיון המערער להרחיק עצמו מטלפון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וממידת היכרותו עם בעל הרכב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נקבע כי לשקריו בעניין זה יש משמעות ראייתית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סירוב המערער למסור לחוקרים את קוד הפתיחה של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 שמסר את קוד הפתיחה של שני המכשירים האחרים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הרשומים על שמו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דחיית טענת המערער כי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שימש את בית העסק שלו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מסעדה וקו חלוקה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הימנעות המערער מהעדת בעל בית הדפוס שבו הודפס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עלון של העסק שבו הופיע המספר של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נזקפה לחובתו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הימנעות המערער מזימונם לעדות של שליחי המסעדה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 מי מהם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כדי שיאשרו את גרסתו לפיה שליח עשה שימוש בשלושת המכשירים גם יחד חיזקה את ראיות התביעה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(-)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בחינת פרטי הקשר בין שני מכשירי הטלפון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תחילת הקשר ביומיים שלפני האירוע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ניסיונות חיוג של 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שתי שיחות של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שיחה נוספת בין 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ובין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כאשר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בלוד והמערער נמצא ברמלה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כשמיד אחר כך נקלט הנאשם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בתנועה מחוץ לביתו בבית דגן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ביום האירוע שוחח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עם טלפון </w:t>
      </w: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מהשעה </w:t>
      </w:r>
      <w:r>
        <w:rPr>
          <w:rFonts w:cs="FrankRuehl" w:ascii="FrankRuehl" w:hAnsi="FrankRuehl"/>
          <w:spacing w:val="10"/>
          <w:sz w:val="28"/>
          <w:szCs w:val="28"/>
        </w:rPr>
        <w:t>14:52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ועד </w:t>
      </w:r>
      <w:r>
        <w:rPr>
          <w:rFonts w:cs="FrankRuehl" w:ascii="FrankRuehl" w:hAnsi="FrankRuehl"/>
          <w:spacing w:val="10"/>
          <w:sz w:val="28"/>
          <w:szCs w:val="28"/>
        </w:rPr>
        <w:t>19:00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לפיכך תהה בית המשפט כיצד זה לא היו שיחות עם מספרים אחרים כשלטענת המערער טלפון 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שימש את שליחי המסעדה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לתקוף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מישורים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בבסיסה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אלחוטיות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ביסוסו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דוד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הּ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קרוב 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רביעית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ולחילופי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ונשענת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להיגיון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והאיזור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בהתייחסה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חסרת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ומתייחסת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במארג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שותף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ולתכנונו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cs="Miriam" w:ascii="Miriam" w:hAnsi="Miriam"/>
          <w:spacing w:val="10"/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צרופותיהן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ואיכוניהם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המשתמעת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בהחזקתו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הרוולנטי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33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תגובת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55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זוכר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הושמעו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צודק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73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לזיהוי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מונחות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יומיומי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בהסכמה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שמספריהם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הופיעו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שהוגשו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והשלישית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והארוכה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18:42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שהתמשכה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יודגש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איכוני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הטלפונים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קביעות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לאיכונים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עצמם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למחקרי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ולמסקנות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העולות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אוזניות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שאפשרו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שסרטוני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האבטחה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הוחזק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אלחוטית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מורידה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ואחרי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במחלוקת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יוחזקו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שמחזיקיהם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באוזניות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אלחוטיות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וההתבססות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17:04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נגנב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הקיוסק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התכשיטים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ההתאמה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וספוגי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המזרן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ביבנה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מחייבים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בשימושו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וביומיים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בבעלותו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ובשימושו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Miriam" w:hAnsi="Miriam" w:cs="Miriam"/>
          <w:spacing w:val="10"/>
          <w:sz w:val="24"/>
          <w:sz w:val="24"/>
          <w:rtl w:val="true"/>
        </w:rPr>
        <w:t>המכשירים הנוספים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מחקרי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פלטי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לנמענים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ולהימנעותו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לגרסאות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כשבתחילה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לשוטרים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שבצנעת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שהסכים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במעטפה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כשסירוב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להיפטר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הממושכת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למעצרו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שחלפו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שפורטו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מהווה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br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הצטרף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נדבך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בעייתיים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שברשימת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אנשי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ההיכרות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בשיוך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לעיתוי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ולמקום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נלקח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נזכיר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שבאמצעותו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התכשיטים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אקראי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שהיכרותו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וקיומן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בחקירותיו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קשורים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להערותיו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ולקביעותיו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איטי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לטעמי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מרובה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נגנב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ובכללן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היכרותם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כשהמפתח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בתוכו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ומצוידים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למזער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שנפרשה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סיבכה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ממבצעי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  <w:szCs w:val="28"/>
        </w:rPr>
      </w:pPr>
      <w:r>
        <w:rPr>
          <w:rFonts w:cs="Miriam" w:ascii="Miriam" w:hAnsi="Miriam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pacing w:val="10"/>
          <w:sz w:val="24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תרחישים חלופיים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וכשלעצמם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כנדרש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שקדמו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שהוצג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מהשליחים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לניווט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רלוונטית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השליחים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מזימונם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שצוין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שעבד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שרשימת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בהצפה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מאיתור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בדיווחי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החשבון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העסק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שאליבא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876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המחליש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הפרטיות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לשימושם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שליחי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ועיקר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מהעלאת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והפרוטוקולים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7556/15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קונקיוב 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11.4.2019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מכריעה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סופיות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ופוטנציאל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ההכרעה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להתירו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השתכנעתי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התוצאה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הודעותיו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שנחקר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כחשוד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בהודעות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מדבריו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באפליקציית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ניווט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לניווט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בפרוטוקולים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הנוגעת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שהתבצעו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שמספרו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מסתיים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תאמר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והשתמש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התקיימו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734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שמחזיק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גניבת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בחולון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trike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בביסוס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תאושר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הגשתן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  <w:strike/>
          <w:spacing w:val="10"/>
          <w:sz w:val="24"/>
          <w:szCs w:val="28"/>
        </w:rPr>
      </w:pPr>
      <w:r>
        <w:rPr>
          <w:rFonts w:cs="Miriam" w:ascii="Miriam" w:hAnsi="Miriam"/>
          <w:strike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Miriam" w:hAnsi="Miriam" w:cs="Miriam"/>
          <w:spacing w:val="10"/>
          <w:sz w:val="24"/>
          <w:sz w:val="24"/>
          <w:rtl w:val="true"/>
        </w:rPr>
        <w:t>הרשעה על סמך ראיות 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בפלילים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שתחילתו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נסיבתית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הכוללת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והאפשרות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מושכלת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וסופו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שבכוחו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המפלילה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6392/13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מדינת ישראל 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98-96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סולברג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cs="FrankRuehl" w:ascii="Century" w:hAnsi="Century"/>
          <w:spacing w:val="10"/>
          <w:sz w:val="22"/>
          <w:szCs w:val="28"/>
        </w:rPr>
        <w:t>21.1.2015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אוחז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משלדידו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מצמצם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8328/17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cs="FrankRuehl" w:ascii="Century" w:hAnsi="Century"/>
          <w:spacing w:val="10"/>
          <w:sz w:val="22"/>
          <w:szCs w:val="28"/>
        </w:rPr>
        <w:t>28.7.2019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ומיכאל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כהן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ראיה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נסיבתית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בעניין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מעמדן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ראיות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נסיבתיות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בפלילים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מבט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אמפירי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הרשעות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שגויות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דנציגר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גוטמן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עורכים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2"/>
          <w:szCs w:val="28"/>
        </w:rPr>
        <w:t>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סוגיה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  <w:u w:val="single"/>
        </w:rPr>
      </w:pPr>
      <w:r>
        <w:rPr>
          <w:rFonts w:cs="FrankRuehl" w:ascii="Century" w:hAnsi="Century"/>
          <w:spacing w:val="10"/>
          <w:sz w:val="22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זוהתה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מעורבות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מכשירי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ששוייכו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דפוסי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בתקופה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המשתתפים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ברכבו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מיבנה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כהרף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המעורבים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סגירתה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ומצוידים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ובשק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לאיסוף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תכנון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צירופם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מאפשר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צירוף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הטקטי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שיתקבל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ומאולץ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יתייחס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בנפרד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מיוזמתו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אפשריים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קריאף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99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סולברג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3510/16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אבו דקה 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17.7.2019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תרחיש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שהתגלה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שהוכחו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דחוקה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תיאורטית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מופרכת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לזכות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2697/14</w:t>
        </w:r>
      </w:hyperlink>
      <w:r>
        <w:rPr>
          <w:rFonts w:cs="Miriam" w:ascii="Miriam" w:hAnsi="Miriam"/>
          <w:spacing w:val="10"/>
          <w:sz w:val="24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חדאד נ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מדינת 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4"/>
          <w:sz w:val="24"/>
          <w:rtl w:val="true"/>
        </w:rPr>
        <w:t>ס</w:t>
      </w:r>
      <w:r>
        <w:rPr>
          <w:rFonts w:cs="Miriam" w:ascii="Miriam" w:hAnsi="Miriam"/>
          <w:spacing w:val="10"/>
          <w:sz w:val="24"/>
          <w:rtl w:val="true"/>
        </w:rPr>
        <w:t xml:space="preserve">' </w:t>
      </w:r>
      <w:r>
        <w:rPr>
          <w:rFonts w:ascii="Miriam" w:hAnsi="Miriam" w:cs="Miriam"/>
          <w:spacing w:val="10"/>
          <w:sz w:val="24"/>
          <w:sz w:val="24"/>
          <w:rtl w:val="true"/>
        </w:rPr>
        <w:t>ג</w:t>
      </w:r>
      <w:r>
        <w:rPr>
          <w:rFonts w:cs="Miriam" w:ascii="Miriam" w:hAnsi="Miriam"/>
          <w:spacing w:val="10"/>
          <w:sz w:val="24"/>
          <w:rtl w:val="true"/>
        </w:rPr>
        <w:t>'</w:t>
      </w:r>
      <w:r>
        <w:rPr>
          <w:rFonts w:ascii="Miriam" w:hAnsi="Miriam" w:cs="Miriam"/>
          <w:spacing w:val="10"/>
          <w:sz w:val="24"/>
          <w:sz w:val="24"/>
          <w:rtl w:val="true"/>
        </w:rPr>
        <w:t>ובראן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6.9.2016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החלופיים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התרחישים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המרשיעה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שנוהלו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למיוחס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הנכון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מבוססת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אחיזה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שמעורבותו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ההגיונית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איכוניהם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והרשעת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דגימת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הדנ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חלופית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בהעדר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באירוע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הסתכם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בסיוע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באיחור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מצומצמת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הוחלף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להאזנה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למתרחש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במעגל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הפנימי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המבצעים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הנסיבתיות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הקביעה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ובייחוד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/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מסייע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ההכרעות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השיפוטיות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המצדיקות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שיוחסו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סביר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לשיטתו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שלבים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השיפוטי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ההליכים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משאלו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המומחה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למחקרי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התקשורת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במפורש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גונטובניק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7.5.2017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3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52149-03-17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עדויות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המעצרים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עמית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גרוסקופף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18.3.2020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17.2.2020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19002100</w:t>
      </w:r>
      <w:r>
        <w:rPr>
          <w:sz w:val="16"/>
          <w:rtl w:val="true"/>
        </w:rPr>
        <w:t>_</w:t>
      </w:r>
      <w:r>
        <w:rPr>
          <w:sz w:val="16"/>
        </w:rPr>
        <w:t>Q17.docx</w:t>
      </w:r>
      <w:r>
        <w:rPr>
          <w:sz w:val="16"/>
          <w:rtl w:val="true"/>
        </w:rPr>
        <w:t xml:space="preserve">   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54678313-210/19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210/19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יאיר זהר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51708" TargetMode="External"/><Relationship Id="rId3" Type="http://schemas.openxmlformats.org/officeDocument/2006/relationships/hyperlink" Target="http://www.nevo.co.il/safrut/book/34414" TargetMode="External"/><Relationship Id="rId4" Type="http://schemas.openxmlformats.org/officeDocument/2006/relationships/hyperlink" Target="http://www.nevo.co.il/safrut/book/3441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70301/402.b" TargetMode="External"/><Relationship Id="rId13" Type="http://schemas.openxmlformats.org/officeDocument/2006/relationships/hyperlink" Target="http://www.nevo.co.il/law/70301/499.a" TargetMode="External"/><Relationship Id="rId14" Type="http://schemas.openxmlformats.org/officeDocument/2006/relationships/hyperlink" Target="http://www.nevo.co.il/case/22351708" TargetMode="External"/><Relationship Id="rId15" Type="http://schemas.openxmlformats.org/officeDocument/2006/relationships/hyperlink" Target="http://www.nevo.co.il/law/70301/402.b" TargetMode="External"/><Relationship Id="rId16" Type="http://schemas.openxmlformats.org/officeDocument/2006/relationships/hyperlink" Target="http://www.nevo.co.il/law/70301/25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82.a" TargetMode="External"/><Relationship Id="rId23" Type="http://schemas.openxmlformats.org/officeDocument/2006/relationships/hyperlink" Target="http://www.nevo.co.il/law/70301/380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499.a" TargetMode="External"/><Relationship Id="rId26" Type="http://schemas.openxmlformats.org/officeDocument/2006/relationships/hyperlink" Target="http://www.nevo.co.il/case/21472902" TargetMode="External"/><Relationship Id="rId27" Type="http://schemas.openxmlformats.org/officeDocument/2006/relationships/hyperlink" Target="http://www.nevo.co.il/case/8245382" TargetMode="External"/><Relationship Id="rId28" Type="http://schemas.openxmlformats.org/officeDocument/2006/relationships/hyperlink" Target="http://www.nevo.co.il/case/23354214" TargetMode="External"/><Relationship Id="rId29" Type="http://schemas.openxmlformats.org/officeDocument/2006/relationships/hyperlink" Target="http://www.nevo.co.il/safrut/book/34414" TargetMode="External"/><Relationship Id="rId30" Type="http://schemas.openxmlformats.org/officeDocument/2006/relationships/hyperlink" Target="http://www.nevo.co.il/case/21473673" TargetMode="External"/><Relationship Id="rId31" Type="http://schemas.openxmlformats.org/officeDocument/2006/relationships/hyperlink" Target="http://www.nevo.co.il/case/20687580" TargetMode="External"/><Relationship Id="rId32" Type="http://schemas.openxmlformats.org/officeDocument/2006/relationships/hyperlink" Target="http://www.nevo.co.il/case/22351790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2020-02-18T09:20:00Z</dcterms:created>
  <dc:creator>h4</dc:creator>
  <dc:description/>
  <cp:keywords/>
  <dc:language>en-IL</dc:language>
  <cp:lastModifiedBy>orly</cp:lastModifiedBy>
  <cp:lastPrinted>2020-02-17T09:35:00Z</cp:lastPrinted>
  <dcterms:modified xsi:type="dcterms:W3CDTF">2020-02-18T09:20:00Z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יאיר זהר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34414</vt:lpwstr>
  </property>
  <property fmtid="{D5CDD505-2E9C-101B-9397-08002B2CF9AE}" pid="9" name="CASENOTES1">
    <vt:lpwstr>ProcID=213&amp;PartA=98&amp;PartC=96</vt:lpwstr>
  </property>
  <property fmtid="{D5CDD505-2E9C-101B-9397-08002B2CF9AE}" pid="10" name="CASESLISTTMP1">
    <vt:lpwstr>22351708:2;21472902;8245382;23354214;21473673;20687580;22351790</vt:lpwstr>
  </property>
  <property fmtid="{D5CDD505-2E9C-101B-9397-08002B2CF9AE}" pid="11" name="CITY">
    <vt:lpwstr/>
  </property>
  <property fmtid="{D5CDD505-2E9C-101B-9397-08002B2CF9AE}" pid="12" name="DATE">
    <vt:lpwstr>20200217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עמית;ג' קרא;ע' גרוסקופף</vt:lpwstr>
  </property>
  <property fmtid="{D5CDD505-2E9C-101B-9397-08002B2CF9AE}" pid="16" name="LAWLISTTMP1">
    <vt:lpwstr>70301/402.b;025;029:3;144.a;144.b;382.a;380;499.a</vt:lpwstr>
  </property>
  <property fmtid="{D5CDD505-2E9C-101B-9397-08002B2CF9AE}" pid="17" name="LAWYER">
    <vt:lpwstr>אושרה פטל רוזנברג;גיא רוסו;ירום הלוי;עדי כרמלי;ארז אלוש;תומר בנישתי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ראיות</vt:lpwstr>
  </property>
  <property fmtid="{D5CDD505-2E9C-101B-9397-08002B2CF9AE}" pid="31" name="NOSE13">
    <vt:lpwstr>דיון פלילי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18;89;18;77</vt:lpwstr>
  </property>
  <property fmtid="{D5CDD505-2E9C-101B-9397-08002B2CF9AE}" pid="39" name="NOSE21">
    <vt:lpwstr>הרשעה</vt:lpwstr>
  </property>
  <property fmtid="{D5CDD505-2E9C-101B-9397-08002B2CF9AE}" pid="40" name="NOSE210">
    <vt:lpwstr/>
  </property>
  <property fmtid="{D5CDD505-2E9C-101B-9397-08002B2CF9AE}" pid="41" name="NOSE22">
    <vt:lpwstr>ראיות נסיבתיות</vt:lpwstr>
  </property>
  <property fmtid="{D5CDD505-2E9C-101B-9397-08002B2CF9AE}" pid="42" name="NOSE23">
    <vt:lpwstr>בירור האשמה</vt:lpwstr>
  </property>
  <property fmtid="{D5CDD505-2E9C-101B-9397-08002B2CF9AE}" pid="43" name="NOSE24">
    <vt:lpwstr>שותפים לעבירה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465;1663;449;1451</vt:lpwstr>
  </property>
  <property fmtid="{D5CDD505-2E9C-101B-9397-08002B2CF9AE}" pid="50" name="NOSE31">
    <vt:lpwstr>על יסוד ראיות נסיבתיות</vt:lpwstr>
  </property>
  <property fmtid="{D5CDD505-2E9C-101B-9397-08002B2CF9AE}" pid="51" name="NOSE310">
    <vt:lpwstr/>
  </property>
  <property fmtid="{D5CDD505-2E9C-101B-9397-08002B2CF9AE}" pid="52" name="NOSE32">
    <vt:lpwstr>דרך בחינתן</vt:lpwstr>
  </property>
  <property fmtid="{D5CDD505-2E9C-101B-9397-08002B2CF9AE}" pid="53" name="NOSE33">
    <vt:lpwstr>תרחיש חלופי</vt:lpwstr>
  </property>
  <property fmtid="{D5CDD505-2E9C-101B-9397-08002B2CF9AE}" pid="54" name="NOSE34">
    <vt:lpwstr>מבצע בצוותא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3637;10521;15367;9034</vt:lpwstr>
  </property>
  <property fmtid="{D5CDD505-2E9C-101B-9397-08002B2CF9AE}" pid="61" name="PADIDATE">
    <vt:lpwstr>20200218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210</vt:lpwstr>
  </property>
  <property fmtid="{D5CDD505-2E9C-101B-9397-08002B2CF9AE}" pid="67" name="PROCYEAR">
    <vt:lpwstr>19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410120200217</vt:lpwstr>
  </property>
  <property fmtid="{D5CDD505-2E9C-101B-9397-08002B2CF9AE}" pid="71" name="TYPE_N_DATE">
    <vt:lpwstr>41020200217</vt:lpwstr>
  </property>
  <property fmtid="{D5CDD505-2E9C-101B-9397-08002B2CF9AE}" pid="72" name="VOLUME">
    <vt:lpwstr/>
  </property>
  <property fmtid="{D5CDD505-2E9C-101B-9397-08002B2CF9AE}" pid="73" name="WORDNUMPAGES">
    <vt:lpwstr>20</vt:lpwstr>
  </property>
</Properties>
</file>