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/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בשבתו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כבית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לערעורים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2127/17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עלוש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הכרעת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נצרת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20.1.2017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23.2.2017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18447-03-15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אזולאי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14.2.2018</w:t>
      </w:r>
      <w:r>
        <w:rPr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Ruller31"/>
        <w:ind w:end="0"/>
        <w:jc w:val="start"/>
        <w:rPr/>
      </w:pPr>
      <w:bookmarkStart w:id="4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אבגז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ובממצאי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מחדלי חקירה – נפקותם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סתירות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חיזוק – דבר לחיזוק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פציעה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תמורתו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שהעדיף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התומכות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בגרסתם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מגובשת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ואחידה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בגרסאות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מאמרות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משתתפים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שיביאו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משגיאות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להתמודד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חיזוק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שנערך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שרואים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חיזוק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הסכמי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הנערכים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למשפחת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בידיעתו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שומרים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הוצגו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לביסוס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ולהרשיעו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במסקנת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המעגל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הפנימי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התוקפים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מודעותו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לתכנית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העבריינית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הכוללת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מתווסף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משחית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לקעקע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בתקיפת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האלימים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כרוכות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רכיביו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40"/>
          <w:szCs w:val="44"/>
        </w:rPr>
      </w:pPr>
      <w:r>
        <w:rPr>
          <w:rFonts w:cs="Times New Roman"/>
          <w:spacing w:val="0"/>
          <w:sz w:val="40"/>
          <w:szCs w:val="44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  <w:rtl w:val="true"/>
              </w:rPr>
            </w:r>
            <w:bookmarkStart w:id="14" w:name="PsakDin"/>
            <w:bookmarkStart w:id="15" w:name="PsakDin"/>
            <w:bookmarkEnd w:id="15"/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Writer_Name"/>
      <w:bookmarkStart w:id="17" w:name="Writer_Name"/>
      <w:bookmarkEnd w:id="17"/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bookmarkStart w:id="18" w:name="Start_Write"/>
      <w:bookmarkEnd w:id="18"/>
      <w:r>
        <w:rPr>
          <w:rtl w:val="true"/>
        </w:rPr>
        <w:t xml:space="preserve">הערעור שלפנינו נסוב על הכרעת דין מיום </w:t>
      </w:r>
      <w:r>
        <w:rPr/>
        <w:t>10.1.2017</w:t>
      </w:r>
      <w:r>
        <w:rPr>
          <w:rtl w:val="true"/>
        </w:rPr>
        <w:t xml:space="preserve"> </w:t>
      </w:r>
      <w:r>
        <w:rPr>
          <w:rtl w:val="true"/>
        </w:rPr>
        <w:t xml:space="preserve">ועל גזר דין מיום </w:t>
      </w:r>
      <w:r>
        <w:rPr/>
        <w:t>23.2.2017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18447-03-15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שניתנו בבית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>בביצוע עבירת חבלה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ועבירת 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בגין ההרשעה בעבירות אלה</w:t>
      </w:r>
      <w:r>
        <w:rPr>
          <w:rtl w:val="true"/>
        </w:rPr>
        <w:t xml:space="preserve">, </w:t>
      </w:r>
      <w:r>
        <w:rPr>
          <w:rtl w:val="true"/>
        </w:rPr>
        <w:t xml:space="preserve">הושתו על המערער עונש מאסר בפועל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 xml:space="preserve">עונש מאסר על תנאי בן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חודשים שיעמוד בתוקפו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 שלא יעבור כל עבירת אלימות פיזית כלפי אדם</w:t>
      </w:r>
      <w:r>
        <w:rPr>
          <w:rtl w:val="true"/>
        </w:rPr>
        <w:t xml:space="preserve">; </w:t>
      </w:r>
      <w:r>
        <w:rPr>
          <w:rtl w:val="true"/>
        </w:rPr>
        <w:t>פיצוי לשני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בסך של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כל אחד</w:t>
      </w:r>
      <w:r>
        <w:rPr>
          <w:rtl w:val="true"/>
        </w:rPr>
        <w:t xml:space="preserve">; </w:t>
      </w:r>
      <w:r>
        <w:rPr>
          <w:rtl w:val="true"/>
        </w:rPr>
        <w:t xml:space="preserve">וכן קנס בסך של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או חודש מאסר תמורתו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כמתואר בהכרעת דינו של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9:30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25.2.2015</w:t>
      </w:r>
      <w:r>
        <w:rPr>
          <w:rtl w:val="true"/>
        </w:rPr>
        <w:t xml:space="preserve"> </w:t>
      </w:r>
      <w:r>
        <w:rPr>
          <w:rtl w:val="true"/>
        </w:rPr>
        <w:t xml:space="preserve">שהה המערער בצמיגייה </w:t>
      </w:r>
      <w:r>
        <w:rPr>
          <w:rtl w:val="true"/>
        </w:rPr>
        <w:t>(</w:t>
      </w:r>
      <w:r>
        <w:rPr>
          <w:rtl w:val="true"/>
        </w:rPr>
        <w:t>פנצ</w:t>
      </w:r>
      <w:r>
        <w:rPr>
          <w:rtl w:val="true"/>
        </w:rPr>
        <w:t>'</w:t>
      </w:r>
      <w:r>
        <w:rPr>
          <w:rtl w:val="true"/>
        </w:rPr>
        <w:t>רייה</w:t>
      </w:r>
      <w:r>
        <w:rPr>
          <w:rtl w:val="true"/>
        </w:rPr>
        <w:t xml:space="preserve">) </w:t>
      </w:r>
      <w:r>
        <w:rPr>
          <w:rtl w:val="true"/>
        </w:rPr>
        <w:t>שבבעלותו בנצרת</w:t>
      </w:r>
      <w:r>
        <w:rPr>
          <w:rtl w:val="true"/>
        </w:rPr>
        <w:t xml:space="preserve">, </w:t>
      </w:r>
      <w:r>
        <w:rPr>
          <w:rtl w:val="true"/>
        </w:rPr>
        <w:t xml:space="preserve">יחד עם דודו </w:t>
      </w:r>
      <w:r>
        <w:rPr>
          <w:rtl w:val="true"/>
        </w:rPr>
        <w:t>(</w:t>
      </w:r>
      <w:r>
        <w:rPr>
          <w:rtl w:val="true"/>
        </w:rPr>
        <w:t>אשר הואשם אף הוא בכתב האישום ועניינו נדון בנפרד</w:t>
      </w:r>
      <w:r>
        <w:rPr>
          <w:rtl w:val="true"/>
        </w:rPr>
        <w:t xml:space="preserve">), </w:t>
      </w:r>
      <w:r>
        <w:rPr>
          <w:rtl w:val="true"/>
        </w:rPr>
        <w:t xml:space="preserve">ואדם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 האמור</w:t>
      </w:r>
      <w:r>
        <w:rPr>
          <w:rtl w:val="true"/>
        </w:rPr>
        <w:t xml:space="preserve">, </w:t>
      </w:r>
      <w:r>
        <w:rPr>
          <w:rtl w:val="true"/>
        </w:rPr>
        <w:t xml:space="preserve">הגיעו למקום האחים פאדי ואחמד חטיב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פאדי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 xml:space="preserve">קבלני משנה של חברה למיחזור צמיגים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tl w:val="true"/>
        </w:rPr>
        <w:t xml:space="preserve">) </w:t>
      </w:r>
      <w:r>
        <w:rPr>
          <w:rtl w:val="true"/>
        </w:rPr>
        <w:t xml:space="preserve">במטרה לאסוף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צמיגים למיחזור בהתאם להנחיית החברה</w:t>
      </w:r>
      <w:r>
        <w:rPr>
          <w:rtl w:val="true"/>
        </w:rPr>
        <w:t xml:space="preserve">. </w:t>
      </w:r>
      <w:r>
        <w:rPr>
          <w:rtl w:val="true"/>
        </w:rPr>
        <w:t>לאחר שהעמיסו את הצמיגים על משאית החברה</w:t>
      </w:r>
      <w:r>
        <w:rPr>
          <w:rtl w:val="true"/>
        </w:rPr>
        <w:t xml:space="preserve">, </w:t>
      </w:r>
      <w:r>
        <w:rPr>
          <w:rtl w:val="true"/>
        </w:rPr>
        <w:t>ובניגוד להנחיה האמורה</w:t>
      </w:r>
      <w:r>
        <w:rPr>
          <w:rtl w:val="true"/>
        </w:rPr>
        <w:t xml:space="preserve">, </w:t>
      </w:r>
      <w:r>
        <w:rPr>
          <w:rtl w:val="true"/>
        </w:rPr>
        <w:t>ביקש המערער להעמיס על המשאית כמות נוספת של צמיגים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ביודעם כי העמסת צמיגים נוספים דורשת את אישור החברה</w:t>
      </w:r>
      <w:r>
        <w:rPr>
          <w:rtl w:val="true"/>
        </w:rPr>
        <w:t xml:space="preserve">, </w:t>
      </w:r>
      <w:r>
        <w:rPr>
          <w:rtl w:val="true"/>
        </w:rPr>
        <w:t>התקשרו לנציגת החברה ומסרו את הטלפון למערער על מנת שיקבל את אישורה</w:t>
      </w:r>
      <w:r>
        <w:rPr>
          <w:rtl w:val="true"/>
        </w:rPr>
        <w:t xml:space="preserve">, </w:t>
      </w:r>
      <w:r>
        <w:rPr>
          <w:rtl w:val="true"/>
        </w:rPr>
        <w:t>אך האחרונה סירבה להיענות לבקשתו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התעורר ויכוח מילולי בין הצדדים</w:t>
      </w:r>
      <w:r>
        <w:rPr>
          <w:rtl w:val="true"/>
        </w:rPr>
        <w:t xml:space="preserve">, </w:t>
      </w:r>
      <w:r>
        <w:rPr>
          <w:rtl w:val="true"/>
        </w:rPr>
        <w:t>שבמהלכו החל המערער יחד עם האחר להכות את המתלוננים</w:t>
      </w:r>
      <w:r>
        <w:rPr>
          <w:rtl w:val="true"/>
        </w:rPr>
        <w:t xml:space="preserve">, </w:t>
      </w:r>
      <w:r>
        <w:rPr>
          <w:rtl w:val="true"/>
        </w:rPr>
        <w:t>תוך שימוש באגרופן</w:t>
      </w:r>
      <w:r>
        <w:rPr>
          <w:rtl w:val="true"/>
        </w:rPr>
        <w:t xml:space="preserve">. </w:t>
      </w:r>
      <w:r>
        <w:rPr>
          <w:rtl w:val="true"/>
        </w:rPr>
        <w:t>בהמשך הצטרף גם דודו של המערער לתקיפת המתלוננים</w:t>
      </w:r>
      <w:r>
        <w:rPr>
          <w:rtl w:val="true"/>
        </w:rPr>
        <w:t xml:space="preserve">, </w:t>
      </w:r>
      <w:r>
        <w:rPr>
          <w:rtl w:val="true"/>
        </w:rPr>
        <w:t>כשהוא מצויד בפטיש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 מהאירועים המתוארים נחבלו המתלוננים</w:t>
      </w:r>
      <w:r>
        <w:rPr>
          <w:rtl w:val="true"/>
        </w:rPr>
        <w:t xml:space="preserve">: </w:t>
      </w:r>
      <w:r>
        <w:rPr>
          <w:rtl w:val="true"/>
        </w:rPr>
        <w:t>האחד בראשו ובגבו</w:t>
      </w:r>
      <w:r>
        <w:rPr>
          <w:rtl w:val="true"/>
        </w:rPr>
        <w:t xml:space="preserve">, </w:t>
      </w:r>
      <w:r>
        <w:rPr>
          <w:rtl w:val="true"/>
        </w:rPr>
        <w:t>ואף נגרם לו שבר באף</w:t>
      </w:r>
      <w:r>
        <w:rPr>
          <w:rtl w:val="true"/>
        </w:rPr>
        <w:t xml:space="preserve">; </w:t>
      </w:r>
      <w:r>
        <w:rPr>
          <w:rtl w:val="true"/>
        </w:rPr>
        <w:t>האחר נחבל בראשו ונזקק לתפרים</w:t>
      </w:r>
      <w:r>
        <w:rPr>
          <w:rtl w:val="true"/>
        </w:rPr>
        <w:t xml:space="preserve">, </w:t>
      </w:r>
      <w:r>
        <w:rPr>
          <w:rtl w:val="true"/>
        </w:rPr>
        <w:t>וכן נחבל במקומות נוספים בגופו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ממצאי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ומסקנותיו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מאחר שחלק ניכר מטענות הערעור מופנות כלפי קביעותיו העובדתיות של בית משפט קמא</w:t>
      </w:r>
      <w:r>
        <w:rPr>
          <w:rtl w:val="true"/>
        </w:rPr>
        <w:t xml:space="preserve">, </w:t>
      </w:r>
      <w:r>
        <w:rPr>
          <w:rtl w:val="true"/>
        </w:rPr>
        <w:t>ארחיב קמעה על אודות ממצאיו</w:t>
      </w:r>
      <w:r>
        <w:rPr>
          <w:rtl w:val="true"/>
        </w:rPr>
        <w:t xml:space="preserve">, </w:t>
      </w:r>
      <w:r>
        <w:rPr>
          <w:rtl w:val="true"/>
        </w:rPr>
        <w:t>כפי שאלה פורטו בהכרעת הדין</w:t>
      </w:r>
      <w:r>
        <w:rPr>
          <w:rtl w:val="true"/>
        </w:rPr>
        <w:t xml:space="preserve">. </w:t>
      </w:r>
      <w:r>
        <w:rPr>
          <w:rtl w:val="true"/>
        </w:rPr>
        <w:t>בתוך כך איעזר בשלושת המקטעים שאליהם חילק בית משפט קמא את רצף האירועים</w:t>
      </w:r>
      <w:r>
        <w:rPr>
          <w:rtl w:val="true"/>
        </w:rPr>
        <w:t xml:space="preserve">: </w:t>
      </w:r>
      <w:r>
        <w:rPr>
          <w:rtl w:val="true"/>
        </w:rPr>
        <w:t>האירועים שקדמו לתקיפה</w:t>
      </w:r>
      <w:r>
        <w:rPr>
          <w:rtl w:val="true"/>
        </w:rPr>
        <w:t xml:space="preserve">; </w:t>
      </w:r>
      <w:r>
        <w:rPr>
          <w:rtl w:val="true"/>
        </w:rPr>
        <w:t>אירוע התקיפה עצמו</w:t>
      </w:r>
      <w:r>
        <w:rPr>
          <w:rtl w:val="true"/>
        </w:rPr>
        <w:t xml:space="preserve">; </w:t>
      </w:r>
      <w:r>
        <w:rPr>
          <w:rtl w:val="true"/>
        </w:rPr>
        <w:t>ומעשיו של המערער בתכוף לאחר שהמתלוננים נמלטו מזירת 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התקיפה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–</w:t>
      </w:r>
      <w:r>
        <w:rPr>
          <w:rtl w:val="true"/>
        </w:rPr>
        <w:t xml:space="preserve"> בית משפט קמא קבע</w:t>
      </w:r>
      <w:r>
        <w:rPr>
          <w:rtl w:val="true"/>
        </w:rPr>
        <w:t xml:space="preserve">, </w:t>
      </w:r>
      <w:r>
        <w:rPr>
          <w:rtl w:val="true"/>
        </w:rPr>
        <w:t xml:space="preserve">על יסוד עדויותיהם של המעורבים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כי בין המתלוננים למערער לא הייתה היכרות מוקדמת</w:t>
      </w:r>
      <w:r>
        <w:rPr>
          <w:rtl w:val="true"/>
        </w:rPr>
        <w:t xml:space="preserve">; </w:t>
      </w:r>
      <w:r>
        <w:rPr>
          <w:rtl w:val="true"/>
        </w:rPr>
        <w:t>וכי בסמוך לתגרה האלימה פרץ עימות מילולי בין הצדדים</w:t>
      </w:r>
      <w:r>
        <w:rPr>
          <w:rtl w:val="true"/>
        </w:rPr>
        <w:t xml:space="preserve">. </w:t>
      </w:r>
      <w:r>
        <w:rPr>
          <w:rtl w:val="true"/>
        </w:rPr>
        <w:t>בית משפט קמא מצא כי עובדות אלה</w:t>
      </w:r>
      <w:r>
        <w:rPr>
          <w:rtl w:val="true"/>
        </w:rPr>
        <w:t xml:space="preserve">, </w:t>
      </w:r>
      <w:r>
        <w:rPr>
          <w:rtl w:val="true"/>
        </w:rPr>
        <w:t>אשר לא הוכחשו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>, "</w:t>
      </w:r>
      <w:r>
        <w:rPr>
          <w:rtl w:val="true"/>
        </w:rPr>
        <w:t>מתיישבות עם גלישת האירועים למתחם האלימות הפיזית</w:t>
      </w:r>
      <w:r>
        <w:rPr>
          <w:rtl w:val="true"/>
        </w:rPr>
        <w:t xml:space="preserve">", </w:t>
      </w:r>
      <w:r>
        <w:rPr>
          <w:rtl w:val="true"/>
        </w:rPr>
        <w:t>ומשתלבות עם גרסתם של המתלוננים בדבר המשך האירועים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בית משפט קמא מצא כי גרסתם של המתלוננים מהימנה</w:t>
      </w:r>
      <w:r>
        <w:rPr>
          <w:rtl w:val="true"/>
        </w:rPr>
        <w:t>, "</w:t>
      </w:r>
      <w:r>
        <w:rPr>
          <w:rtl w:val="true"/>
        </w:rPr>
        <w:t>חרף סתירות קלות שאינן יורדות לשורשו של הענין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בהודעתו הראשונה במשטרה</w:t>
      </w:r>
      <w:r>
        <w:rPr>
          <w:rtl w:val="true"/>
        </w:rPr>
        <w:t xml:space="preserve">, </w:t>
      </w:r>
      <w:r>
        <w:rPr>
          <w:rtl w:val="true"/>
        </w:rPr>
        <w:t>מיום האירוע</w:t>
      </w:r>
      <w:r>
        <w:rPr>
          <w:rtl w:val="true"/>
        </w:rPr>
        <w:t xml:space="preserve">, </w:t>
      </w:r>
      <w:r>
        <w:rPr>
          <w:rtl w:val="true"/>
        </w:rPr>
        <w:t>ציין אחמד כי לאחר הוויכוח בעניין העמסת הצמיגים הנוספים</w:t>
      </w:r>
      <w:r>
        <w:rPr>
          <w:rtl w:val="true"/>
        </w:rPr>
        <w:t xml:space="preserve">, </w:t>
      </w:r>
      <w:r>
        <w:rPr>
          <w:rtl w:val="true"/>
        </w:rPr>
        <w:t xml:space="preserve">הכה אותו בראשו </w:t>
      </w:r>
      <w:r>
        <w:rPr>
          <w:rtl w:val="true"/>
        </w:rPr>
        <w:t>"</w:t>
      </w:r>
      <w:r>
        <w:rPr>
          <w:rtl w:val="true"/>
        </w:rPr>
        <w:t>הבעלים של הפנצ</w:t>
      </w:r>
      <w:r>
        <w:rPr>
          <w:rtl w:val="true"/>
        </w:rPr>
        <w:t>'</w:t>
      </w:r>
      <w:r>
        <w:rPr>
          <w:rtl w:val="true"/>
        </w:rPr>
        <w:t>ריה</w:t>
      </w:r>
      <w:r>
        <w:rPr>
          <w:rtl w:val="true"/>
        </w:rPr>
        <w:t xml:space="preserve">", </w:t>
      </w:r>
      <w:r>
        <w:rPr>
          <w:rtl w:val="true"/>
        </w:rPr>
        <w:t>ומיד בסמוך הכה אותו אדם נוסף בפניו באמצעות אגרופן</w:t>
      </w:r>
      <w:r>
        <w:rPr>
          <w:rtl w:val="true"/>
        </w:rPr>
        <w:t xml:space="preserve">. </w:t>
      </w:r>
      <w:r>
        <w:rPr>
          <w:rtl w:val="true"/>
        </w:rPr>
        <w:t>משנזעק פאדי לעזרתו של אחמד</w:t>
      </w:r>
      <w:r>
        <w:rPr>
          <w:rtl w:val="true"/>
        </w:rPr>
        <w:t xml:space="preserve">, </w:t>
      </w:r>
      <w:r>
        <w:rPr>
          <w:rtl w:val="true"/>
        </w:rPr>
        <w:t>החלו אותם שניים להכות גם אותו</w:t>
      </w:r>
      <w:r>
        <w:rPr>
          <w:rtl w:val="true"/>
        </w:rPr>
        <w:t xml:space="preserve">, </w:t>
      </w:r>
      <w:r>
        <w:rPr>
          <w:rtl w:val="true"/>
        </w:rPr>
        <w:t>כשאדם שלישי מצטרף אליהם</w:t>
      </w:r>
      <w:r>
        <w:rPr>
          <w:rtl w:val="true"/>
        </w:rPr>
        <w:t xml:space="preserve">, </w:t>
      </w:r>
      <w:r>
        <w:rPr>
          <w:rtl w:val="true"/>
        </w:rPr>
        <w:t xml:space="preserve">ומכה את אחמד באמצעות פטיש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 xml:space="preserve">אחמד שב על עיקרי גרסתו זו בהודעה נוספת שמסר במשטרה ובעדותו בפני בית משפט קמא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45-26</w:t>
      </w:r>
      <w:r>
        <w:rPr>
          <w:rtl w:val="true"/>
        </w:rPr>
        <w:t xml:space="preserve"> </w:t>
      </w:r>
      <w:r>
        <w:rPr>
          <w:rtl w:val="true"/>
        </w:rPr>
        <w:t>לפרוטוקול הדיון</w:t>
      </w:r>
      <w:r>
        <w:rPr>
          <w:rtl w:val="true"/>
        </w:rPr>
        <w:t xml:space="preserve">), </w:t>
      </w:r>
      <w:r>
        <w:rPr>
          <w:rtl w:val="true"/>
        </w:rPr>
        <w:t>אף כי שינה בתיאור מקצת מנסיבות האירועים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אירוע התקיפה תואר באופן דומה גם על</w:t>
      </w:r>
      <w:r>
        <w:rPr>
          <w:rtl w:val="true"/>
        </w:rPr>
        <w:t>-</w:t>
      </w:r>
      <w:r>
        <w:rPr>
          <w:rtl w:val="true"/>
        </w:rPr>
        <w:t>ידי פאדי</w:t>
      </w:r>
      <w:r>
        <w:rPr>
          <w:rtl w:val="true"/>
        </w:rPr>
        <w:t xml:space="preserve">, </w:t>
      </w:r>
      <w:r>
        <w:rPr>
          <w:rtl w:val="true"/>
        </w:rPr>
        <w:t>אף שהלה</w:t>
      </w:r>
      <w:r>
        <w:rPr>
          <w:rtl w:val="true"/>
        </w:rPr>
        <w:t xml:space="preserve">, </w:t>
      </w:r>
      <w:r>
        <w:rPr>
          <w:rtl w:val="true"/>
        </w:rPr>
        <w:t>בהודעתו הראשונה מיום האירוע</w:t>
      </w:r>
      <w:r>
        <w:rPr>
          <w:rtl w:val="true"/>
        </w:rPr>
        <w:t xml:space="preserve">, </w:t>
      </w:r>
      <w:r>
        <w:rPr>
          <w:rtl w:val="true"/>
        </w:rPr>
        <w:t>הציג את השתלשלות העובדות בצורה מעט שונה</w:t>
      </w:r>
      <w:r>
        <w:rPr>
          <w:rtl w:val="true"/>
        </w:rPr>
        <w:t xml:space="preserve">. </w:t>
      </w:r>
      <w:r>
        <w:rPr>
          <w:rtl w:val="true"/>
        </w:rPr>
        <w:t>לפי גרסתו</w:t>
      </w:r>
      <w:r>
        <w:rPr>
          <w:rtl w:val="true"/>
        </w:rPr>
        <w:t xml:space="preserve">, </w:t>
      </w:r>
      <w:r>
        <w:rPr>
          <w:rtl w:val="true"/>
        </w:rPr>
        <w:t>התקיפה בוצעה על</w:t>
      </w:r>
      <w:r>
        <w:rPr>
          <w:rtl w:val="true"/>
        </w:rPr>
        <w:t>-</w:t>
      </w:r>
      <w:r>
        <w:rPr>
          <w:rtl w:val="true"/>
        </w:rPr>
        <w:t xml:space="preserve">ידי </w:t>
      </w:r>
      <w:r>
        <w:rPr>
          <w:rtl w:val="true"/>
        </w:rPr>
        <w:t>"</w:t>
      </w:r>
      <w:r>
        <w:rPr>
          <w:rtl w:val="true"/>
        </w:rPr>
        <w:t>שלושת בניו</w:t>
      </w:r>
      <w:r>
        <w:rPr>
          <w:rtl w:val="true"/>
        </w:rPr>
        <w:t xml:space="preserve">" </w:t>
      </w:r>
      <w:r>
        <w:rPr>
          <w:rtl w:val="true"/>
        </w:rPr>
        <w:t>של בעל הצמיגייה</w:t>
      </w:r>
      <w:r>
        <w:rPr>
          <w:rtl w:val="true"/>
        </w:rPr>
        <w:t xml:space="preserve">. </w:t>
      </w:r>
      <w:r>
        <w:rPr>
          <w:rtl w:val="true"/>
        </w:rPr>
        <w:t>כמו כן טען כי תחילה היכו התוקפים את אחמד באמצעות אגרופן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הוא עצמו הוכה באמצעות </w:t>
      </w:r>
      <w:r>
        <w:rPr>
          <w:rtl w:val="true"/>
        </w:rPr>
        <w:t>"</w:t>
      </w:r>
      <w:r>
        <w:rPr>
          <w:rtl w:val="true"/>
        </w:rPr>
        <w:t>מוט ברזל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בהודעתו השנייה במשטרה</w:t>
      </w:r>
      <w:r>
        <w:rPr>
          <w:rtl w:val="true"/>
        </w:rPr>
        <w:t xml:space="preserve">, </w:t>
      </w:r>
      <w:r>
        <w:rPr>
          <w:rtl w:val="true"/>
        </w:rPr>
        <w:t>אף היא מיום האירוע</w:t>
      </w:r>
      <w:r>
        <w:rPr>
          <w:rtl w:val="true"/>
        </w:rPr>
        <w:t xml:space="preserve">, </w:t>
      </w:r>
      <w:r>
        <w:rPr>
          <w:rtl w:val="true"/>
        </w:rPr>
        <w:t>שב פאדי על עיקרי גרסתו דלעיל</w:t>
      </w:r>
      <w:r>
        <w:rPr>
          <w:rtl w:val="true"/>
        </w:rPr>
        <w:t xml:space="preserve">, </w:t>
      </w:r>
      <w:r>
        <w:rPr>
          <w:rtl w:val="true"/>
        </w:rPr>
        <w:t xml:space="preserve">ובתוך כך טען כי דבריו בהודעתו הראשונה בדבר תקיפתו באמצעות מוט ברזל נאמרו מתוך לחץ ובלבול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בעדותו בפני בית משפט קמא</w:t>
      </w:r>
      <w:r>
        <w:rPr>
          <w:rtl w:val="true"/>
        </w:rPr>
        <w:t xml:space="preserve">, </w:t>
      </w:r>
      <w:r>
        <w:rPr>
          <w:rtl w:val="true"/>
        </w:rPr>
        <w:t>חזר בו פאדי מגרסתו לפיה בניו של בעל הצמיגייה הם שביצעו את התקיפה</w:t>
      </w:r>
      <w:r>
        <w:rPr>
          <w:rtl w:val="true"/>
        </w:rPr>
        <w:t xml:space="preserve">, </w:t>
      </w:r>
      <w:r>
        <w:rPr>
          <w:rtl w:val="true"/>
        </w:rPr>
        <w:t xml:space="preserve">וטען כי הוא </w:t>
      </w:r>
      <w:r>
        <w:rPr>
          <w:rtl w:val="true"/>
        </w:rPr>
        <w:t>"</w:t>
      </w:r>
      <w:r>
        <w:rPr>
          <w:rtl w:val="true"/>
        </w:rPr>
        <w:t xml:space="preserve">אינו בטוח בזהותם של השניים כאחיו של הנאשם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']"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לפרוטוקול הדיון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>אל מול עדותם של המתלוננים</w:t>
      </w:r>
      <w:r>
        <w:rPr>
          <w:rtl w:val="true"/>
        </w:rPr>
        <w:t xml:space="preserve">, </w:t>
      </w:r>
      <w:r>
        <w:rPr>
          <w:rtl w:val="true"/>
        </w:rPr>
        <w:t>שנמצאה מהימנה</w:t>
      </w:r>
      <w:r>
        <w:rPr>
          <w:rtl w:val="true"/>
        </w:rPr>
        <w:t xml:space="preserve">, </w:t>
      </w:r>
      <w:r>
        <w:rPr>
          <w:rtl w:val="true"/>
        </w:rPr>
        <w:t>עמד בית משפט קמא על גרסתו של המערער</w:t>
      </w:r>
      <w:r>
        <w:rPr>
          <w:rtl w:val="true"/>
        </w:rPr>
        <w:t xml:space="preserve">, </w:t>
      </w:r>
      <w:r>
        <w:rPr>
          <w:rtl w:val="true"/>
        </w:rPr>
        <w:t>כפי שעלתה מהודעותיו במשטרה ומעדותו בפני בית משפט קמא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גרסה זו</w:t>
      </w:r>
      <w:r>
        <w:rPr>
          <w:rtl w:val="true"/>
        </w:rPr>
        <w:t xml:space="preserve">, </w:t>
      </w:r>
      <w:r>
        <w:rPr>
          <w:rtl w:val="true"/>
        </w:rPr>
        <w:t xml:space="preserve">לאחר הוויכוח המילולי בנושא </w:t>
      </w:r>
      <w:r>
        <w:rPr>
          <w:rFonts w:ascii="Century" w:hAnsi="Century" w:cs="Century"/>
          <w:rtl w:val="true"/>
        </w:rPr>
        <w:t>העמסת הצמיגים הנוספים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הגיעו אלמונים אשר החלו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בלאגן ודחיפות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ובהכאת המתלוננים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בעודו מנסה להפסיק את הקטטה ולהפריד בין הניצים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המתלוננים תיארו בעדותם מסכת עובדתית זהה במהותה</w:t>
      </w:r>
      <w:r>
        <w:rPr>
          <w:rtl w:val="true"/>
        </w:rPr>
        <w:t xml:space="preserve">, </w:t>
      </w:r>
      <w:r>
        <w:rPr>
          <w:rtl w:val="true"/>
        </w:rPr>
        <w:t>לפיה בשלב מסוים הצליחו לעלות על המשאית ולהימלט מזירת התקיפה</w:t>
      </w:r>
      <w:r>
        <w:rPr>
          <w:rtl w:val="true"/>
        </w:rPr>
        <w:t xml:space="preserve">, </w:t>
      </w:r>
      <w:r>
        <w:rPr>
          <w:rtl w:val="true"/>
        </w:rPr>
        <w:t>בעוד המערער דולק אחריהם במנוסתם</w:t>
      </w:r>
      <w:r>
        <w:rPr>
          <w:rtl w:val="true"/>
        </w:rPr>
        <w:t xml:space="preserve">, </w:t>
      </w:r>
      <w:r>
        <w:rPr>
          <w:rtl w:val="true"/>
        </w:rPr>
        <w:t>ואף מנסה להיכנס למשאית שעה שעצרו ברמזור</w:t>
      </w:r>
      <w:r>
        <w:rPr>
          <w:rtl w:val="true"/>
        </w:rPr>
        <w:t xml:space="preserve">. </w:t>
      </w:r>
      <w:r>
        <w:rPr>
          <w:rtl w:val="true"/>
        </w:rPr>
        <w:t>משלא עלה הדבר בידו</w:t>
      </w:r>
      <w:r>
        <w:rPr>
          <w:rtl w:val="true"/>
        </w:rPr>
        <w:t xml:space="preserve">, </w:t>
      </w:r>
      <w:r>
        <w:rPr>
          <w:rtl w:val="true"/>
        </w:rPr>
        <w:t>הגיע המערער בעקבות המתלוננים לתחנת המשטרה</w:t>
      </w:r>
      <w:r>
        <w:rPr>
          <w:rtl w:val="true"/>
        </w:rPr>
        <w:t xml:space="preserve">, </w:t>
      </w:r>
      <w:r>
        <w:rPr>
          <w:rtl w:val="true"/>
        </w:rPr>
        <w:t>שם עיכבו אותו מאבטחים עד למעצרו בידי שוטרים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הכחיש את טענת המתלוננים בכל הנוגע לרדיפתו אחריהם לאחר שנמלטו מהצמיגייה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לאחר שהשניים עזבו את המקום</w:t>
      </w:r>
      <w:r>
        <w:rPr>
          <w:rtl w:val="true"/>
        </w:rPr>
        <w:t xml:space="preserve">, </w:t>
      </w:r>
      <w:r>
        <w:rPr>
          <w:rtl w:val="true"/>
        </w:rPr>
        <w:t>הבחין כי הם שכחו את פנקס העבודה שלהם</w:t>
      </w:r>
      <w:r>
        <w:rPr>
          <w:rtl w:val="true"/>
        </w:rPr>
        <w:t xml:space="preserve">, </w:t>
      </w:r>
      <w:r>
        <w:rPr>
          <w:rtl w:val="true"/>
        </w:rPr>
        <w:t xml:space="preserve">ומשכך נסע אחריהם במטרה להשיבו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100-86</w:t>
      </w:r>
      <w:r>
        <w:rPr>
          <w:rtl w:val="true"/>
        </w:rPr>
        <w:t xml:space="preserve"> </w:t>
      </w:r>
      <w:r>
        <w:rPr>
          <w:rtl w:val="true"/>
        </w:rPr>
        <w:t>לפרוטוקול הדיון</w:t>
      </w:r>
      <w:r>
        <w:rPr>
          <w:rtl w:val="true"/>
        </w:rPr>
        <w:t xml:space="preserve">). </w:t>
      </w:r>
      <w:r>
        <w:rPr>
          <w:rtl w:val="true"/>
        </w:rPr>
        <w:t>בהודעתו השנייה הוסיף המערער כי נהג אוטובוס אשר נכח בצומת שבו עצרו המתלוננים</w:t>
      </w:r>
      <w:r>
        <w:rPr>
          <w:rtl w:val="true"/>
        </w:rPr>
        <w:t xml:space="preserve">, </w:t>
      </w:r>
      <w:r>
        <w:rPr>
          <w:rtl w:val="true"/>
        </w:rPr>
        <w:t>היה עד לניסיונותיו להשיב לאלה האחרונים את פנקס העבודה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שבחן את גרסאות המתלוננים והמערער</w:t>
      </w:r>
      <w:r>
        <w:rPr>
          <w:rtl w:val="true"/>
        </w:rPr>
        <w:t xml:space="preserve">, </w:t>
      </w:r>
      <w:r>
        <w:rPr>
          <w:rtl w:val="true"/>
        </w:rPr>
        <w:t>קבע בית משפט קמא כי גרסתו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 אלמונים </w:t>
      </w:r>
      <w:r>
        <w:rPr>
          <w:rFonts w:ascii="Times New Roman" w:hAnsi="Times New Roman" w:cs="Times New Roman"/>
          <w:sz w:val="22"/>
          <w:sz w:val="22"/>
          <w:rtl w:val="true"/>
        </w:rPr>
        <w:t>שהגיעו למקום הם שהיכו את המתלוננים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היא 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>מופרכת ובלתי סבירה</w:t>
      </w:r>
      <w:r>
        <w:rPr>
          <w:rFonts w:cs="Times New Roman" w:ascii="Times New Roman" w:hAnsi="Times New Roman"/>
          <w:sz w:val="22"/>
          <w:rtl w:val="true"/>
        </w:rPr>
        <w:t xml:space="preserve">". </w:t>
      </w:r>
      <w:r>
        <w:rPr>
          <w:rFonts w:ascii="Times New Roman" w:hAnsi="Times New Roman" w:cs="Times New Roman"/>
          <w:sz w:val="22"/>
          <w:sz w:val="22"/>
          <w:rtl w:val="true"/>
        </w:rPr>
        <w:t>זאת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לנוכח הודאתו</w:t>
      </w:r>
      <w:r>
        <w:rPr>
          <w:rtl w:val="true"/>
        </w:rPr>
        <w:t xml:space="preserve"> כי בין הצדדים התעורר ויכוח מילולי ביחס להעמסת הצמיגים הנוספים</w:t>
      </w:r>
      <w:r>
        <w:rPr>
          <w:rtl w:val="true"/>
        </w:rPr>
        <w:t xml:space="preserve">; </w:t>
      </w:r>
      <w:r>
        <w:rPr>
          <w:rtl w:val="true"/>
        </w:rPr>
        <w:t>משום שלא הציג כל סיבה הגיונית ל</w:t>
      </w:r>
      <w:r>
        <w:rPr>
          <w:rtl w:val="true"/>
        </w:rPr>
        <w:t>"</w:t>
      </w:r>
      <w:r>
        <w:rPr>
          <w:rtl w:val="true"/>
        </w:rPr>
        <w:t>להיטותו</w:t>
      </w:r>
      <w:r>
        <w:rPr>
          <w:rtl w:val="true"/>
        </w:rPr>
        <w:t xml:space="preserve">" </w:t>
      </w:r>
      <w:r>
        <w:rPr>
          <w:rtl w:val="true"/>
        </w:rPr>
        <w:t>להתחקות אחר המתלוננים</w:t>
      </w:r>
      <w:r>
        <w:rPr>
          <w:rtl w:val="true"/>
        </w:rPr>
        <w:t xml:space="preserve">, </w:t>
      </w:r>
      <w:r>
        <w:rPr>
          <w:rtl w:val="true"/>
        </w:rPr>
        <w:t>לאחר שעזבו את הצמיגייה</w:t>
      </w:r>
      <w:r>
        <w:rPr>
          <w:rtl w:val="true"/>
        </w:rPr>
        <w:t xml:space="preserve">; </w:t>
      </w:r>
      <w:r>
        <w:rPr>
          <w:rtl w:val="true"/>
        </w:rPr>
        <w:t>ומאחר שלא ידע להסביר מדוע המשיך לרדוף אחר המתלוננים עד לתחנת המשטרה</w:t>
      </w:r>
      <w:r>
        <w:rPr>
          <w:rtl w:val="true"/>
        </w:rPr>
        <w:t xml:space="preserve">, </w:t>
      </w:r>
      <w:r>
        <w:rPr>
          <w:rtl w:val="true"/>
        </w:rPr>
        <w:t>על אף שלטענתו השיב להם את פנקס העבודה כאשר פגש בהם ברמזור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נקבע כאמור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כי גרסתם של המתלוננים מהימנה אף שהיא 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>אינה שלמה בכל חלקיה</w:t>
      </w:r>
      <w:r>
        <w:rPr>
          <w:rFonts w:cs="Times New Roman" w:ascii="Times New Roman" w:hAnsi="Times New Roman"/>
          <w:sz w:val="22"/>
          <w:rtl w:val="true"/>
        </w:rPr>
        <w:t xml:space="preserve">", </w:t>
      </w:r>
      <w:r>
        <w:rPr>
          <w:rFonts w:ascii="Times New Roman" w:hAnsi="Times New Roman" w:cs="Times New Roman"/>
          <w:sz w:val="22"/>
          <w:sz w:val="22"/>
          <w:rtl w:val="true"/>
        </w:rPr>
        <w:t>כלשון בית משפט קמא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כך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נמצא</w:t>
      </w:r>
      <w:r>
        <w:rPr>
          <w:rtl w:val="true"/>
        </w:rPr>
        <w:t xml:space="preserve"> כי היו הבדלים בין ההודעות והעדויות של אחמד באשר למספר הצמיגים שהתבקשו המתלוננים להעמיס</w:t>
      </w:r>
      <w:r>
        <w:rPr>
          <w:rtl w:val="true"/>
        </w:rPr>
        <w:t xml:space="preserve">; </w:t>
      </w:r>
      <w:r>
        <w:rPr>
          <w:rtl w:val="true"/>
        </w:rPr>
        <w:t>ביחס לזהות המתלונן שהותקף ראשון</w:t>
      </w:r>
      <w:r>
        <w:rPr>
          <w:rtl w:val="true"/>
        </w:rPr>
        <w:t xml:space="preserve">; </w:t>
      </w:r>
      <w:r>
        <w:rPr>
          <w:rtl w:val="true"/>
        </w:rPr>
        <w:t>בנוגע למספר המשתתפים בקטטה</w:t>
      </w:r>
      <w:r>
        <w:rPr>
          <w:rtl w:val="true"/>
        </w:rPr>
        <w:t xml:space="preserve">; </w:t>
      </w:r>
      <w:r>
        <w:rPr>
          <w:rtl w:val="true"/>
        </w:rPr>
        <w:t>וכן בהתייחס לזהות התוקף אשר עשה שימוש באגרופן</w:t>
      </w:r>
      <w:r>
        <w:rPr>
          <w:rtl w:val="true"/>
        </w:rPr>
        <w:t xml:space="preserve">. </w:t>
      </w:r>
      <w:r>
        <w:rPr>
          <w:rtl w:val="true"/>
        </w:rPr>
        <w:t>בית משפט קמא לא ייחס משקל של ממש להבדלים אלה</w:t>
      </w:r>
      <w:r>
        <w:rPr>
          <w:rtl w:val="true"/>
        </w:rPr>
        <w:t xml:space="preserve">, </w:t>
      </w:r>
      <w:r>
        <w:rPr>
          <w:rtl w:val="true"/>
        </w:rPr>
        <w:t xml:space="preserve">לאחר ששוכנע כי בנסיבות העניין </w:t>
      </w:r>
      <w:r>
        <w:rPr>
          <w:rtl w:val="true"/>
        </w:rPr>
        <w:t>"</w:t>
      </w:r>
      <w:r>
        <w:rPr>
          <w:rtl w:val="true"/>
        </w:rPr>
        <w:t>לא ניתן לצפות מהמתלוננים המבוהלים לדייק דיוק מושלם</w:t>
      </w:r>
      <w:r>
        <w:rPr>
          <w:rtl w:val="true"/>
        </w:rPr>
        <w:t xml:space="preserve">" </w:t>
      </w:r>
      <w:r>
        <w:rPr>
          <w:rtl w:val="true"/>
        </w:rPr>
        <w:t>בתיאור ההתרחשויות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לצד עדויות המתלוננים</w:t>
      </w:r>
      <w:r>
        <w:rPr>
          <w:rtl w:val="true"/>
        </w:rPr>
        <w:t xml:space="preserve">, </w:t>
      </w:r>
      <w:r>
        <w:rPr>
          <w:rtl w:val="true"/>
        </w:rPr>
        <w:t>נתמכו מסקנות בית משפט קמא בממצאים נוספים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מהתחייבותה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מאבטחי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22-16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116-115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כמו כן דחה בית משפט קמא את טענות המערער לקיומם של מחדלי חקירה</w:t>
      </w:r>
      <w:r>
        <w:rPr>
          <w:rtl w:val="true"/>
        </w:rPr>
        <w:t xml:space="preserve">, </w:t>
      </w:r>
      <w:r>
        <w:rPr>
          <w:rtl w:val="true"/>
        </w:rPr>
        <w:t>ובכללם אי</w:t>
      </w:r>
      <w:r>
        <w:rPr>
          <w:rtl w:val="true"/>
        </w:rPr>
        <w:t>-</w:t>
      </w:r>
      <w:r>
        <w:rPr>
          <w:rtl w:val="true"/>
        </w:rPr>
        <w:t>איתורו של נהג האוטובוס</w:t>
      </w:r>
      <w:r>
        <w:rPr>
          <w:rtl w:val="true"/>
        </w:rPr>
        <w:t xml:space="preserve">, </w:t>
      </w:r>
      <w:r>
        <w:rPr>
          <w:rtl w:val="true"/>
        </w:rPr>
        <w:t>שלשיטת המערער היה עד לאירועים שהתרחשו בעת שעצרו המתלוננים ברמזור</w:t>
      </w:r>
      <w:r>
        <w:rPr>
          <w:rtl w:val="true"/>
        </w:rPr>
        <w:t xml:space="preserve">; </w:t>
      </w:r>
      <w:r>
        <w:rPr>
          <w:rtl w:val="true"/>
        </w:rPr>
        <w:t>היעדר תיעוד חזותי לחקירת המערער</w:t>
      </w:r>
      <w:r>
        <w:rPr>
          <w:rtl w:val="true"/>
        </w:rPr>
        <w:t xml:space="preserve">;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עריכת שחזור</w:t>
      </w:r>
      <w:r>
        <w:rPr>
          <w:rtl w:val="true"/>
        </w:rPr>
        <w:t xml:space="preserve">. </w:t>
      </w:r>
      <w:r>
        <w:rPr>
          <w:rtl w:val="true"/>
        </w:rPr>
        <w:t>בית משפט קמא קבע</w:t>
      </w:r>
      <w:r>
        <w:rPr>
          <w:rtl w:val="true"/>
        </w:rPr>
        <w:t xml:space="preserve">, </w:t>
      </w:r>
      <w:r>
        <w:rPr>
          <w:rtl w:val="true"/>
        </w:rPr>
        <w:t>כי אף אם מדובר ב</w:t>
      </w:r>
      <w:r>
        <w:rPr>
          <w:rtl w:val="true"/>
        </w:rPr>
        <w:t>"</w:t>
      </w:r>
      <w:r>
        <w:rPr>
          <w:rtl w:val="true"/>
        </w:rPr>
        <w:t>מחדלי חקירה</w:t>
      </w:r>
      <w:r>
        <w:rPr>
          <w:rtl w:val="true"/>
        </w:rPr>
        <w:t xml:space="preserve">",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>הרי שאלה אינם משמעותיים</w:t>
      </w:r>
      <w:r>
        <w:rPr>
          <w:rtl w:val="true"/>
        </w:rPr>
        <w:t xml:space="preserve">, </w:t>
      </w:r>
      <w:r>
        <w:rPr>
          <w:rtl w:val="true"/>
        </w:rPr>
        <w:t>שכן אין בהם כדי לקפח את הגנתו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במישור המשפטי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אופי פציעתם של המתלוננים עולה כדי </w:t>
      </w:r>
      <w:r>
        <w:rPr>
          <w:rtl w:val="true"/>
        </w:rPr>
        <w:t>"</w:t>
      </w:r>
      <w:r>
        <w:rPr>
          <w:rtl w:val="true"/>
        </w:rPr>
        <w:t>חבלה חמורה</w:t>
      </w:r>
      <w:r>
        <w:rPr>
          <w:rtl w:val="true"/>
        </w:rPr>
        <w:t xml:space="preserve">", </w:t>
      </w:r>
      <w:r>
        <w:rPr>
          <w:rtl w:val="true"/>
        </w:rPr>
        <w:t xml:space="preserve">כהגדרת מושג זה </w:t>
      </w:r>
      <w:hyperlink r:id="rId1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עוד נמצא כי המערער חבר אל יתר התוקפים באופן העולה כדי ביצוע בצוותא</w:t>
      </w:r>
      <w:r>
        <w:rPr>
          <w:rtl w:val="true"/>
        </w:rPr>
        <w:t xml:space="preserve">. </w:t>
      </w:r>
      <w:r>
        <w:rPr>
          <w:rtl w:val="true"/>
        </w:rPr>
        <w:t>בית משפט קמא עמד על כך שכל אחד מבני החבורה נטל חלק בתקיפה</w:t>
      </w:r>
      <w:r>
        <w:rPr>
          <w:rtl w:val="true"/>
        </w:rPr>
        <w:t xml:space="preserve">, </w:t>
      </w:r>
      <w:r>
        <w:rPr>
          <w:rtl w:val="true"/>
        </w:rPr>
        <w:t>אף אם המערער עצמו לא גרם לחבלות כולן</w:t>
      </w:r>
      <w:r>
        <w:rPr>
          <w:rtl w:val="true"/>
        </w:rPr>
        <w:t xml:space="preserve">, </w:t>
      </w:r>
      <w:r>
        <w:rPr>
          <w:rtl w:val="true"/>
        </w:rPr>
        <w:t>ולא הוא שתקף באמצעות אגרופן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המפורט לעיל</w:t>
      </w:r>
      <w:r>
        <w:rPr>
          <w:rtl w:val="true"/>
        </w:rPr>
        <w:t xml:space="preserve">, </w:t>
      </w:r>
      <w:r>
        <w:rPr>
          <w:rtl w:val="true"/>
        </w:rPr>
        <w:t>פסק בית משפט קמא כי המכלול הראייתי מצביע על אשמת המערער</w:t>
      </w:r>
      <w:r>
        <w:rPr>
          <w:rtl w:val="true"/>
        </w:rPr>
        <w:t xml:space="preserve">; </w:t>
      </w:r>
      <w:r>
        <w:rPr>
          <w:rtl w:val="true"/>
        </w:rPr>
        <w:t>וכי מארג הראיות מלמד שאין לקבל את גרסתו לאופן קרות האירועים</w:t>
      </w:r>
      <w:r>
        <w:rPr>
          <w:rtl w:val="true"/>
        </w:rPr>
        <w:t xml:space="preserve">. </w:t>
      </w:r>
      <w:r>
        <w:rPr>
          <w:rtl w:val="true"/>
        </w:rPr>
        <w:t>על סמך האמור</w:t>
      </w:r>
      <w:r>
        <w:rPr>
          <w:rtl w:val="true"/>
        </w:rPr>
        <w:t xml:space="preserve">, </w:t>
      </w:r>
      <w:r>
        <w:rPr>
          <w:rtl w:val="true"/>
        </w:rPr>
        <w:t>הרשיע בית משפט קמא את המערער בעבירות אשר יוחסו לו בכתב 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עמד בית משפט קמא על פגיעת המערער בערכים המוגנים של שלמות הגוף</w:t>
      </w:r>
      <w:r>
        <w:rPr>
          <w:rtl w:val="true"/>
        </w:rPr>
        <w:t xml:space="preserve">, </w:t>
      </w:r>
      <w:r>
        <w:rPr>
          <w:rtl w:val="true"/>
        </w:rPr>
        <w:t>שלום הציבור ובטחונו</w:t>
      </w:r>
      <w:r>
        <w:rPr>
          <w:rtl w:val="true"/>
        </w:rPr>
        <w:t xml:space="preserve">; </w:t>
      </w:r>
      <w:r>
        <w:rPr>
          <w:rtl w:val="true"/>
        </w:rPr>
        <w:t xml:space="preserve">תיאר את נסיבות ביצוע העבירות החמורות </w:t>
      </w:r>
      <w:r>
        <w:rPr>
          <w:rtl w:val="true"/>
        </w:rPr>
        <w:t>–</w:t>
      </w:r>
      <w:r>
        <w:rPr>
          <w:rtl w:val="true"/>
        </w:rPr>
        <w:t xml:space="preserve"> תקיפה אלימה של המתלוננים תוך גרימת נזקי גוף</w:t>
      </w:r>
      <w:r>
        <w:rPr>
          <w:rtl w:val="true"/>
        </w:rPr>
        <w:t xml:space="preserve">; </w:t>
      </w:r>
      <w:r>
        <w:rPr>
          <w:rtl w:val="true"/>
        </w:rPr>
        <w:t>וכן בחן את מדיניות הענישה הנוהגת ביחס לעבירות אלו</w:t>
      </w:r>
      <w:r>
        <w:rPr>
          <w:rtl w:val="true"/>
        </w:rPr>
        <w:t xml:space="preserve">. </w:t>
      </w:r>
      <w:r>
        <w:rPr>
          <w:rtl w:val="true"/>
        </w:rPr>
        <w:t>לאחר ששקל את כל אלה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משפט קמא את מתחם הענישה על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פנה בית משפט קמא לגזור את עונשו של המערער בתוך המתחם שקבע</w:t>
      </w:r>
      <w:r>
        <w:rPr>
          <w:rtl w:val="true"/>
        </w:rPr>
        <w:t xml:space="preserve">. </w:t>
      </w:r>
      <w:r>
        <w:rPr>
          <w:rtl w:val="true"/>
        </w:rPr>
        <w:t>כשיקולים לקולה</w:t>
      </w:r>
      <w:r>
        <w:rPr>
          <w:rtl w:val="true"/>
        </w:rPr>
        <w:t xml:space="preserve">, </w:t>
      </w:r>
      <w:r>
        <w:rPr>
          <w:rtl w:val="true"/>
        </w:rPr>
        <w:t>מנה את היעדרן של הרשעות קודמות למערער</w:t>
      </w:r>
      <w:r>
        <w:rPr>
          <w:rtl w:val="true"/>
        </w:rPr>
        <w:t xml:space="preserve">; </w:t>
      </w:r>
      <w:r>
        <w:rPr>
          <w:rtl w:val="true"/>
        </w:rPr>
        <w:t>וכן את היותו אב לשלושה ילדים קטנים ומפרנס עיקרי של משפחתו</w:t>
      </w:r>
      <w:r>
        <w:rPr>
          <w:rtl w:val="true"/>
        </w:rPr>
        <w:t xml:space="preserve">. </w:t>
      </w:r>
      <w:r>
        <w:rPr>
          <w:rtl w:val="true"/>
        </w:rPr>
        <w:t>כשיקול לחומרה</w:t>
      </w:r>
      <w:r>
        <w:rPr>
          <w:rtl w:val="true"/>
        </w:rPr>
        <w:t xml:space="preserve">, </w:t>
      </w:r>
      <w:r>
        <w:rPr>
          <w:rtl w:val="true"/>
        </w:rPr>
        <w:t>נתן בית משפט קמא דעתו לכך שהמערער לא הביע חרטה כלשהי על מעשיו</w:t>
      </w:r>
      <w:r>
        <w:rPr>
          <w:rtl w:val="true"/>
        </w:rPr>
        <w:t xml:space="preserve">. </w:t>
      </w:r>
      <w:r>
        <w:rPr>
          <w:rtl w:val="true"/>
        </w:rPr>
        <w:t>לאחר שאיזן בין שיקולים אלה</w:t>
      </w:r>
      <w:r>
        <w:rPr>
          <w:rtl w:val="true"/>
        </w:rPr>
        <w:t xml:space="preserve">, </w:t>
      </w:r>
      <w:r>
        <w:rPr>
          <w:rtl w:val="true"/>
        </w:rPr>
        <w:t>נקבע עונשו של המערער כמפורט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19.3.2017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בערעורו </w:t>
      </w:r>
      <w:r>
        <w:rPr>
          <w:rFonts w:ascii="Times New Roman" w:hAnsi="Times New Roman" w:cs="Times New Roman"/>
          <w:sz w:val="22"/>
          <w:sz w:val="22"/>
          <w:rtl w:val="true"/>
        </w:rPr>
        <w:t>על הכרעת הדין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משיג</w:t>
      </w:r>
      <w:r>
        <w:rPr>
          <w:rtl w:val="true"/>
        </w:rPr>
        <w:t xml:space="preserve"> המערער על ממצאי העובדה והמהימנות שאותם קבע בית משפט קמא</w:t>
      </w:r>
      <w:r>
        <w:rPr>
          <w:rtl w:val="true"/>
        </w:rPr>
        <w:t xml:space="preserve">, </w:t>
      </w:r>
      <w:r>
        <w:rPr>
          <w:rtl w:val="true"/>
        </w:rPr>
        <w:t>וכן על קביעתו בדבר אחריותו כמבצע בצוותא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cs="Miriam"/>
          <w:spacing w:val="0"/>
          <w:sz w:val="28"/>
          <w:sz w:val="28"/>
          <w:szCs w:val="24"/>
          <w:rtl w:val="true"/>
        </w:rPr>
        <w:t>ממצאי</w:t>
      </w:r>
      <w:r>
        <w:rPr>
          <w:rFonts w:eastAsia="Garamond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העובדה</w:t>
      </w:r>
      <w:r>
        <w:rPr>
          <w:rFonts w:eastAsia="Garamond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והמהימנות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המערער טוען כי בית משפט קמא לא התייחס באופן פרטני לעדויות המתארות את אירוע התקיפה</w:t>
      </w:r>
      <w:r>
        <w:rPr>
          <w:rtl w:val="true"/>
        </w:rPr>
        <w:t xml:space="preserve">, </w:t>
      </w:r>
      <w:r>
        <w:rPr>
          <w:rtl w:val="true"/>
        </w:rPr>
        <w:t>ולא בחן את סדר האירועים כהווייתם</w:t>
      </w:r>
      <w:r>
        <w:rPr>
          <w:rtl w:val="true"/>
        </w:rPr>
        <w:t xml:space="preserve">. </w:t>
      </w:r>
      <w:r>
        <w:rPr>
          <w:rtl w:val="true"/>
        </w:rPr>
        <w:t>המערער סבור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כי על בית משפט זה לבחון </w:t>
      </w:r>
      <w:r>
        <w:rPr>
          <w:rtl w:val="true"/>
        </w:rPr>
        <w:t>"</w:t>
      </w:r>
      <w:r>
        <w:rPr>
          <w:rtl w:val="true"/>
        </w:rPr>
        <w:t>בחינה קונקרטית</w:t>
      </w:r>
      <w:r>
        <w:rPr>
          <w:rtl w:val="true"/>
        </w:rPr>
        <w:t xml:space="preserve">" </w:t>
      </w:r>
      <w:r>
        <w:rPr>
          <w:rtl w:val="true"/>
        </w:rPr>
        <w:t>את ממצאי העובדה והמהימנות שאותם קבע בית משפט 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גורס המערער כי שגה בית משפט קמא משלא ייחס משקל משמעותי לפגמים שנפלו בגרסאות המתלוננים בהודעותיהם במשטרה</w:t>
      </w:r>
      <w:r>
        <w:rPr>
          <w:rtl w:val="true"/>
        </w:rPr>
        <w:t xml:space="preserve">, </w:t>
      </w:r>
      <w:r>
        <w:rPr>
          <w:rtl w:val="true"/>
        </w:rPr>
        <w:t>ובהם אי</w:t>
      </w:r>
      <w:r>
        <w:rPr>
          <w:rtl w:val="true"/>
        </w:rPr>
        <w:t>-</w:t>
      </w:r>
      <w:r>
        <w:rPr>
          <w:rtl w:val="true"/>
        </w:rPr>
        <w:t>יכולתם לנקוב במספר המעורבים המדויק שנטל חלק בקטטה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דיוקים שנפלו בגרסאותיהם ביחס למספר הצמיגים הנוספים שביקש המערער להעמיס על משאיתם</w:t>
      </w:r>
      <w:r>
        <w:rPr>
          <w:rtl w:val="true"/>
        </w:rPr>
        <w:t xml:space="preserve">; </w:t>
      </w:r>
      <w:r>
        <w:rPr>
          <w:rtl w:val="true"/>
        </w:rPr>
        <w:t xml:space="preserve">תיאור מקום הכאתו של פאדי </w:t>
      </w:r>
      <w:r>
        <w:rPr>
          <w:rtl w:val="true"/>
        </w:rPr>
        <w:t>–</w:t>
      </w:r>
      <w:r>
        <w:rPr>
          <w:rtl w:val="true"/>
        </w:rPr>
        <w:t xml:space="preserve"> אם בסמוך למשאית או בתוכה</w:t>
      </w:r>
      <w:r>
        <w:rPr>
          <w:rtl w:val="true"/>
        </w:rPr>
        <w:t xml:space="preserve">; </w:t>
      </w:r>
      <w:r>
        <w:rPr>
          <w:rtl w:val="true"/>
        </w:rPr>
        <w:t>והאפשרות כי המערער הוא שביצע את התקיפה באמצעות אגרופן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עוד הצביע המערער על </w:t>
      </w:r>
      <w:r>
        <w:rPr>
          <w:rtl w:val="true"/>
        </w:rPr>
        <w:t>"</w:t>
      </w:r>
      <w:r>
        <w:rPr>
          <w:rtl w:val="true"/>
        </w:rPr>
        <w:t>סתירות ותמיהות מהותיות שלא זכו להתייחסות בהכרעת הדין</w:t>
      </w:r>
      <w:r>
        <w:rPr>
          <w:rtl w:val="true"/>
        </w:rPr>
        <w:t xml:space="preserve">",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ביחס לטענתו של פאדי</w:t>
      </w:r>
      <w:r>
        <w:rPr>
          <w:rtl w:val="true"/>
        </w:rPr>
        <w:t xml:space="preserve">, </w:t>
      </w:r>
      <w:r>
        <w:rPr>
          <w:rtl w:val="true"/>
        </w:rPr>
        <w:t>לפיה הוכה ב</w:t>
      </w:r>
      <w:r>
        <w:rPr>
          <w:rtl w:val="true"/>
        </w:rPr>
        <w:t>"</w:t>
      </w:r>
      <w:r>
        <w:rPr>
          <w:rtl w:val="true"/>
        </w:rPr>
        <w:t>מוט ברזל</w:t>
      </w:r>
      <w:r>
        <w:rPr>
          <w:rtl w:val="true"/>
        </w:rPr>
        <w:t xml:space="preserve">", </w:t>
      </w:r>
      <w:r>
        <w:rPr>
          <w:rtl w:val="true"/>
        </w:rPr>
        <w:t>ממנה נסוג בהודעה מאוחרת שמסר באותו יום</w:t>
      </w:r>
      <w:r>
        <w:rPr>
          <w:rtl w:val="true"/>
        </w:rPr>
        <w:t xml:space="preserve">, </w:t>
      </w:r>
      <w:r>
        <w:rPr>
          <w:rtl w:val="true"/>
        </w:rPr>
        <w:t>בציינו כי אינו זוכר במדויק את פרטי האירוע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שב המערער וטוען למחדלי חקירה שונים</w:t>
      </w:r>
      <w:r>
        <w:rPr>
          <w:rtl w:val="true"/>
        </w:rPr>
        <w:t xml:space="preserve">, </w:t>
      </w:r>
      <w:r>
        <w:rPr>
          <w:rtl w:val="true"/>
        </w:rPr>
        <w:t>ובכללם אי</w:t>
      </w:r>
      <w:r>
        <w:rPr>
          <w:rtl w:val="true"/>
        </w:rPr>
        <w:t>-</w:t>
      </w:r>
      <w:r>
        <w:rPr>
          <w:rtl w:val="true"/>
        </w:rPr>
        <w:t>עריכת שחזור לאירוע שבמוקד כתב האישום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מציאת ראיה אובייקטיבי</w:t>
      </w:r>
      <w:r>
        <w:rPr>
          <w:rtl w:val="true"/>
        </w:rPr>
        <w:t>ת</w:t>
      </w:r>
      <w:r>
        <w:rPr>
          <w:rtl w:val="true"/>
        </w:rPr>
        <w:t xml:space="preserve"> לקיומו של האגרופן בו נתקפו המתלוננים</w:t>
      </w:r>
      <w:r>
        <w:rPr>
          <w:rtl w:val="true"/>
        </w:rPr>
        <w:t xml:space="preserve">;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חקירתם של מעורבים שונים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</w:t>
      </w:r>
      <w:r>
        <w:rPr>
          <w:rtl w:val="true"/>
        </w:rPr>
        <w:t>"</w:t>
      </w:r>
      <w:r>
        <w:rPr>
          <w:rtl w:val="true"/>
        </w:rPr>
        <w:t>הסכם הסולחה</w:t>
      </w:r>
      <w:r>
        <w:rPr>
          <w:rtl w:val="true"/>
        </w:rPr>
        <w:t xml:space="preserve">" </w:t>
      </w:r>
      <w:r>
        <w:rPr>
          <w:rtl w:val="true"/>
        </w:rPr>
        <w:t>שהוצג בפני בית משפט קמא</w:t>
      </w:r>
      <w:r>
        <w:rPr>
          <w:rtl w:val="true"/>
        </w:rPr>
        <w:t xml:space="preserve">, </w:t>
      </w:r>
      <w:r>
        <w:rPr>
          <w:rtl w:val="true"/>
        </w:rPr>
        <w:t>טוען המערער כי אין לייחס למסמך זה משמעות כלשהי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המתלונן אחמד</w:t>
      </w:r>
      <w:r>
        <w:rPr>
          <w:rtl w:val="true"/>
        </w:rPr>
        <w:t xml:space="preserve">, </w:t>
      </w:r>
      <w:r>
        <w:rPr>
          <w:rtl w:val="true"/>
        </w:rPr>
        <w:t>אשר העיד על תוכנו של המסמך ונסיבות כריתתו</w:t>
      </w:r>
      <w:r>
        <w:rPr>
          <w:rtl w:val="true"/>
        </w:rPr>
        <w:t xml:space="preserve">, </w:t>
      </w:r>
      <w:r>
        <w:rPr>
          <w:rtl w:val="true"/>
        </w:rPr>
        <w:t>נתפס ב</w:t>
      </w:r>
      <w:r>
        <w:rPr>
          <w:rtl w:val="true"/>
        </w:rPr>
        <w:t>"</w:t>
      </w:r>
      <w:r>
        <w:rPr>
          <w:rtl w:val="true"/>
        </w:rPr>
        <w:t>עדות שקר</w:t>
      </w:r>
      <w:r>
        <w:rPr>
          <w:rtl w:val="true"/>
        </w:rPr>
        <w:t xml:space="preserve">" </w:t>
      </w:r>
      <w:r>
        <w:rPr>
          <w:rtl w:val="true"/>
        </w:rPr>
        <w:t>בפרטים שונים שמסר בעניין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פגמים אלה</w:t>
      </w:r>
      <w:r>
        <w:rPr>
          <w:rtl w:val="true"/>
        </w:rPr>
        <w:t xml:space="preserve">, </w:t>
      </w:r>
      <w:r>
        <w:rPr>
          <w:rtl w:val="true"/>
        </w:rPr>
        <w:t>סבור המערער כי שגה בית משפט קמא בהעדיפו את גרסת המתלוננים על פני זו שלו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גרסתו באשר לנסיבות תקיפת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שעיקרה כי </w:t>
      </w:r>
      <w:r>
        <w:rPr>
          <w:rtl w:val="true"/>
        </w:rPr>
        <w:t>"</w:t>
      </w:r>
      <w:r>
        <w:rPr>
          <w:rtl w:val="true"/>
        </w:rPr>
        <w:t>בלהט הויכוח בינו לבין המתלוננים הגיעו למקום כעשרה אלמונים</w:t>
      </w:r>
      <w:r>
        <w:rPr>
          <w:rtl w:val="true"/>
        </w:rPr>
        <w:t xml:space="preserve">, </w:t>
      </w:r>
      <w:r>
        <w:rPr>
          <w:rtl w:val="true"/>
        </w:rPr>
        <w:t>והחלו בהכאת המתלוננים</w:t>
      </w:r>
      <w:r>
        <w:rPr>
          <w:rtl w:val="true"/>
        </w:rPr>
        <w:t xml:space="preserve">", </w:t>
      </w:r>
      <w:r>
        <w:rPr>
          <w:rtl w:val="true"/>
        </w:rPr>
        <w:t xml:space="preserve">היא גרסה </w:t>
      </w:r>
      <w:r>
        <w:rPr>
          <w:rtl w:val="true"/>
        </w:rPr>
        <w:t>"</w:t>
      </w:r>
      <w:r>
        <w:rPr>
          <w:rtl w:val="true"/>
        </w:rPr>
        <w:t>סבירה ומוכחת</w:t>
      </w:r>
      <w:r>
        <w:rPr>
          <w:rtl w:val="true"/>
        </w:rPr>
        <w:t xml:space="preserve">" </w:t>
      </w:r>
      <w:r>
        <w:rPr>
          <w:rtl w:val="true"/>
        </w:rPr>
        <w:t>הנתמכת בחומר הראיות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כמבצע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בצוותא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עוד טוען המערער כי שגה בית משפט קמא בהרשיעו בביצוע בצוותא של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שעה שלא הוכח כי </w:t>
      </w:r>
      <w:r>
        <w:rPr>
          <w:rtl w:val="true"/>
        </w:rPr>
        <w:t>"</w:t>
      </w:r>
      <w:r>
        <w:rPr>
          <w:rtl w:val="true"/>
        </w:rPr>
        <w:t>חבר למזימה עבריינית</w:t>
      </w:r>
      <w:r>
        <w:rPr>
          <w:rtl w:val="true"/>
        </w:rPr>
        <w:t xml:space="preserve">" </w:t>
      </w:r>
      <w:r>
        <w:rPr>
          <w:rtl w:val="true"/>
        </w:rPr>
        <w:t>יחד עם יתר התוקפים</w:t>
      </w:r>
      <w:r>
        <w:rPr>
          <w:rtl w:val="true"/>
        </w:rPr>
        <w:t xml:space="preserve">, </w:t>
      </w:r>
      <w:r>
        <w:rPr>
          <w:rtl w:val="true"/>
        </w:rPr>
        <w:t xml:space="preserve">או כי היה מודע </w:t>
      </w:r>
      <w:r>
        <w:rPr>
          <w:rtl w:val="true"/>
        </w:rPr>
        <w:t>"</w:t>
      </w:r>
      <w:r>
        <w:rPr>
          <w:rtl w:val="true"/>
        </w:rPr>
        <w:t>לקיום אגרופן בידי אחר והשימוש בו על ידי אחר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לחלופין לערעורו על הרשעתו</w:t>
      </w:r>
      <w:r>
        <w:rPr>
          <w:rtl w:val="true"/>
        </w:rPr>
        <w:t xml:space="preserve">, </w:t>
      </w:r>
      <w:r>
        <w:rPr>
          <w:rtl w:val="true"/>
        </w:rPr>
        <w:t>סבור המערער כי בית משפט קמא החמיר עימו יתר על המידה בקביעת עונשו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נפלה שגגה מלפני בית משפט קמא בהטילו עליו עונש חמור מזה שהוטל על דודו</w:t>
      </w:r>
      <w:r>
        <w:rPr>
          <w:rtl w:val="true"/>
        </w:rPr>
        <w:t xml:space="preserve">, </w:t>
      </w:r>
      <w:r>
        <w:rPr>
          <w:rtl w:val="true"/>
        </w:rPr>
        <w:t>אשר היה שותף לקטטה אך לא נידון לעונש מאסר בפועל</w:t>
      </w:r>
      <w:r>
        <w:rPr>
          <w:rtl w:val="true"/>
        </w:rPr>
        <w:t xml:space="preserve">, </w:t>
      </w:r>
      <w:r>
        <w:rPr>
          <w:rtl w:val="true"/>
        </w:rPr>
        <w:t>אלא למאסר על תנאי בלבד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אין לחייבו בתשלום פיצויים למתלוננים</w:t>
      </w:r>
      <w:r>
        <w:rPr>
          <w:rtl w:val="true"/>
        </w:rPr>
        <w:t xml:space="preserve">, </w:t>
      </w:r>
      <w:r>
        <w:rPr>
          <w:rtl w:val="true"/>
        </w:rPr>
        <w:t>שכן לא נגרם להם נזק כלשהו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סומכת ידיה על מסקנות בית משפט קמא בדבר מעורבות המערער בביצוע העבירות</w:t>
      </w:r>
      <w:r>
        <w:rPr>
          <w:rtl w:val="true"/>
        </w:rPr>
        <w:t xml:space="preserve">, </w:t>
      </w:r>
      <w:r>
        <w:rPr>
          <w:rtl w:val="true"/>
        </w:rPr>
        <w:t>בהדגישה כי טענותיו מכוונת נגד ממצאי עובדה ומהימנות ברורים שאותם קבע בית משפט קמא</w:t>
      </w:r>
      <w:r>
        <w:rPr>
          <w:rtl w:val="true"/>
        </w:rPr>
        <w:t xml:space="preserve">, </w:t>
      </w:r>
      <w:r>
        <w:rPr>
          <w:rtl w:val="true"/>
        </w:rPr>
        <w:t>אשר אין כל מקום להתערב בהם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לערעור על חומרת העונש</w:t>
      </w:r>
      <w:r>
        <w:rPr>
          <w:rtl w:val="true"/>
        </w:rPr>
        <w:t xml:space="preserve">, </w:t>
      </w:r>
      <w:r>
        <w:rPr>
          <w:rtl w:val="true"/>
        </w:rPr>
        <w:t>דוחה המשיבה את טענות המערער לפגמים שנפלו בקביעת מתחם הענישה ובגזירת העונש בתוכו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 xml:space="preserve">עונש המאסר שהוטל על המערער </w:t>
      </w:r>
      <w:r>
        <w:rPr>
          <w:rtl w:val="true"/>
        </w:rPr>
        <w:t>"</w:t>
      </w:r>
      <w:r>
        <w:rPr>
          <w:rtl w:val="true"/>
        </w:rPr>
        <w:t>נוטה לקולא</w:t>
      </w:r>
      <w:r>
        <w:rPr>
          <w:rtl w:val="true"/>
        </w:rPr>
        <w:t xml:space="preserve">", </w:t>
      </w:r>
      <w:r>
        <w:rPr>
          <w:rtl w:val="true"/>
        </w:rPr>
        <w:t>ואין כל מקום להתערב במסקנות בית משפט קמא אף במישור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אקדים ואציין כי לאחר שמיעת טענות הצדדים ועיון בערעור ובתגובה לו</w:t>
      </w:r>
      <w:r>
        <w:rPr>
          <w:rtl w:val="true"/>
        </w:rPr>
        <w:t xml:space="preserve">, </w:t>
      </w:r>
      <w:r>
        <w:rPr>
          <w:rtl w:val="true"/>
        </w:rPr>
        <w:t>באתי לכלל מסקנה כי בדין הורשע המערער בעבירות המפורטות בכתב האישום</w:t>
      </w:r>
      <w:r>
        <w:rPr>
          <w:rtl w:val="true"/>
        </w:rPr>
        <w:t xml:space="preserve">, </w:t>
      </w:r>
      <w:r>
        <w:rPr>
          <w:rtl w:val="true"/>
        </w:rPr>
        <w:t>וכי אין מקום להתערב בעונש שהושת עליו בשל כך</w:t>
      </w:r>
      <w:r>
        <w:rPr>
          <w:rtl w:val="true"/>
        </w:rPr>
        <w:t xml:space="preserve">. </w:t>
      </w:r>
      <w:r>
        <w:rPr>
          <w:rtl w:val="true"/>
        </w:rPr>
        <w:t>אעמוד להלן על נימוקיי למסקנה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ביסס בית משפט קמא את הכרעת דינו על עדויותיהם של המתלוננים</w:t>
      </w:r>
      <w:r>
        <w:rPr>
          <w:rtl w:val="true"/>
        </w:rPr>
        <w:t xml:space="preserve">, </w:t>
      </w:r>
      <w:r>
        <w:rPr>
          <w:rtl w:val="true"/>
        </w:rPr>
        <w:t>תוך שהעדיף את גרסתם של אלה על</w:t>
      </w:r>
      <w:r>
        <w:rPr>
          <w:rtl w:val="true"/>
        </w:rPr>
        <w:t>-</w:t>
      </w:r>
      <w:r>
        <w:rPr>
          <w:rtl w:val="true"/>
        </w:rPr>
        <w:t>פני גרסת המערער</w:t>
      </w:r>
      <w:r>
        <w:rPr>
          <w:rtl w:val="true"/>
        </w:rPr>
        <w:t xml:space="preserve">, </w:t>
      </w:r>
      <w:r>
        <w:rPr>
          <w:rtl w:val="true"/>
        </w:rPr>
        <w:t>ולאחר שנמצאו ראיות התומכות בגרסתם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 היא כי לא בנקל יתערב בית המשפט שלערעור בקביעות מהימנות ובממצאי עובדה שנקבעו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ובפרט כאשר אלה מבוססות על הערכת עדויות שהובאו בפניו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/>
        <w:t>6295/05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פסקאות </w:t>
      </w:r>
      <w:r>
        <w:rPr>
          <w:rFonts w:cs="Times New Roman" w:ascii="Times New Roman" w:hAnsi="Times New Roman"/>
          <w:sz w:val="22"/>
        </w:rPr>
        <w:t>40-36</w:t>
      </w:r>
      <w:r>
        <w:rPr>
          <w:rtl w:val="true"/>
        </w:rPr>
        <w:t xml:space="preserve"> (</w:t>
      </w:r>
      <w:r>
        <w:rPr/>
        <w:t>25.1.2007</w:t>
      </w:r>
      <w:r>
        <w:rPr>
          <w:rtl w:val="true"/>
        </w:rPr>
        <w:t xml:space="preserve">)). </w:t>
      </w:r>
      <w:r>
        <w:rPr>
          <w:rtl w:val="true"/>
        </w:rPr>
        <w:t>לאחר בחינת טענות הצדדים</w:t>
      </w:r>
      <w:r>
        <w:rPr>
          <w:rtl w:val="true"/>
        </w:rPr>
        <w:t xml:space="preserve">, </w:t>
      </w:r>
      <w:r>
        <w:rPr>
          <w:rtl w:val="true"/>
        </w:rPr>
        <w:t>לא מצאתי מקום לסטות מכלל זה במקרה שלפנינו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לא נפל כל פגם בקביעותיו של בית משפט קמא בדבר מהימנות גרסת המתלוננים</w:t>
      </w:r>
      <w:r>
        <w:rPr>
          <w:rtl w:val="true"/>
        </w:rPr>
        <w:t xml:space="preserve">, </w:t>
      </w:r>
      <w:r>
        <w:rPr>
          <w:rtl w:val="true"/>
        </w:rPr>
        <w:t>וביחס להתרשמותו השלילית מגרסת המערער</w:t>
      </w:r>
      <w:r>
        <w:rPr>
          <w:rtl w:val="true"/>
        </w:rPr>
        <w:t xml:space="preserve">. </w:t>
      </w: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 xml:space="preserve">מצא בית משפט קמא את גרסת המתלוננים 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>מהימנה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חרף סתירות קלות שאינן יורדות לשורשו של הענין</w:t>
      </w:r>
      <w:r>
        <w:rPr>
          <w:rFonts w:cs="Times New Roman" w:ascii="Times New Roman" w:hAnsi="Times New Roman"/>
          <w:sz w:val="22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קביעה זו עוגנה בניתוח מפורט ומנומק של הודעות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וניתנה לאחר שמצא כי </w:t>
      </w:r>
      <w:r>
        <w:rPr>
          <w:rtl w:val="true"/>
        </w:rPr>
        <w:t>הפערים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גרסתם</w:t>
      </w:r>
      <w:r>
        <w:rPr>
          <w:rtl w:val="true"/>
        </w:rPr>
        <w:t xml:space="preserve"> </w:t>
      </w:r>
      <w:r>
        <w:rPr>
          <w:rtl w:val="true"/>
        </w:rPr>
        <w:t>בהודעותיהם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 </w:t>
      </w:r>
      <w:r>
        <w:rPr>
          <w:rtl w:val="true"/>
        </w:rPr>
        <w:t xml:space="preserve">לבין גרסתם </w:t>
      </w:r>
      <w:r>
        <w:rPr>
          <w:rtl w:val="true"/>
        </w:rPr>
        <w:t>בעדו</w:t>
      </w:r>
      <w:r>
        <w:rPr>
          <w:rtl w:val="true"/>
        </w:rPr>
        <w:t>יו</w:t>
      </w:r>
      <w:r>
        <w:rPr>
          <w:rtl w:val="true"/>
        </w:rPr>
        <w:t>ת</w:t>
      </w:r>
      <w:r>
        <w:rPr>
          <w:rtl w:val="true"/>
        </w:rPr>
        <w:t>יה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אינם משמעותיים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משבחנתי אף אני את חומר הראיות</w:t>
      </w:r>
      <w:r>
        <w:rPr>
          <w:rtl w:val="true"/>
        </w:rPr>
        <w:t xml:space="preserve">, </w:t>
      </w:r>
      <w:r>
        <w:rPr>
          <w:rtl w:val="true"/>
        </w:rPr>
        <w:t>שוכנעתי כי ליבת גרסת המתלוננים קוהרנטית</w:t>
      </w:r>
      <w:r>
        <w:rPr>
          <w:rtl w:val="true"/>
        </w:rPr>
        <w:t xml:space="preserve">, </w:t>
      </w:r>
      <w:r>
        <w:rPr>
          <w:rtl w:val="true"/>
        </w:rPr>
        <w:t>מגובשת ואחידה ביחס להשתלשלות התלת</w:t>
      </w:r>
      <w:r>
        <w:rPr>
          <w:rtl w:val="true"/>
        </w:rPr>
        <w:t>-</w:t>
      </w:r>
      <w:r>
        <w:rPr>
          <w:rtl w:val="true"/>
        </w:rPr>
        <w:t>שלבית של האירועים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העידו המתלוננים על עימות מילולי בינם לבין המערער בדבר צמיגים נוספים שאותם ביקש להעמיס על המשאית </w:t>
      </w:r>
      <w:r>
        <w:rPr>
          <w:rtl w:val="true"/>
        </w:rPr>
        <w:t>(</w:t>
      </w:r>
      <w:r>
        <w:rPr>
          <w:rtl w:val="true"/>
        </w:rPr>
        <w:t>בעובדות אלה הודה המערער בעדותו</w:t>
      </w:r>
      <w:r>
        <w:rPr>
          <w:rtl w:val="true"/>
        </w:rPr>
        <w:t xml:space="preserve">; 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>לפרוטוקול הדיון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גלש הוויכוח המילולי לעימות פיזי</w:t>
      </w:r>
      <w:r>
        <w:rPr>
          <w:rtl w:val="true"/>
        </w:rPr>
        <w:t xml:space="preserve">, </w:t>
      </w:r>
      <w:r>
        <w:rPr>
          <w:rtl w:val="true"/>
        </w:rPr>
        <w:t>בעוד המערער תוקף באלימות את המתלוננים ביחד עם אחרים</w:t>
      </w:r>
      <w:r>
        <w:rPr>
          <w:rtl w:val="true"/>
        </w:rPr>
        <w:t xml:space="preserve">, </w:t>
      </w:r>
      <w:r>
        <w:rPr>
          <w:rtl w:val="true"/>
        </w:rPr>
        <w:t>תוך שאחד מבני החבורה התוקפת מצויד באגרופן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דלק המערער אחר המתלוננים לאחר שהללו נמלטו מזירת הקטטה</w:t>
      </w:r>
      <w:r>
        <w:rPr>
          <w:rtl w:val="true"/>
        </w:rPr>
        <w:t xml:space="preserve">, </w:t>
      </w:r>
      <w:r>
        <w:rPr>
          <w:rtl w:val="true"/>
        </w:rPr>
        <w:t>ניסה לפתוח את דלת המשאית שעה שעצרו ברמזור</w:t>
      </w:r>
      <w:r>
        <w:rPr>
          <w:rtl w:val="true"/>
        </w:rPr>
        <w:t xml:space="preserve">, </w:t>
      </w:r>
      <w:r>
        <w:rPr>
          <w:rtl w:val="true"/>
        </w:rPr>
        <w:t>ואף עקב אחריהם עד לשער תחנת המשטרה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אף אם נפלו סתירות מסוימות באשר לפרטים משניים בגרסאות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הרי שקביעת בית משפט קמא כי אין לייחס לסתירות אלה משקל ממשי </w:t>
      </w:r>
      <w:r>
        <w:rPr>
          <w:rtl w:val="true"/>
        </w:rPr>
        <w:t>–</w:t>
      </w:r>
      <w:r>
        <w:rPr>
          <w:rtl w:val="true"/>
        </w:rPr>
        <w:t xml:space="preserve"> בדין יסודה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 אחת הדגיש בית משפט זה כי אין</w:t>
      </w:r>
      <w:r>
        <w:rPr>
          <w:rtl w:val="true"/>
        </w:rPr>
        <w:t xml:space="preserve"> </w:t>
      </w:r>
      <w:r>
        <w:rPr>
          <w:rtl w:val="true"/>
        </w:rPr>
        <w:t>לצפות</w:t>
      </w:r>
      <w:r>
        <w:rPr>
          <w:rtl w:val="true"/>
        </w:rPr>
        <w:t xml:space="preserve"> </w:t>
      </w:r>
      <w:r>
        <w:rPr>
          <w:rtl w:val="true"/>
        </w:rPr>
        <w:t>מאמרות</w:t>
      </w:r>
      <w:r>
        <w:rPr>
          <w:rtl w:val="true"/>
        </w:rPr>
        <w:t xml:space="preserve"> </w:t>
      </w:r>
      <w:r>
        <w:rPr>
          <w:rtl w:val="true"/>
        </w:rPr>
        <w:t>ועדויות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נפגעי עבירה </w:t>
      </w:r>
      <w:r>
        <w:rPr>
          <w:rtl w:val="true"/>
        </w:rPr>
        <w:t>ב</w:t>
      </w:r>
      <w:r>
        <w:rPr>
          <w:rtl w:val="true"/>
        </w:rPr>
        <w:t>קטטה מרובת משתתפים</w:t>
      </w:r>
      <w:r>
        <w:rPr>
          <w:rtl w:val="true"/>
        </w:rPr>
        <w:t xml:space="preserve">, </w:t>
      </w:r>
      <w:r>
        <w:rPr>
          <w:rtl w:val="true"/>
        </w:rPr>
        <w:t>שיביאו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 xml:space="preserve"> </w:t>
      </w:r>
      <w:r>
        <w:rPr>
          <w:rtl w:val="true"/>
        </w:rPr>
        <w:t>מארג</w:t>
      </w:r>
      <w:r>
        <w:rPr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חף</w:t>
      </w:r>
      <w:r>
        <w:rPr>
          <w:rtl w:val="true"/>
        </w:rPr>
        <w:t xml:space="preserve"> </w:t>
      </w:r>
      <w:r>
        <w:rPr>
          <w:rtl w:val="true"/>
        </w:rPr>
        <w:t>משגיאות</w:t>
      </w:r>
      <w:r>
        <w:rPr>
          <w:rtl w:val="true"/>
        </w:rPr>
        <w:t xml:space="preserve">. </w:t>
      </w:r>
      <w:r>
        <w:rPr>
          <w:rtl w:val="true"/>
        </w:rPr>
        <w:t>כך למשל קבע בעבר מ</w:t>
      </w:r>
      <w:r>
        <w:rPr>
          <w:rtl w:val="true"/>
        </w:rPr>
        <w:t>"</w:t>
      </w:r>
      <w:r>
        <w:rPr>
          <w:rtl w:val="true"/>
        </w:rPr>
        <w:t xml:space="preserve">מ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לנדוי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פרטיה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"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564/78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שחאדה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77</w:t>
      </w:r>
      <w:r>
        <w:rPr>
          <w:rtl w:val="true"/>
        </w:rPr>
        <w:t xml:space="preserve">, </w:t>
      </w:r>
      <w:r>
        <w:rPr/>
        <w:t>79</w:t>
      </w:r>
      <w:r>
        <w:rPr>
          <w:rtl w:val="true"/>
        </w:rPr>
        <w:t xml:space="preserve"> (</w:t>
      </w:r>
      <w:r>
        <w:rPr/>
        <w:t>1979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טוען המערער ל</w:t>
      </w:r>
      <w:r>
        <w:rPr>
          <w:rtl w:val="true"/>
        </w:rPr>
        <w:t>"</w:t>
      </w:r>
      <w:r>
        <w:rPr>
          <w:rtl w:val="true"/>
        </w:rPr>
        <w:t>סתירות ותמיהות מהותיות שלא זכו להתייחסות בהכרעת הדין</w:t>
      </w:r>
      <w:r>
        <w:rPr>
          <w:rtl w:val="true"/>
        </w:rPr>
        <w:t xml:space="preserve">", </w:t>
      </w:r>
      <w:r>
        <w:rPr>
          <w:rtl w:val="true"/>
        </w:rPr>
        <w:t>כדוגמת הכאתו של פאדי ב</w:t>
      </w:r>
      <w:r>
        <w:rPr>
          <w:rtl w:val="true"/>
        </w:rPr>
        <w:t>"</w:t>
      </w:r>
      <w:r>
        <w:rPr>
          <w:rtl w:val="true"/>
        </w:rPr>
        <w:t>מוט ברזל</w:t>
      </w:r>
      <w:r>
        <w:rPr>
          <w:rtl w:val="true"/>
        </w:rPr>
        <w:t xml:space="preserve">" </w:t>
      </w:r>
      <w:r>
        <w:rPr>
          <w:rtl w:val="true"/>
        </w:rPr>
        <w:t>וזהות התוקף שעשה שימוש באגרופן</w:t>
      </w:r>
      <w:r>
        <w:rPr>
          <w:rtl w:val="true"/>
        </w:rPr>
        <w:t xml:space="preserve">. </w:t>
      </w:r>
      <w:r>
        <w:rPr>
          <w:rtl w:val="true"/>
        </w:rPr>
        <w:t>לאחר עיון בהודעות המעורבים ובעדויותיהם בבית משפט קמא</w:t>
      </w:r>
      <w:r>
        <w:rPr>
          <w:rtl w:val="true"/>
        </w:rPr>
        <w:t xml:space="preserve">, </w:t>
      </w:r>
      <w:r>
        <w:rPr>
          <w:rtl w:val="true"/>
        </w:rPr>
        <w:t>אני סבור כי אין לראות ב</w:t>
      </w:r>
      <w:r>
        <w:rPr>
          <w:rtl w:val="true"/>
        </w:rPr>
        <w:t>"</w:t>
      </w:r>
      <w:r>
        <w:rPr>
          <w:rtl w:val="true"/>
        </w:rPr>
        <w:t>סתירות</w:t>
      </w:r>
      <w:r>
        <w:rPr>
          <w:rtl w:val="true"/>
        </w:rPr>
        <w:t xml:space="preserve">" </w:t>
      </w:r>
      <w:r>
        <w:rPr>
          <w:rtl w:val="true"/>
        </w:rPr>
        <w:t>אלה משום פגמים מהותיים בתשתית הראייתית</w:t>
      </w:r>
      <w:r>
        <w:rPr>
          <w:rtl w:val="true"/>
        </w:rPr>
        <w:t xml:space="preserve">, </w:t>
      </w:r>
      <w:r>
        <w:rPr>
          <w:rtl w:val="true"/>
        </w:rPr>
        <w:t>וכי אין בטענות המערער כדי לפגוע באמינות גרסתם של המתלוננים באשר לאופן התרחשות אירוע התקיפה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 מצאתי לייחס משקל של ממש לשינוי גרסתו של פאדי בעניין הכאתו במוט ברזל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בהודעתו השלישית במשטרה</w:t>
      </w:r>
      <w:r>
        <w:rPr>
          <w:rtl w:val="true"/>
        </w:rPr>
        <w:t xml:space="preserve">, </w:t>
      </w:r>
      <w:r>
        <w:rPr>
          <w:rtl w:val="true"/>
        </w:rPr>
        <w:t>אשר ניתנה מספר שעות לאחר האירוע</w:t>
      </w:r>
      <w:r>
        <w:rPr>
          <w:rtl w:val="true"/>
        </w:rPr>
        <w:t xml:space="preserve">, </w:t>
      </w:r>
      <w:r>
        <w:rPr>
          <w:rtl w:val="true"/>
        </w:rPr>
        <w:t>הסביר פאדי כי אומנם בתחילה טען שהוכה ב</w:t>
      </w:r>
      <w:r>
        <w:rPr>
          <w:rtl w:val="true"/>
        </w:rPr>
        <w:t>"</w:t>
      </w:r>
      <w:r>
        <w:rPr>
          <w:rtl w:val="true"/>
        </w:rPr>
        <w:t>מוט ברזל</w:t>
      </w:r>
      <w:r>
        <w:rPr>
          <w:rtl w:val="true"/>
        </w:rPr>
        <w:t xml:space="preserve">", </w:t>
      </w:r>
      <w:r>
        <w:rPr>
          <w:rtl w:val="true"/>
        </w:rPr>
        <w:t>אולם לאחר מכן ציין כי אינו משוכנע בכך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הפטיש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לאגרופן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הסברו של פאדי לשינויים בגרסתו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שעות ספורות בלבד לאחר קרות האירוע</w:t>
      </w:r>
      <w:r>
        <w:rPr>
          <w:rtl w:val="true"/>
        </w:rPr>
        <w:t xml:space="preserve">) </w:t>
      </w:r>
      <w:r>
        <w:rPr>
          <w:rtl w:val="true"/>
        </w:rPr>
        <w:t>עולה בקנה אחד עם מסקנתו של בית משפט קמא</w:t>
      </w:r>
      <w:r>
        <w:rPr>
          <w:rtl w:val="true"/>
        </w:rPr>
        <w:t xml:space="preserve">, </w:t>
      </w:r>
      <w:r>
        <w:rPr>
          <w:rtl w:val="true"/>
        </w:rPr>
        <w:t>לפיה בלהט האירועים המתוארים אין לצפות כי המעורבים אכן יזכרו את מכלול נסיבות התקיפה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אין בטענה זו כדי לקעקע את המסקנות שעליהן התבססה ההרשעה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מצאתי טעם להתערב גם בקביעות בית משפט קמא ביחס למשקלם של מחדלי החקירה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טוען המערער כי חוקרי המשטרה נמנעו מלחקור נהג אוטובוס שהיה מצוי בקרבת המשאית בעודה ממתינה ברמזור</w:t>
      </w:r>
      <w:r>
        <w:rPr>
          <w:rtl w:val="true"/>
        </w:rPr>
        <w:t xml:space="preserve">, </w:t>
      </w:r>
      <w:r>
        <w:rPr>
          <w:rtl w:val="true"/>
        </w:rPr>
        <w:t>וכי לא נערך תיעוד חזותי לחקירת המערער במשטרה</w:t>
      </w:r>
      <w:r>
        <w:rPr>
          <w:rtl w:val="true"/>
        </w:rPr>
        <w:t xml:space="preserve">. </w:t>
      </w:r>
      <w:r>
        <w:rPr>
          <w:rtl w:val="true"/>
        </w:rPr>
        <w:t>טענות אלה נבחנו לגופן בידי בית משפט קמא</w:t>
      </w:r>
      <w:r>
        <w:rPr>
          <w:rtl w:val="true"/>
        </w:rPr>
        <w:t xml:space="preserve">, </w:t>
      </w:r>
      <w:r>
        <w:rPr>
          <w:rtl w:val="true"/>
        </w:rPr>
        <w:t>אשר קבע כי נפקותם של המחדלים אינה ממשית ביחס למכלול הראייתי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מצא בית משפט קמא כי אין בהם כדי לעורר חשש משמעותי לפגיעה בהגנת המערער באופן שהקשה עליו להתמודד עם חומר הראיות נגדו</w:t>
      </w:r>
      <w:r>
        <w:rPr>
          <w:rtl w:val="true"/>
        </w:rPr>
        <w:t xml:space="preserve">. </w:t>
      </w:r>
      <w:r>
        <w:rPr>
          <w:rtl w:val="true"/>
        </w:rPr>
        <w:t>מסקנה זו מקובלת אף עליי</w:t>
      </w:r>
      <w:r>
        <w:rPr>
          <w:rtl w:val="true"/>
        </w:rPr>
        <w:t xml:space="preserve">, </w:t>
      </w:r>
      <w:r>
        <w:rPr>
          <w:rtl w:val="true"/>
        </w:rPr>
        <w:t xml:space="preserve">לנוכח ההלכה המושרשת שלפיה רשויות החקירה אינן מחויבות בהבאת </w:t>
      </w:r>
      <w:r>
        <w:rPr>
          <w:rtl w:val="true"/>
        </w:rPr>
        <w:t>"</w:t>
      </w:r>
      <w:r>
        <w:rPr>
          <w:rtl w:val="true"/>
        </w:rPr>
        <w:t>הראיה המקסימלית</w:t>
      </w:r>
      <w:r>
        <w:rPr>
          <w:rtl w:val="true"/>
        </w:rPr>
        <w:t xml:space="preserve">" </w:t>
      </w:r>
      <w:r>
        <w:rPr>
          <w:rtl w:val="true"/>
        </w:rPr>
        <w:t>לשם הרשעה</w:t>
      </w:r>
      <w:r>
        <w:rPr>
          <w:rtl w:val="true"/>
        </w:rPr>
        <w:t xml:space="preserve">, </w:t>
      </w:r>
      <w:r>
        <w:rPr>
          <w:rtl w:val="true"/>
        </w:rPr>
        <w:t xml:space="preserve">אלא די בקיומן של </w:t>
      </w:r>
      <w:r>
        <w:rPr>
          <w:rtl w:val="true"/>
        </w:rPr>
        <w:t>"</w:t>
      </w:r>
      <w:r>
        <w:rPr>
          <w:rtl w:val="true"/>
        </w:rPr>
        <w:t>ראיות מספקות</w:t>
      </w:r>
      <w:r>
        <w:rPr>
          <w:rtl w:val="true"/>
        </w:rPr>
        <w:t xml:space="preserve">", </w:t>
      </w:r>
      <w:r>
        <w:rPr>
          <w:rtl w:val="true"/>
        </w:rPr>
        <w:t xml:space="preserve">אשר בכוחן להוכיח את אשמת הנאשם מעבר לספק סביר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 xml:space="preserve">ראו </w:t>
      </w:r>
      <w:hyperlink r:id="rId2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9908/04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נסראלדין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22</w:t>
      </w:r>
      <w:r>
        <w:rPr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31.7.2006</w:t>
      </w:r>
      <w:r>
        <w:rPr>
          <w:sz w:val="28"/>
          <w:rtl w:val="true"/>
        </w:rPr>
        <w:t>)</w:t>
      </w:r>
      <w:r>
        <w:rPr>
          <w:sz w:val="28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למול התרשמותו של בית משפט קמא מעדות המתלוננים</w:t>
      </w:r>
      <w:r>
        <w:rPr>
          <w:rtl w:val="true"/>
        </w:rPr>
        <w:t xml:space="preserve">, </w:t>
      </w:r>
      <w:r>
        <w:rPr>
          <w:rtl w:val="true"/>
        </w:rPr>
        <w:t>ניצבת גרסת המערער לאירועים</w:t>
      </w:r>
      <w:r>
        <w:rPr>
          <w:rtl w:val="true"/>
        </w:rPr>
        <w:t xml:space="preserve">. </w:t>
      </w:r>
      <w:r>
        <w:rPr>
          <w:rtl w:val="true"/>
        </w:rPr>
        <w:t>אף בהיבט זה</w:t>
      </w:r>
      <w:r>
        <w:rPr>
          <w:rtl w:val="true"/>
        </w:rPr>
        <w:t xml:space="preserve">, </w:t>
      </w:r>
      <w:r>
        <w:rPr>
          <w:rtl w:val="true"/>
        </w:rPr>
        <w:t>לא מצאתי יסוד להתערב במסקנת בית משפט קמא</w:t>
      </w:r>
      <w:r>
        <w:rPr>
          <w:rtl w:val="true"/>
        </w:rPr>
        <w:t xml:space="preserve">, </w:t>
      </w:r>
      <w:r>
        <w:rPr>
          <w:rtl w:val="true"/>
        </w:rPr>
        <w:t>לפיה גרסתו של המערער נמצאה בעייתית</w:t>
      </w:r>
      <w:r>
        <w:rPr>
          <w:rtl w:val="true"/>
        </w:rPr>
        <w:t xml:space="preserve">, </w:t>
      </w:r>
      <w:r>
        <w:rPr>
          <w:rtl w:val="true"/>
        </w:rPr>
        <w:t>בלתי אמינה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וככזאת ש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>אינה מתיישבת עם הגיון ושכל ישר</w:t>
      </w:r>
      <w:r>
        <w:rPr>
          <w:rFonts w:cs="Times New Roman" w:ascii="Times New Roman" w:hAnsi="Times New Roman"/>
          <w:sz w:val="22"/>
          <w:rtl w:val="true"/>
        </w:rPr>
        <w:t xml:space="preserve">", </w:t>
      </w:r>
      <w:r>
        <w:rPr>
          <w:rFonts w:ascii="Times New Roman" w:hAnsi="Times New Roman" w:cs="Times New Roman"/>
          <w:sz w:val="22"/>
          <w:sz w:val="22"/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גרסת המערער לקרות האירועים</w:t>
      </w:r>
      <w:r>
        <w:rPr>
          <w:rtl w:val="true"/>
        </w:rPr>
        <w:t xml:space="preserve">, </w:t>
      </w:r>
      <w:r>
        <w:rPr>
          <w:rtl w:val="true"/>
        </w:rPr>
        <w:t xml:space="preserve">לפיה ביקש </w:t>
      </w:r>
      <w:r>
        <w:rPr>
          <w:rtl w:val="true"/>
        </w:rPr>
        <w:t>"</w:t>
      </w:r>
      <w:r>
        <w:rPr>
          <w:rtl w:val="true"/>
        </w:rPr>
        <w:t>בטוב ליבו</w:t>
      </w:r>
      <w:r>
        <w:rPr>
          <w:rtl w:val="true"/>
        </w:rPr>
        <w:t xml:space="preserve">" </w:t>
      </w:r>
      <w:r>
        <w:rPr>
          <w:rtl w:val="true"/>
        </w:rPr>
        <w:t>לסייע למתלוננים ולהרחיקם ממוקד התגרה</w:t>
      </w:r>
      <w:r>
        <w:rPr>
          <w:rtl w:val="true"/>
        </w:rPr>
        <w:t xml:space="preserve">, </w:t>
      </w:r>
      <w:r>
        <w:rPr>
          <w:rtl w:val="true"/>
        </w:rPr>
        <w:t>אינה נתמכת בחומר הראיות שבתיק ואכן אינה מתיישבת עם היגיון הדברים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גרסה זו נסתרת על ידי דברי מאבטחי תחנת המשטרה</w:t>
      </w:r>
      <w:r>
        <w:rPr>
          <w:rtl w:val="true"/>
        </w:rPr>
        <w:t xml:space="preserve">, </w:t>
      </w:r>
      <w:r>
        <w:rPr>
          <w:rtl w:val="true"/>
        </w:rPr>
        <w:t>אשר העידו על התנהגותו האלימה עם הגעת המתלוננים לתחנה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כמבואר לעיל</w:t>
      </w:r>
      <w:r>
        <w:rPr>
          <w:rtl w:val="true"/>
        </w:rPr>
        <w:t xml:space="preserve">, </w:t>
      </w:r>
      <w:r>
        <w:rPr>
          <w:rtl w:val="true"/>
        </w:rPr>
        <w:t>משיג המערער על כך שבית משפט קמא מצא חיזוק לראיות המשיבה בהסכם 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שנערך בין משפחתו לבין המתלוננים</w:t>
      </w:r>
      <w:r>
        <w:rPr>
          <w:rtl w:val="true"/>
        </w:rPr>
        <w:t xml:space="preserve">. </w:t>
      </w:r>
      <w:r>
        <w:rPr>
          <w:rtl w:val="true"/>
        </w:rPr>
        <w:t>אין לכחד כי טענה זו נושאת משקל של ממש</w:t>
      </w:r>
      <w:r>
        <w:rPr>
          <w:rtl w:val="true"/>
        </w:rPr>
        <w:t xml:space="preserve">, </w:t>
      </w:r>
      <w:r>
        <w:rPr>
          <w:rtl w:val="true"/>
        </w:rPr>
        <w:t>במישור העקרוני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יש לנקוט משנה זהירות טרם שנפנה לראות בהסכם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כראיית חיזוק לחובתו של נאשם בהליך הפלילי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הסכמי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הנערכים לא אחת בין משפחות המתלונן או נפגע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לבין משפחת הנאשם </w:t>
      </w:r>
      <w:r>
        <w:rPr>
          <w:rtl w:val="true"/>
        </w:rPr>
        <w:t>–</w:t>
      </w:r>
      <w:r>
        <w:rPr>
          <w:rtl w:val="true"/>
        </w:rPr>
        <w:t xml:space="preserve"> נעשים לעיתים שלא בידיעתו או על דעתו</w:t>
      </w:r>
      <w:r>
        <w:rPr>
          <w:rtl w:val="true"/>
        </w:rPr>
        <w:t xml:space="preserve">, </w:t>
      </w:r>
      <w:r>
        <w:rPr>
          <w:rtl w:val="true"/>
        </w:rPr>
        <w:t>ומערבים שיקולים שונים שאינם בהכרח שומרים על טוהר הראיות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לייחס קיומו של הסכם מעין זה לחובתו של נאשם שעה שאין לו לעיתים יד בדבר</w:t>
      </w:r>
      <w:r>
        <w:rPr>
          <w:rtl w:val="true"/>
        </w:rPr>
        <w:t xml:space="preserve">, </w:t>
      </w:r>
      <w:r>
        <w:rPr>
          <w:rtl w:val="true"/>
        </w:rPr>
        <w:t>ויש לבחון כל מקרה על פי נסיבותיו הפרטניות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אציין כי לא מצאתי דופי במסקנת בית משפט קמא</w:t>
      </w:r>
      <w:r>
        <w:rPr>
          <w:rtl w:val="true"/>
        </w:rPr>
        <w:t xml:space="preserve">, </w:t>
      </w:r>
      <w:r>
        <w:rPr>
          <w:rtl w:val="true"/>
        </w:rPr>
        <w:t>לפיה נמנה המערער עם המעגל הפנימי של מבצעי העבירות</w:t>
      </w:r>
      <w:r>
        <w:rPr>
          <w:rtl w:val="true"/>
        </w:rPr>
        <w:t xml:space="preserve">, </w:t>
      </w:r>
      <w:r>
        <w:rPr>
          <w:rtl w:val="true"/>
        </w:rPr>
        <w:t>ולפיכך יש לראותו כמי שביצען בצוותא עם יתר התוקפים</w:t>
      </w:r>
      <w:r>
        <w:rPr>
          <w:rtl w:val="true"/>
        </w:rPr>
        <w:t xml:space="preserve">. </w:t>
      </w:r>
      <w:r>
        <w:rPr>
          <w:rtl w:val="true"/>
        </w:rPr>
        <w:t>זאת בהתאם להלכה הפסוקה</w:t>
      </w:r>
      <w:r>
        <w:rPr>
          <w:rtl w:val="true"/>
        </w:rPr>
        <w:t xml:space="preserve">, </w:t>
      </w:r>
      <w:r>
        <w:rPr>
          <w:rtl w:val="true"/>
        </w:rPr>
        <w:t>שלפיה אין נדרשת מודעותו של כל חבר לתכנית העבריינית הכוללת ולמכלול רכיבי ההתנהגות של יתר המבצעים בצוותא</w:t>
      </w:r>
      <w:r>
        <w:rPr>
          <w:rtl w:val="true"/>
        </w:rPr>
        <w:t xml:space="preserve">, </w:t>
      </w:r>
      <w:r>
        <w:rPr>
          <w:rtl w:val="true"/>
        </w:rPr>
        <w:t>לרבות כאשר המדובר בהתנהגות אלימה אליה מתווסף שימוש בכלי משחית</w:t>
      </w:r>
      <w:r>
        <w:rPr>
          <w:rtl w:val="true"/>
        </w:rPr>
        <w:t xml:space="preserve">, </w:t>
      </w:r>
      <w:r>
        <w:rPr>
          <w:rtl w:val="true"/>
        </w:rPr>
        <w:t xml:space="preserve">דוגמת אגרופן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7637/05</w:t>
        </w:r>
      </w:hyperlink>
      <w:r>
        <w:rPr>
          <w:rtl w:val="true"/>
        </w:rPr>
        <w:t>‏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ז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>) (</w:t>
      </w:r>
      <w:r>
        <w:rPr/>
        <w:t>5.7.2007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 </w:t>
      </w:r>
      <w:r>
        <w:rPr>
          <w:rtl w:val="true"/>
        </w:rPr>
        <w:t xml:space="preserve">הוא כי </w:t>
      </w:r>
      <w:r>
        <w:rPr>
          <w:rtl w:val="true"/>
        </w:rPr>
        <w:t>איני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טענות המערער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לקעקע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ממצאי</w:t>
      </w:r>
      <w:r>
        <w:rPr>
          <w:rtl w:val="true"/>
        </w:rPr>
        <w:t xml:space="preserve"> </w:t>
      </w:r>
      <w:r>
        <w:rPr>
          <w:rtl w:val="true"/>
        </w:rPr>
        <w:t>המהימנות</w:t>
      </w:r>
      <w:r>
        <w:rPr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 </w:t>
      </w:r>
      <w:r>
        <w:rPr>
          <w:rtl w:val="true"/>
        </w:rPr>
        <w:t>בערכאה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לערער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 </w:t>
      </w:r>
      <w:r>
        <w:rPr>
          <w:rtl w:val="true"/>
        </w:rPr>
        <w:t>המשתקפת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נגד </w:t>
      </w:r>
      <w:r>
        <w:rPr>
          <w:rtl w:val="true"/>
        </w:rPr>
        <w:t>עינינו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חורים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ראייתיים להם טוען המערער</w:t>
      </w:r>
      <w:r>
        <w:rPr>
          <w:rtl w:val="true"/>
        </w:rPr>
        <w:t xml:space="preserve"> </w:t>
      </w:r>
      <w:r>
        <w:rPr>
          <w:rtl w:val="true"/>
        </w:rPr>
        <w:t xml:space="preserve">אינם אלא תולדה טבעית של </w:t>
      </w:r>
      <w:r>
        <w:rPr>
          <w:rtl w:val="true"/>
        </w:rPr>
        <w:t>אופיו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שבמוקד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 </w:t>
      </w:r>
      <w:r>
        <w:rPr>
          <w:rtl w:val="true"/>
        </w:rPr>
        <w:t>רבת</w:t>
      </w:r>
      <w:r>
        <w:rPr>
          <w:rtl w:val="true"/>
        </w:rPr>
        <w:t xml:space="preserve"> </w:t>
      </w:r>
      <w:r>
        <w:rPr>
          <w:rtl w:val="true"/>
        </w:rPr>
        <w:t>משתתפים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אף לא מצאתי כי עלה בידי המערער לעורר ספק בדבר מעורבותו בתקיפת המתלוננים בחבורה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סבור כי המערער הורשע בדין</w:t>
      </w:r>
      <w:r>
        <w:rPr>
          <w:rtl w:val="true"/>
        </w:rPr>
        <w:t xml:space="preserve">, </w:t>
      </w:r>
      <w:r>
        <w:rPr>
          <w:rtl w:val="true"/>
        </w:rPr>
        <w:t>ומשכך אציע לחבריי לדחות את הערעור על הכרעת דינו של בית משפט קמא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44"/>
          <w:szCs w:val="44"/>
        </w:rPr>
      </w:pPr>
      <w:r>
        <w:rPr>
          <w:sz w:val="44"/>
          <w:szCs w:val="4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הלכה היא מלפני בית משפט זה כי ערכאת הערעור אינה נוהגת להתערב בחומרת העונש שהושת בערכאה קמא</w:t>
      </w:r>
      <w:r>
        <w:rPr>
          <w:rtl w:val="true"/>
        </w:rPr>
        <w:t xml:space="preserve">, </w:t>
      </w:r>
      <w:r>
        <w:rPr>
          <w:rtl w:val="true"/>
        </w:rPr>
        <w:t>אלא אם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כאשר העונש שהוטל חורג באופן משמעותי ממדיניות הענישה המקובלת במקרים דומים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5590/16</w:t>
        </w:r>
        <w:r>
          <w:rPr>
            <w:rStyle w:val="Hyperlink"/>
            <w:color w:val="0000FF"/>
            <w:u w:val="single"/>
            <w:rtl w:val="true"/>
          </w:rPr>
          <w:t>‏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(</w:t>
      </w:r>
      <w:r>
        <w:rPr/>
        <w:t>17.1.2018</w:t>
      </w:r>
      <w:r>
        <w:rPr>
          <w:rtl w:val="true"/>
        </w:rPr>
        <w:t xml:space="preserve">)). </w:t>
      </w:r>
      <w:r>
        <w:rPr>
          <w:rtl w:val="true"/>
        </w:rPr>
        <w:t>לאחר עיון בגזר דינו של בית משפט קמא ושמיעת טיעוני הצדדים בערעור</w:t>
      </w:r>
      <w:r>
        <w:rPr>
          <w:rtl w:val="true"/>
        </w:rPr>
        <w:t xml:space="preserve">, </w:t>
      </w:r>
      <w:r>
        <w:rPr>
          <w:rtl w:val="true"/>
        </w:rPr>
        <w:t>לא מצאתי כי המקרה שלפנינו נמנה עם אחד החריגים האמורים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מעשיו האלימים של המערער</w:t>
      </w:r>
      <w:r>
        <w:rPr>
          <w:rtl w:val="true"/>
        </w:rPr>
        <w:t xml:space="preserve">, </w:t>
      </w:r>
      <w:r>
        <w:rPr>
          <w:rtl w:val="true"/>
        </w:rPr>
        <w:t>בהכותו את המתלוננים אגב ויכוח מילולי</w:t>
      </w:r>
      <w:r>
        <w:rPr>
          <w:rtl w:val="true"/>
        </w:rPr>
        <w:t xml:space="preserve">, </w:t>
      </w:r>
      <w:r>
        <w:rPr>
          <w:rtl w:val="true"/>
        </w:rPr>
        <w:t>גרמו לאלה האחרונים חבלות גוף של ממש</w:t>
      </w:r>
      <w:r>
        <w:rPr>
          <w:rtl w:val="true"/>
        </w:rPr>
        <w:t xml:space="preserve">. </w:t>
      </w:r>
      <w:r>
        <w:rPr>
          <w:rtl w:val="true"/>
        </w:rPr>
        <w:t>כפי שעולה מגזר הדין קמא</w:t>
      </w:r>
      <w:r>
        <w:rPr>
          <w:rtl w:val="true"/>
        </w:rPr>
        <w:t xml:space="preserve">, </w:t>
      </w:r>
      <w:r>
        <w:rPr>
          <w:rtl w:val="true"/>
        </w:rPr>
        <w:t>חומרת מעשים אלה נשקלה במסגרת קביעת מתחם הענישה</w:t>
      </w:r>
      <w:r>
        <w:rPr>
          <w:rtl w:val="true"/>
        </w:rPr>
        <w:t xml:space="preserve">, </w:t>
      </w:r>
      <w:r>
        <w:rPr>
          <w:rtl w:val="true"/>
        </w:rPr>
        <w:t>כמו גם ערכי היסוד שנפגעו בעטיים</w:t>
      </w:r>
      <w:r>
        <w:rPr>
          <w:rtl w:val="true"/>
        </w:rPr>
        <w:t xml:space="preserve">, </w:t>
      </w:r>
      <w:r>
        <w:rPr>
          <w:rtl w:val="true"/>
        </w:rPr>
        <w:t>ומדיניות הענישה המקובלת במקרים דומים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ושלא כטענת המערער</w:t>
      </w:r>
      <w:r>
        <w:rPr>
          <w:rtl w:val="true"/>
        </w:rPr>
        <w:t xml:space="preserve">, </w:t>
      </w:r>
      <w:r>
        <w:rPr>
          <w:rtl w:val="true"/>
        </w:rPr>
        <w:t>עמד בית משפט קמא על ההבחנה בין נסיבותיו של האחרון לבין אלו של דודו</w:t>
      </w:r>
      <w:r>
        <w:rPr>
          <w:rtl w:val="true"/>
        </w:rPr>
        <w:t xml:space="preserve">, </w:t>
      </w:r>
      <w:r>
        <w:rPr>
          <w:rtl w:val="true"/>
        </w:rPr>
        <w:t>שהשתתף אף הוא בקטטה</w:t>
      </w:r>
      <w:r>
        <w:rPr>
          <w:rtl w:val="true"/>
        </w:rPr>
        <w:t xml:space="preserve">. </w:t>
      </w:r>
      <w:r>
        <w:rPr>
          <w:rtl w:val="true"/>
        </w:rPr>
        <w:t>כמתואר בגזר הדין קמא</w:t>
      </w:r>
      <w:r>
        <w:rPr>
          <w:rtl w:val="true"/>
        </w:rPr>
        <w:t xml:space="preserve">, </w:t>
      </w:r>
      <w:r>
        <w:rPr>
          <w:rtl w:val="true"/>
        </w:rPr>
        <w:t>דודו של המערער הודה בביצוע העבירות והורשע</w:t>
      </w:r>
      <w:r>
        <w:rPr>
          <w:rtl w:val="true"/>
        </w:rPr>
        <w:t xml:space="preserve">,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בעבירות אלימות פחותות בחומרתן מאלה שבהן הורשע אחיינו</w:t>
      </w:r>
      <w:r>
        <w:rPr>
          <w:rtl w:val="true"/>
        </w:rPr>
        <w:t xml:space="preserve">, </w:t>
      </w:r>
      <w:r>
        <w:rPr>
          <w:rtl w:val="true"/>
        </w:rPr>
        <w:t>תוך שהחלק המיוחס לו בביצוע העבירות קטן מזה של המערער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אינני סבור כי נפלה כל שגגה במתחם העונש ההולם שקבע בית משפט 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עיון בגזר הדין מלמד כי בית משפט קמא שקל כדבעי את הנסיבות אשר אינן כרוכות בביצוע העבירה</w:t>
      </w:r>
      <w:r>
        <w:rPr>
          <w:rtl w:val="true"/>
        </w:rPr>
        <w:t xml:space="preserve">, </w:t>
      </w:r>
      <w:r>
        <w:rPr>
          <w:rtl w:val="true"/>
        </w:rPr>
        <w:t>ובהן היות זו הרשעתו הראשונה של המערער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; </w:t>
      </w:r>
      <w:r>
        <w:rPr>
          <w:rtl w:val="true"/>
        </w:rPr>
        <w:t>וחוסר נכונותו לגלות חרטה על מעשיו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.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נקבע עונשו של המערער בחלקו התחתון של המתחם</w:t>
      </w:r>
      <w:r>
        <w:rPr>
          <w:rtl w:val="true"/>
        </w:rPr>
        <w:t xml:space="preserve">, </w:t>
      </w:r>
      <w:r>
        <w:rPr>
          <w:rtl w:val="true"/>
        </w:rPr>
        <w:t xml:space="preserve">תוך שזה הועמד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 בלבד</w:t>
      </w:r>
      <w:r>
        <w:rPr>
          <w:rtl w:val="true"/>
        </w:rPr>
        <w:t xml:space="preserve">, </w:t>
      </w:r>
      <w:r>
        <w:rPr>
          <w:rtl w:val="true"/>
        </w:rPr>
        <w:t>בצירוף עונשי מאסר על תנאי</w:t>
      </w:r>
      <w:r>
        <w:rPr>
          <w:rtl w:val="true"/>
        </w:rPr>
        <w:t xml:space="preserve">, </w:t>
      </w:r>
      <w:r>
        <w:rPr>
          <w:rtl w:val="true"/>
        </w:rPr>
        <w:t>חיוב בתשלום פיצויים וקנס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בנסיבות האמורות</w:t>
      </w:r>
      <w:r>
        <w:rPr>
          <w:rtl w:val="true"/>
        </w:rPr>
        <w:t xml:space="preserve">, </w:t>
      </w:r>
      <w:r>
        <w:rPr>
          <w:rtl w:val="true"/>
        </w:rPr>
        <w:t>לא מצאתי כי העונש שהוטל על המערער</w:t>
      </w:r>
      <w:r>
        <w:rPr>
          <w:rtl w:val="true"/>
        </w:rPr>
        <w:t xml:space="preserve">, </w:t>
      </w:r>
      <w:r>
        <w:rPr>
          <w:rtl w:val="true"/>
        </w:rPr>
        <w:t>על כל רכיביו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מקים עילה להתערבותנו</w:t>
      </w:r>
      <w:r>
        <w:rPr>
          <w:rtl w:val="true"/>
        </w:rPr>
        <w:t xml:space="preserve">, </w:t>
      </w:r>
      <w:r>
        <w:rPr>
          <w:rtl w:val="true"/>
        </w:rPr>
        <w:t>משאין הוא חורג מרמת הענישה המקובלת</w:t>
      </w:r>
      <w:r>
        <w:rPr>
          <w:rtl w:val="true"/>
        </w:rPr>
        <w:t xml:space="preserve">, </w:t>
      </w:r>
      <w:r>
        <w:rPr>
          <w:rtl w:val="true"/>
        </w:rPr>
        <w:t>ומשלא עלה בידי המערער להוכיח כי נפלה בו טעות של ממש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כי נדחה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14.3.2018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;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המשנה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לנשיאה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ח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מלצר</w:t>
      </w:r>
      <w:r>
        <w:rPr>
          <w:rFonts w:cs="Miriam"/>
          <w:sz w:val="28"/>
          <w:rtl w:val="true"/>
        </w:rPr>
        <w:t>:</w:t>
      </w:r>
    </w:p>
    <w:p>
      <w:pPr>
        <w:pStyle w:val="Normal"/>
        <w:ind w:end="0"/>
        <w:jc w:val="start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Normal"/>
        <w:ind w:end="0"/>
        <w:jc w:val="start"/>
        <w:rPr>
          <w:rFonts w:cs="Miriam"/>
          <w:sz w:val="28"/>
          <w:u w:val="single"/>
        </w:rPr>
      </w:pPr>
      <w:r>
        <w:rPr>
          <w:rFonts w:cs="Miriam"/>
          <w:sz w:val="28"/>
          <w:u w:val="single"/>
          <w:rtl w:val="true"/>
        </w:rPr>
      </w:r>
    </w:p>
    <w:p>
      <w:pPr>
        <w:pStyle w:val="Normal"/>
        <w:ind w:end="0"/>
        <w:jc w:val="start"/>
        <w:rPr>
          <w:rFonts w:cs="Miriam"/>
          <w:sz w:val="28"/>
          <w:u w:val="single"/>
        </w:rPr>
      </w:pPr>
      <w:r>
        <w:rPr>
          <w:rFonts w:cs="Miriam"/>
          <w:sz w:val="28"/>
          <w:u w:val="single"/>
          <w:rtl w:val="true"/>
        </w:rPr>
      </w:r>
    </w:p>
    <w:p>
      <w:pPr>
        <w:pStyle w:val="Normal"/>
        <w:ind w:end="0"/>
        <w:jc w:val="start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השופטת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ד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ברק</w:t>
      </w:r>
      <w:r>
        <w:rPr>
          <w:rFonts w:cs="Miriam"/>
          <w:sz w:val="28"/>
          <w:u w:val="single"/>
          <w:rtl w:val="true"/>
        </w:rPr>
        <w:t>-</w:t>
      </w:r>
      <w:r>
        <w:rPr>
          <w:rFonts w:cs="Miriam"/>
          <w:sz w:val="28"/>
          <w:sz w:val="28"/>
          <w:u w:val="single"/>
          <w:rtl w:val="true"/>
        </w:rPr>
        <w:t>ארז</w:t>
      </w:r>
      <w:r>
        <w:rPr>
          <w:rFonts w:cs="Miriam"/>
          <w:sz w:val="28"/>
          <w:rtl w:val="true"/>
        </w:rPr>
        <w:t>:</w:t>
      </w:r>
    </w:p>
    <w:p>
      <w:pPr>
        <w:pStyle w:val="Normal"/>
        <w:ind w:end="0"/>
        <w:jc w:val="start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לשיטתי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28.2.2018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17021270</w:t>
      </w:r>
      <w:r>
        <w:rPr>
          <w:sz w:val="16"/>
          <w:rtl w:val="true"/>
        </w:rPr>
        <w:t>_</w:t>
      </w:r>
      <w:r>
        <w:rPr>
          <w:sz w:val="16"/>
        </w:rPr>
        <w:t>J03.doc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  <w:bookmarkStart w:id="19" w:name="_GoBack"/>
      <w:bookmarkStart w:id="20" w:name="_GoBack"/>
      <w:bookmarkEnd w:id="20"/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ד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ברק ארז </w:t>
      </w:r>
      <w:r>
        <w:rPr>
          <w:rFonts w:cs="David;Times New Roman" w:ascii="David;Times New Roman" w:hAnsi="David;Times New Roman"/>
          <w:color w:val="000000"/>
          <w:szCs w:val="22"/>
        </w:rPr>
        <w:t>54678313-2127/17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2127/17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אמין עלוש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8536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case/20085366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4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5.a.2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33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7927389" TargetMode="External"/><Relationship Id="rId22" Type="http://schemas.openxmlformats.org/officeDocument/2006/relationships/hyperlink" Target="http://www.nevo.co.il/case/6161596" TargetMode="External"/><Relationship Id="rId23" Type="http://schemas.openxmlformats.org/officeDocument/2006/relationships/hyperlink" Target="http://www.nevo.co.il/case/6002494" TargetMode="External"/><Relationship Id="rId24" Type="http://schemas.openxmlformats.org/officeDocument/2006/relationships/hyperlink" Target="http://www.nevo.co.il/case/21476340" TargetMode="External"/><Relationship Id="rId25" Type="http://schemas.openxmlformats.org/officeDocument/2006/relationships/hyperlink" Target="http://www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2018-03-01T11:37:00Z</dcterms:created>
  <dc:creator> </dc:creator>
  <dc:description/>
  <cp:keywords/>
  <dc:language>en-IL</dc:language>
  <cp:lastModifiedBy>orly</cp:lastModifiedBy>
  <cp:lastPrinted>2018-02-23T12:18:00Z</cp:lastPrinted>
  <dcterms:modified xsi:type="dcterms:W3CDTF">2018-03-01T11:37:00Z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אמין עלוש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20085366:2;17927389;6161596;6002494;21476340</vt:lpwstr>
  </property>
  <property fmtid="{D5CDD505-2E9C-101B-9397-08002B2CF9AE}" pid="9" name="CITY">
    <vt:lpwstr/>
  </property>
  <property fmtid="{D5CDD505-2E9C-101B-9397-08002B2CF9AE}" pid="10" name="DATE">
    <vt:lpwstr>20180228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ארז;י' אלרון;ח' מלצר</vt:lpwstr>
  </property>
  <property fmtid="{D5CDD505-2E9C-101B-9397-08002B2CF9AE}" pid="14" name="LAWLISTTMP1">
    <vt:lpwstr>70301/029:2;333:2;334;335.a.1:2;335.a.2:2</vt:lpwstr>
  </property>
  <property fmtid="{D5CDD505-2E9C-101B-9397-08002B2CF9AE}" pid="15" name="LAWYER">
    <vt:lpwstr>בתשבע אבגז;משה כהן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דיון פלילי</vt:lpwstr>
  </property>
  <property fmtid="{D5CDD505-2E9C-101B-9397-08002B2CF9AE}" pid="30" name="NOSE14">
    <vt:lpwstr>ראיות</vt:lpwstr>
  </property>
  <property fmtid="{D5CDD505-2E9C-101B-9397-08002B2CF9AE}" pid="31" name="NOSE15">
    <vt:lpwstr>ראיות</vt:lpwstr>
  </property>
  <property fmtid="{D5CDD505-2E9C-101B-9397-08002B2CF9AE}" pid="32" name="NOSE16">
    <vt:lpwstr>עונשין</vt:lpwstr>
  </property>
  <property fmtid="{D5CDD505-2E9C-101B-9397-08002B2CF9AE}" pid="33" name="NOSE17">
    <vt:lpwstr>עונשין</vt:lpwstr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18;18;18;89;89;77;77</vt:lpwstr>
  </property>
  <property fmtid="{D5CDD505-2E9C-101B-9397-08002B2CF9AE}" pid="37" name="NOSE21">
    <vt:lpwstr>הרשעה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מחדלי חקירה</vt:lpwstr>
  </property>
  <property fmtid="{D5CDD505-2E9C-101B-9397-08002B2CF9AE}" pid="41" name="NOSE24">
    <vt:lpwstr>עדות</vt:lpwstr>
  </property>
  <property fmtid="{D5CDD505-2E9C-101B-9397-08002B2CF9AE}" pid="42" name="NOSE25">
    <vt:lpwstr>חיזוק</vt:lpwstr>
  </property>
  <property fmtid="{D5CDD505-2E9C-101B-9397-08002B2CF9AE}" pid="43" name="NOSE26">
    <vt:lpwstr>ענישה</vt:lpwstr>
  </property>
  <property fmtid="{D5CDD505-2E9C-101B-9397-08002B2CF9AE}" pid="44" name="NOSE27">
    <vt:lpwstr>ענישה</vt:lpwstr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465;504;17072;1654;1628;1446;1446</vt:lpwstr>
  </property>
  <property fmtid="{D5CDD505-2E9C-101B-9397-08002B2CF9AE}" pid="48" name="NOSE31">
    <vt:lpwstr>ערעור</vt:lpwstr>
  </property>
  <property fmtid="{D5CDD505-2E9C-101B-9397-08002B2CF9AE}" pid="49" name="NOSE310">
    <vt:lpwstr/>
  </property>
  <property fmtid="{D5CDD505-2E9C-101B-9397-08002B2CF9AE}" pid="50" name="NOSE32">
    <vt:lpwstr>אי-התערבות בממצאים עובדתיים</vt:lpwstr>
  </property>
  <property fmtid="{D5CDD505-2E9C-101B-9397-08002B2CF9AE}" pid="51" name="NOSE33">
    <vt:lpwstr>נפקותם</vt:lpwstr>
  </property>
  <property fmtid="{D5CDD505-2E9C-101B-9397-08002B2CF9AE}" pid="52" name="NOSE34">
    <vt:lpwstr>סתירות</vt:lpwstr>
  </property>
  <property fmtid="{D5CDD505-2E9C-101B-9397-08002B2CF9AE}" pid="53" name="NOSE35">
    <vt:lpwstr>דבר לחיזוק</vt:lpwstr>
  </property>
  <property fmtid="{D5CDD505-2E9C-101B-9397-08002B2CF9AE}" pid="54" name="NOSE36">
    <vt:lpwstr>מדיניות ענישה: עבירות אלימות</vt:lpwstr>
  </property>
  <property fmtid="{D5CDD505-2E9C-101B-9397-08002B2CF9AE}" pid="55" name="NOSE37">
    <vt:lpwstr>מדיניות ענישה: שיקולים</vt:lpwstr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3638;3849;17177;10405;10142;8984;8994</vt:lpwstr>
  </property>
  <property fmtid="{D5CDD505-2E9C-101B-9397-08002B2CF9AE}" pid="59" name="PADIDATE">
    <vt:lpwstr>20180301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2127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410120180228</vt:lpwstr>
  </property>
  <property fmtid="{D5CDD505-2E9C-101B-9397-08002B2CF9AE}" pid="69" name="TYPE_N_DATE">
    <vt:lpwstr>41020180228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