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2149/20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מרזן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11.02.2020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38996-03-14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>
          <w:trHeight w:val="263" w:hRule="atLeast"/>
        </w:trPr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3.2.2021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הצעת חוק העונשין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חלק מקדמי וחלק כללי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אהרן אנקר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רצח תוך ביצוע עבירה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היחס בין ‏העבירה האחרת לעבירת גרם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המוות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כרך א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ליאת לבנון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על היסוד של היעדר קנטור בהגדרת ה״ כוונה תחילה״ בעקבות דנ״פ </w:t>
        </w:r>
        <w:r>
          <w:rPr>
            <w:rStyle w:val="Hyperlink"/>
            <w:rFonts w:cs="FrankRuehl" w:ascii="FrankRuehl" w:hAnsi="FrankRuehl"/>
            <w:sz w:val="24"/>
            <w:u w:val="none"/>
          </w:rPr>
          <w:t>1042/04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ביטון 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ספר דויד וינר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על משפט פלילי ואתיקה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547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hyperlink r:id="rId8">
        <w:r>
          <w:rPr>
            <w:rFonts w:ascii="FrankRuehl" w:hAnsi="FrankRuehl" w:cs="FrankRuehl"/>
            <w:color w:val="000000"/>
            <w:sz w:val="24"/>
            <w:sz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10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6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z w:val="24"/>
            <w:u w:val="none"/>
          </w:rPr>
          <w:t>304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דן בשאלה כיצד ראוי להתייחס לרכיבי הענישה השונים בבואו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לקצר מעונשו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בעקבות הרפורמה בעבירות ההמתה שנעשתה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 בעת קיצור עונש בעקבות חיקוק 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לקצר תחילה את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שעניינו השפעת הרפורמה בעבירות ההמתה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על קביעת מועד מתוקן לשחרור ממאסר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בעקבות </w:t>
      </w:r>
      <w:r>
        <w:rPr>
          <w:rStyle w:val="Style12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מערכת המשפט התמודדה עם הצורך להתאים את ענישתם של נאשמים שהואשמו בגין מעבר על אחת מעבירות ההמתה כפי שהוסדרו תחת רף הענישה שהיה קבוע בגרסה הישנה של 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לרף הענישה המעודכן שנקבע בתיקון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הסוגיה נוגעת גם להתאמת רף הענישה בעבירות ההמתה ולשאלת קיומה של חובה להחיל חיקוק פלילי מקל למפרע במצב בו נגזר על נאשם עונש מאסר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משולב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הכולל מאסר בפועל וגם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הייחודיות של המקרה דורשות הכרעה בשאלה כיצד ראוי להתייחס לרכיבי הענישה השונים בבואו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לקצר מעונשו של נאשם בעקבות התיקון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בעבירת רצח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לפני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והושתו עליו </w:t>
      </w:r>
      <w:r>
        <w:rPr>
          <w:rFonts w:cs="Times New Roman" w:ascii="Times New Roman" w:hAnsi="Times New Roman"/>
          <w:spacing w:val="0"/>
          <w:szCs w:val="26"/>
        </w:rPr>
        <w:t>22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ושנת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התיקון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קבע כי על המערער יוטלו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כך שהופחתו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מעונשו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מתוכן שנה אחת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הנדל ובהסכמת השופטים עמית וגרוסקופף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 הכרעה השופט הנדל עמד על מלאכת הפרשנות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הרפורמה בעבירות ההמתה והוראות המעבר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ייחודה של עבירת ההמתה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מהותו של כלל הפרשנות המקלה בפלילים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הפרשנות התכליתית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הדומה והשונה בין עונש המאסר בפועל ובין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השלכותיה המעשיות של פרשנות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הוראת המעבר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שלוש הגישות שהוצגו בפסק הדין קמא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הנדל קבע כי כל גישה עוברת את המבחן הלשוני אך מתקשה אל מול מבחן התכלית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יסוד בחינת תכליות החיקוקים הרלוונטיים ושיקולים מעשיים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הציע גישה פרשנית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לדעתו יש לשים דגש דווקא על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זה הוא לב גזר הדין בתיקים הנוגעים לעבירות המתה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 העונשין הישן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 עדיפות לשמירה על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איננה משתלבת עם כוחו היחסי של רכיב זה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הנדל ציין כי מעבר לאפשרות להביא לתוצאה שאיננה צודקת במקרה שבו קיצורי עונש יתרכזו בקיצור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נכון הוא כי המיקוד יהא על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חשיבותו של התיקון נעוצה בכך שנאשם לא ירצה בגין עבירה זו מעל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לדעת השופט הנדל הגישה הראויה עבור כל סוגי המצבים היא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מאסר מותנה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הווה אומר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היה ועונש המאסר שנפסק בעבירה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לדין הישן עולה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תחילה יש להוריד את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תוצאה זו איננה קשורה לנימוק הכרונולוגי של מועד ביצוע העונשים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מתייחסת למרכזיות כל אחד מרכיבי המאסר בשקלול הכולל של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החריג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מצב בו יוטל תחילה עונש מאסר מותנה ולאחר מכן עונש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 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 זה למעשה תיאורטי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בכל 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חשוב לעמוד על ההנמקה הראויה לפתרון הסוגיה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לדעת השופט הנדל גישה זו מתאימה לכלל הגיליוטינה או כלל שיקול הדעת הצר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קלה ליישום ולא עולה ממנה מורכבות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מבוקשת אך הידרשות מינהלית לקציבת מועד עונש 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הפעלת שיקול דעת ופתיחת הליכים מחדש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הכרעה זה משחרר את בתי המשפט מן הצורך לערוך תחשיבים מורכבים המביאים לתוצאות לא סבירות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יצירת הבחנות דקות שלא בהכרח תואמת את הכוונה העומדת מאחורי גזר הדין המקורי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מנימוקים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הגישה לפיה יקוצר עונש המאסר המותנה 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גם זו התואמת בצורה המיטבית את כלל הגיליוטינה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התאמתה ללשון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ולתכלית האובייקטיבית והסובייקטיבית של דברי החקיקה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קיצור עונש בעקבות חיקוק מקל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לקצר תחילה את עונש המאסר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קיצור עונשו של המערער יעשה כהוראת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ויעמוד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כי מנימוקים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שעשויים להשפיע על מקרים 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 גרוסקופף ציין כי למערער נפסק עונש מאסר של </w:t>
      </w:r>
      <w:r>
        <w:rPr>
          <w:rFonts w:cs="Times New Roman" w:ascii="Times New Roman" w:hAnsi="Times New Roman"/>
          <w:spacing w:val="0"/>
          <w:sz w:val="24"/>
          <w:szCs w:val="26"/>
        </w:rPr>
        <w:t>23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מהן </w:t>
      </w:r>
      <w:r>
        <w:rPr>
          <w:rFonts w:cs="Times New Roman" w:ascii="Times New Roman" w:hAnsi="Times New Roman"/>
          <w:spacing w:val="0"/>
          <w:sz w:val="24"/>
          <w:szCs w:val="26"/>
        </w:rPr>
        <w:t>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ושנה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 הדין שנהג בשעתו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החדש מגביל את עונש המאסר המקסימלי שניתן להטיל בגין ההרשעה בעבירת המתה בנסיבות בהן עסקינן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ומעמידו על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הוראת המעבר שנקבעה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137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מצווה להחיל מגבלה זו גם על 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שגזר דינו הינו 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יש למזוג את העונש שנגזר על המערער לתוך המסגרת המצמצמת החדשה שקבע המחוקק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כיצד למזוג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ושנה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לתוך מסגרת ענישה מצמצמת היכולה להכיל רק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בסך הכל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בסיס שני כללים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למזוג למסגרת המצמצמת את אשר כבר ריצה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את הנעשה לא ניתן להשיב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מבין העונשים שטרם רוצו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למזוג תחילה את העונש המרכזי שגזר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בשעתו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 את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ורק ככל שנותר מקום במסגרת המצמצמת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למזוג את עונש המאסר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Ruller41"/>
        <w:ind w:firstLine="720" w:end="0"/>
        <w:jc w:val="both"/>
        <w:rPr>
          <w:rFonts w:ascii="FrankRuehl" w:hAnsi="FrankRuehl" w:cs="FrankRuehl"/>
          <w:sz w:val="26"/>
        </w:rPr>
      </w:pPr>
      <w:r>
        <w:rPr>
          <w:sz w:val="26"/>
          <w:sz w:val="26"/>
          <w:rtl w:val="true"/>
        </w:rPr>
        <w:t>ערעור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עניינו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השפעת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הרפורמה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ההמתה</w:t>
      </w:r>
      <w:r>
        <w:rPr>
          <w:rFonts w:eastAsia="Arial TUR" w:cs="Arial TUR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hyperlink r:id="rId42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תיקון מס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cs="FrankRuehl" w:ascii="FrankRuehl" w:hAnsi="FrankRuehl"/>
          <w:sz w:val="26"/>
        </w:rPr>
        <w:t>137</w:t>
      </w:r>
      <w:r>
        <w:rPr>
          <w:rFonts w:cs="FrankRuehl" w:ascii="FrankRuehl" w:hAnsi="FrankRuehl"/>
          <w:sz w:val="26"/>
          <w:rtl w:val="true"/>
        </w:rPr>
        <w:t xml:space="preserve">), </w:t>
      </w:r>
      <w:r>
        <w:rPr>
          <w:rFonts w:ascii="FrankRuehl" w:hAnsi="FrankRuehl"/>
          <w:sz w:val="26"/>
          <w:sz w:val="26"/>
          <w:rtl w:val="true"/>
        </w:rPr>
        <w:t>התשע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ט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2019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ascii="FrankRuehl" w:hAnsi="FrankRuehl"/>
          <w:sz w:val="26"/>
          <w:sz w:val="26"/>
          <w:rtl w:val="true"/>
        </w:rPr>
        <w:t>להלן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התיקון</w:t>
      </w:r>
      <w:r>
        <w:rPr>
          <w:rFonts w:cs="FrankRuehl" w:ascii="FrankRuehl" w:hAnsi="FrankRuehl"/>
          <w:sz w:val="26"/>
          <w:rtl w:val="true"/>
        </w:rPr>
        <w:t xml:space="preserve">)), </w:t>
      </w:r>
      <w:r>
        <w:rPr>
          <w:rFonts w:ascii="FrankRuehl" w:hAnsi="FrankRuehl"/>
          <w:sz w:val="26"/>
          <w:sz w:val="26"/>
          <w:rtl w:val="true"/>
        </w:rPr>
        <w:t>על קביעת מועד מתוקן לשחרור ממאסר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הערעור נסוב על גזר דינו </w:t>
      </w:r>
      <w:r>
        <w:rPr>
          <w:rFonts w:ascii="FrankRuehl" w:hAnsi="FrankRuehl"/>
          <w:sz w:val="26"/>
          <w:sz w:val="26"/>
          <w:rtl w:val="true"/>
        </w:rPr>
        <w:t>של בית המשפט המחוזי מרכז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ascii="FrankRuehl" w:hAnsi="FrankRuehl"/>
          <w:sz w:val="26"/>
          <w:sz w:val="26"/>
          <w:rtl w:val="true"/>
        </w:rPr>
        <w:t xml:space="preserve">לוד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כב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אב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ד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סג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נ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b/>
          <w:spacing w:val="0"/>
          <w:sz w:val="28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Fonts w:cs="FrankRuehl" w:ascii="FrankRuehl" w:hAnsi="FrankRuehl"/>
          <w:sz w:val="26"/>
          <w:rtl w:val="true"/>
        </w:rPr>
        <w:t xml:space="preserve">) </w:t>
      </w:r>
      <w:r>
        <w:rPr>
          <w:rFonts w:ascii="FrankRuehl" w:hAnsi="FrankRuehl"/>
          <w:sz w:val="26"/>
          <w:sz w:val="26"/>
          <w:rtl w:val="true"/>
        </w:rPr>
        <w:t>ב</w:t>
      </w:r>
      <w:hyperlink r:id="rId43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38996-03-14</w:t>
        </w:r>
      </w:hyperlink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6"/>
          <w:sz w:val="26"/>
          <w:rtl w:val="true"/>
        </w:rPr>
        <w:t xml:space="preserve">מתאריך </w:t>
      </w:r>
      <w:r>
        <w:rPr>
          <w:rFonts w:cs="FrankRuehl" w:ascii="FrankRuehl" w:hAnsi="FrankRuehl"/>
          <w:sz w:val="26"/>
        </w:rPr>
        <w:t>11.2.2020</w:t>
      </w:r>
      <w:r>
        <w:rPr>
          <w:rFonts w:cs="FrankRuehl" w:ascii="FrankRuehl" w:hAnsi="FrankRuehl"/>
          <w:sz w:val="26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b/>
          <w:bCs/>
          <w:sz w:val="26"/>
        </w:rPr>
      </w:pPr>
      <w:r>
        <w:rPr>
          <w:rFonts w:cs="FrankRuehl" w:ascii="FrankRuehl" w:hAnsi="FrankRuehl"/>
          <w:b/>
          <w:bCs/>
          <w:sz w:val="26"/>
          <w:rtl w:val="true"/>
        </w:rPr>
      </w:r>
    </w:p>
    <w:p>
      <w:pPr>
        <w:pStyle w:val="1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בעקבות</w:t>
      </w:r>
      <w:r>
        <w:rPr>
          <w:rFonts w:cs="Calibri"/>
          <w:rtl w:val="true"/>
        </w:rPr>
        <w:t xml:space="preserve"> </w:t>
      </w:r>
      <w:r>
        <w:rPr>
          <w:rStyle w:val="Style12"/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Calibri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התמודדה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ההמתה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שהוסדרו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לרף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המעודכן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3568/20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עשור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1130/19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27.12.2020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2928/20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24.11.2020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tl w:val="true"/>
        </w:rPr>
        <w:t xml:space="preserve">)), </w:t>
      </w:r>
      <w:r>
        <w:rPr>
          <w:rtl w:val="true"/>
        </w:rPr>
        <w:t>וכן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העוסקות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Calibri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35652-04-18</w:t>
        </w:r>
      </w:hyperlink>
      <w:r>
        <w:rPr>
          <w:rtl w:val="true"/>
        </w:rPr>
        <w:t xml:space="preserve">‏‏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מריו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15.9.2020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4781-05-18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מירזייב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37706-12-17</w:t>
        </w:r>
      </w:hyperlink>
      <w:r>
        <w:rPr>
          <w:rtl w:val="true"/>
        </w:rPr>
        <w:t>‏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טאהא</w:t>
      </w:r>
      <w:r>
        <w:rPr>
          <w:rFonts w:cs="Calibri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15.7.2020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הסוגיה אשר עמדה במוקד הדיון בפני בית המשפט המחוזי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וניצבת כעת לפנינו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נוגעת גם היא להתאמתו של רף הענישה בעבירות ההמתה ולשאלת קיומה של חובה להחיל חיקוק פלילי מקל למפרע במצב בו נגזר על נאשם עונש מאסר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משולב</w:t>
      </w:r>
      <w:r>
        <w:rPr>
          <w:rFonts w:cs="FrankRuehl" w:ascii="FrankRuehl" w:hAnsi="FrankRuehl"/>
          <w:sz w:val="26"/>
          <w:rtl w:val="true"/>
        </w:rPr>
        <w:t xml:space="preserve">". </w:t>
      </w:r>
      <w:r>
        <w:rPr>
          <w:rFonts w:ascii="FrankRuehl" w:hAnsi="FrankRuehl"/>
          <w:sz w:val="26"/>
          <w:sz w:val="26"/>
          <w:rtl w:val="true"/>
        </w:rPr>
        <w:t>קרי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עונש הכולל מאסר בפועל וגם מאסר על תנאי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באופן ספציפי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נסיבותיו הייחודיות של המקרה דורשות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הכרעה בשאלה כיצד ראוי להתייחס לרכיבי הענישה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השונים בבואנו לקצר מעונשו של נאשם בעקבות התיקון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לפירוט הדברים נפנה עתה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6"/>
          <w:szCs w:val="24"/>
        </w:rPr>
      </w:pPr>
      <w:r>
        <w:rPr>
          <w:rFonts w:cs="Miriam" w:ascii="Century" w:hAnsi="Century"/>
          <w:b/>
          <w:spacing w:val="0"/>
          <w:sz w:val="26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6"/>
          <w:sz w:val="26"/>
          <w:rtl w:val="true"/>
        </w:rPr>
        <w:t xml:space="preserve">בתאריך </w:t>
      </w:r>
      <w:r>
        <w:rPr>
          <w:rFonts w:cs="FrankRuehl" w:ascii="FrankRuehl" w:hAnsi="FrankRuehl"/>
          <w:sz w:val="26"/>
        </w:rPr>
        <w:t>26.2.2014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או סמוך לכך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המערער דקר למוות את המנוח בפיצוציה שהייתה בבעלותו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מספר חודשים לאחר שהתגלעה ביניהם קטטה אלימה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במהלכה נדקר המערער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יצוין כי המערער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אובחן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כמי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שסובל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ממחלת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נפש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בשנת </w:t>
      </w:r>
      <w:r>
        <w:rPr>
          <w:rFonts w:cs="FrankRuehl" w:ascii="FrankRuehl" w:hAnsi="FrankRuehl"/>
          <w:sz w:val="26"/>
        </w:rPr>
        <w:t>2005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וכן כי כנגדו עמדו תשעה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אישומים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פלילי</w:t>
      </w:r>
      <w:r>
        <w:rPr>
          <w:rFonts w:ascii="FrankRuehl" w:hAnsi="FrankRuehl"/>
          <w:sz w:val="26"/>
          <w:sz w:val="26"/>
          <w:rtl w:val="true"/>
        </w:rPr>
        <w:t>ים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עובר למקרה המתואר לעיל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שבעה מההליכים הנזכרים הופסקו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מפאת מחלתו הנפשית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עם 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חוות הדעת הפסיכיאטריות העדכניות שהוגשו בעניינו בהליך דנן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קבעו כי הוא כשיר לעמוד לדין פלילי בגין העבירה שביצע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בעקבות 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הוא הורשע על פי הודייתו במסגרת הסדר טיעון בעבירת רצח לפי </w:t>
      </w:r>
      <w:hyperlink r:id="rId51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52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בגזר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הדין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מיום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23.7.2015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הטיל עליו בית המשפט המחוזי </w:t>
      </w:r>
      <w:r>
        <w:rPr>
          <w:rFonts w:cs="FrankRuehl" w:ascii="FrankRuehl" w:hAnsi="FrankRuehl"/>
          <w:sz w:val="26"/>
          <w:rtl w:val="true"/>
        </w:rPr>
        <w:t>(</w:t>
      </w:r>
      <w:hyperlink r:id="rId53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מחוזי מר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38996-03-14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מרזן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/>
          <w:sz w:val="26"/>
          <w:sz w:val="26"/>
          <w:rtl w:val="true"/>
        </w:rPr>
        <w:t>כב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>השופטים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אב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ד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Fonts w:cs="FrankRuehl" w:ascii="FrankRuehl" w:hAnsi="FrankRuehl"/>
          <w:sz w:val="26"/>
          <w:rtl w:val="true"/>
        </w:rPr>
        <w:t xml:space="preserve">) </w:t>
      </w:r>
      <w:r>
        <w:rPr>
          <w:rFonts w:ascii="FrankRuehl" w:hAnsi="FrankRuehl"/>
          <w:sz w:val="26"/>
          <w:sz w:val="26"/>
          <w:rtl w:val="true"/>
        </w:rPr>
        <w:t>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של </w:t>
      </w:r>
      <w:r>
        <w:rPr>
          <w:rFonts w:cs="FrankRuehl" w:ascii="FrankRuehl" w:hAnsi="FrankRuehl"/>
          <w:sz w:val="26"/>
        </w:rPr>
        <w:t>23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מתוכן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cs="FrankRuehl" w:ascii="FrankRuehl" w:hAnsi="FrankRuehl"/>
          <w:sz w:val="26"/>
        </w:rPr>
        <w:t>22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שנות מאסר בפועל ושנת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תנאי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תכנס לתוקף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רק במקרה שבו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הנאשם </w:t>
      </w:r>
      <w:r>
        <w:rPr>
          <w:rFonts w:ascii="FrankRuehl" w:hAnsi="FrankRuehl"/>
          <w:sz w:val="26"/>
          <w:sz w:val="26"/>
          <w:rtl w:val="true"/>
        </w:rPr>
        <w:t>יעבור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עבירת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אלימות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מסוג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פשע תוך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שלוש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</w:t>
      </w:r>
      <w:r>
        <w:rPr>
          <w:rFonts w:ascii="FrankRuehl" w:hAnsi="FrankRuehl"/>
          <w:sz w:val="26"/>
          <w:sz w:val="26"/>
          <w:rtl w:val="true"/>
        </w:rPr>
        <w:t xml:space="preserve">יום </w:t>
      </w:r>
      <w:r>
        <w:rPr>
          <w:rFonts w:ascii="FrankRuehl" w:hAnsi="FrankRuehl"/>
          <w:sz w:val="26"/>
          <w:sz w:val="26"/>
          <w:rtl w:val="true"/>
        </w:rPr>
        <w:t>שחר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ascii="FrankRuehl" w:hAnsi="FrankRuehl"/>
          <w:sz w:val="26"/>
          <w:sz w:val="26"/>
          <w:rtl w:val="true"/>
        </w:rPr>
        <w:t>ר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cs="FrankRuehl" w:ascii="FrankRuehl" w:hAnsi="FrankRuehl"/>
          <w:sz w:val="26"/>
          <w:rtl w:val="true"/>
        </w:rPr>
        <w:t xml:space="preserve">. </w:t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ביולי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2019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הגיש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המערער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בקשה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לבית המשפט המחוזי </w:t>
      </w:r>
      <w:r>
        <w:rPr>
          <w:rFonts w:ascii="FrankRuehl" w:hAnsi="FrankRuehl"/>
          <w:sz w:val="26"/>
          <w:sz w:val="26"/>
          <w:rtl w:val="true"/>
        </w:rPr>
        <w:t>לקביעת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מועד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מתוקן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ומוקדם יותר </w:t>
      </w:r>
      <w:r>
        <w:rPr>
          <w:rFonts w:ascii="FrankRuehl" w:hAnsi="FrankRuehl"/>
          <w:sz w:val="26"/>
          <w:sz w:val="26"/>
          <w:rtl w:val="true"/>
        </w:rPr>
        <w:t>לשחרור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ממאסר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בהתבסס על הוראת המעבר הקבועה </w:t>
      </w:r>
      <w:hyperlink r:id="rId54"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6"/>
          </w:rPr>
          <w:t>25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לתיקון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hyperlink r:id="rId55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להלן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המעבר</w:t>
      </w:r>
      <w:r>
        <w:rPr>
          <w:rFonts w:cs="FrankRuehl" w:ascii="FrankRuehl" w:hAnsi="FrankRuehl"/>
          <w:sz w:val="26"/>
          <w:rtl w:val="true"/>
        </w:rPr>
        <w:t xml:space="preserve">). </w:t>
      </w:r>
      <w:r>
        <w:rPr>
          <w:rFonts w:ascii="FrankRuehl" w:hAnsi="FrankRuehl"/>
          <w:sz w:val="26"/>
          <w:sz w:val="26"/>
          <w:rtl w:val="true"/>
        </w:rPr>
        <w:t>במסגרת הבקשה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טען כי בשל שינוי סעיף הרשעתו </w:t>
      </w:r>
      <w:hyperlink r:id="rId56">
        <w:r>
          <w:rPr>
            <w:rStyle w:val="Hyperlink"/>
            <w:rFonts w:ascii="FrankRuehl" w:hAnsi="FrankRuehl"/>
            <w:sz w:val="26"/>
            <w:sz w:val="26"/>
            <w:rtl w:val="true"/>
          </w:rPr>
          <w:t>לסעיף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301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6"/>
          </w:rPr>
          <w:t>2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57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נוכח האמור בהוראת המעבר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עונשו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שהועמד על </w:t>
      </w:r>
      <w:r>
        <w:rPr>
          <w:rFonts w:cs="FrankRuehl" w:ascii="FrankRuehl" w:hAnsi="FrankRuehl"/>
          <w:sz w:val="26"/>
        </w:rPr>
        <w:t>22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מאסר בפועל ושנת מאסר מותנה אחת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צריך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שיופחת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בקליפת האגוז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הוראת המעבר קובעת כי </w:t>
      </w:r>
      <w:r>
        <w:rPr>
          <w:rFonts w:ascii="FrankRuehl" w:hAnsi="FrankRuehl"/>
          <w:sz w:val="26"/>
          <w:sz w:val="26"/>
          <w:rtl w:val="true"/>
        </w:rPr>
        <w:t>העונש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שניתן לגזור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נאשם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שהורשע בפסק דין חלוט </w:t>
      </w:r>
      <w:hyperlink r:id="rId58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לחוק עובר לתיקון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כמו בענייננו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לא יכול שיעלה על </w:t>
      </w:r>
      <w:r>
        <w:rPr>
          <w:rFonts w:cs="FrankRuehl" w:ascii="FrankRuehl" w:hAnsi="FrankRuehl"/>
          <w:sz w:val="26"/>
        </w:rPr>
        <w:t>15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או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שנות מאסר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בהתאם לחלופת סעיף העבירה</w:t>
      </w:r>
      <w:r>
        <w:rPr>
          <w:rFonts w:cs="FrankRuehl" w:ascii="FrankRuehl" w:hAnsi="FrankRuehl"/>
          <w:sz w:val="26"/>
          <w:rtl w:val="true"/>
        </w:rPr>
        <w:t xml:space="preserve">). </w:t>
      </w:r>
      <w:r>
        <w:rPr>
          <w:rFonts w:ascii="FrankRuehl" w:hAnsi="FrankRuehl"/>
          <w:sz w:val="26"/>
          <w:sz w:val="26"/>
          <w:rtl w:val="true"/>
        </w:rPr>
        <w:t xml:space="preserve">סעיף העבירה הרלוונטי בו הורשע המערער מאפשר להשית עליו לכל היותר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המדינה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לא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התנגדה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לטענה כי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נוכח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תיקון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</w:t>
      </w:r>
      <w:r>
        <w:rPr>
          <w:rFonts w:ascii="FrankRuehl" w:hAnsi="FrankRuehl"/>
          <w:sz w:val="26"/>
          <w:sz w:val="26"/>
          <w:rtl w:val="true"/>
        </w:rPr>
        <w:t>חוק</w:t>
      </w:r>
      <w:r>
        <w:rPr>
          <w:rFonts w:ascii="FrankRuehl" w:hAnsi="FrankRuehl"/>
          <w:sz w:val="26"/>
          <w:sz w:val="26"/>
          <w:rtl w:val="true"/>
        </w:rPr>
        <w:t xml:space="preserve"> יש לקצר את עונשו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גדר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המחלוקת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המדינה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להגנה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אפוא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סבה </w:t>
      </w:r>
      <w:r>
        <w:rPr>
          <w:rFonts w:ascii="FrankRuehl" w:hAnsi="FrankRuehl"/>
          <w:sz w:val="26"/>
          <w:sz w:val="26"/>
          <w:rtl w:val="true"/>
        </w:rPr>
        <w:t>כולה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המקום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שראוי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ליתן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לרכיב </w:t>
      </w:r>
      <w:r>
        <w:rPr>
          <w:rFonts w:ascii="FrankRuehl" w:hAnsi="FrankRuehl"/>
          <w:sz w:val="26"/>
          <w:sz w:val="26"/>
          <w:rtl w:val="true"/>
        </w:rPr>
        <w:t>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תנאי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בקיצור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עונש</w:t>
      </w:r>
      <w:r>
        <w:rPr>
          <w:rFonts w:ascii="FrankRuehl" w:hAnsi="FrankRuehl"/>
          <w:sz w:val="26"/>
          <w:sz w:val="26"/>
          <w:rtl w:val="true"/>
        </w:rPr>
        <w:t>ו של המערער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בעוד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שלעמדת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המדינה</w:t>
      </w:r>
      <w:r>
        <w:rPr>
          <w:rFonts w:ascii="FrankRuehl" w:hAnsi="FrankRuehl"/>
          <w:sz w:val="26"/>
          <w:sz w:val="26"/>
          <w:rtl w:val="true"/>
        </w:rPr>
        <w:t xml:space="preserve"> על בית המשפט להטיל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יו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בפועל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ולמעשה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להפחית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מעונשו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</w:t>
      </w:r>
      <w:r>
        <w:rPr>
          <w:rFonts w:ascii="FrankRuehl" w:hAnsi="FrankRuehl"/>
          <w:sz w:val="26"/>
          <w:sz w:val="26"/>
          <w:rtl w:val="true"/>
        </w:rPr>
        <w:t xml:space="preserve">תי שנות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בפועל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ושנת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תנאי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ההגנה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עמדה על כך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המערער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לשאת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</w:t>
      </w:r>
      <w:r>
        <w:rPr>
          <w:rFonts w:ascii="FrankRuehl" w:hAnsi="FrankRuehl"/>
          <w:sz w:val="26"/>
          <w:sz w:val="26"/>
          <w:rtl w:val="true"/>
        </w:rPr>
        <w:t>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מתוכן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19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בפועל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ושנת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אחת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תנאי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לאמור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להפחית מעונשו שלוש שנות מאסר בפועל ולהתיר על כנה שנת מאסר אחת על תנאי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בפסק דינו של בית המשפט המחוזי הוצגו שלוש אפשרויות פרשניות שונות ביחס לשאלה הנזכרת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היא הפרשנות המחמירה יותר עם המערער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אשר זכתה בחוות הדעת של שופטי ההרכב לכינוי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האפשרות הכרונולוגי</w:t>
      </w:r>
      <w:r>
        <w:rPr>
          <w:rFonts w:ascii="FrankRuehl" w:hAnsi="FrankRuehl"/>
          <w:sz w:val="26"/>
          <w:sz w:val="26"/>
          <w:rtl w:val="true"/>
        </w:rPr>
        <w:t>ת</w:t>
      </w:r>
      <w:r>
        <w:rPr>
          <w:rFonts w:cs="FrankRuehl" w:ascii="FrankRuehl" w:hAnsi="FrankRuehl"/>
          <w:sz w:val="26"/>
          <w:rtl w:val="true"/>
        </w:rPr>
        <w:t xml:space="preserve">" </w:t>
      </w:r>
      <w:r>
        <w:rPr>
          <w:rFonts w:ascii="FrankRuehl" w:hAnsi="FrankRuehl"/>
          <w:sz w:val="26"/>
          <w:sz w:val="26"/>
          <w:rtl w:val="true"/>
        </w:rPr>
        <w:t xml:space="preserve">או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הליניארית</w:t>
      </w:r>
      <w:r>
        <w:rPr>
          <w:rFonts w:cs="FrankRuehl" w:ascii="FrankRuehl" w:hAnsi="FrankRuehl"/>
          <w:sz w:val="26"/>
          <w:rtl w:val="true"/>
        </w:rPr>
        <w:t xml:space="preserve">". </w:t>
      </w:r>
      <w:r>
        <w:rPr>
          <w:rFonts w:ascii="FrankRuehl" w:hAnsi="FrankRuehl"/>
          <w:sz w:val="26"/>
          <w:sz w:val="26"/>
          <w:rtl w:val="true"/>
        </w:rPr>
        <w:t>לפיה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הכרונולוגי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משום שהעונש הראשון בזמן שהוטל על המערער לרצות הוא עונש המאסר בפועל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מרגע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שהתמלאה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המכסה</w:t>
      </w:r>
      <w:r>
        <w:rPr>
          <w:rFonts w:ascii="FrankRuehl" w:hAnsi="FrankRuehl"/>
          <w:sz w:val="26"/>
          <w:sz w:val="26"/>
          <w:rtl w:val="true"/>
        </w:rPr>
        <w:t xml:space="preserve"> המרבית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המותרת </w:t>
      </w:r>
      <w:r>
        <w:rPr>
          <w:rFonts w:ascii="FrankRuehl" w:hAnsi="FrankRuehl"/>
          <w:sz w:val="26"/>
          <w:sz w:val="26"/>
          <w:rtl w:val="true"/>
        </w:rPr>
        <w:t>של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</w:t>
      </w:r>
      <w:r>
        <w:rPr>
          <w:rFonts w:ascii="FrankRuehl" w:hAnsi="FrankRuehl"/>
          <w:sz w:val="26"/>
          <w:sz w:val="26"/>
          <w:rtl w:val="true"/>
        </w:rPr>
        <w:t>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המאסר</w:t>
      </w:r>
      <w:r>
        <w:rPr>
          <w:rFonts w:ascii="FrankRuehl" w:hAnsi="FrankRuehl"/>
          <w:sz w:val="26"/>
          <w:sz w:val="26"/>
          <w:rtl w:val="true"/>
        </w:rPr>
        <w:t xml:space="preserve"> כפי שנקבע בחיקוק המקל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 בית המשפט לקצר מן העונש המקורי את העונש שנותר למערער לרצות מאוחר לכך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תוצאת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הפעלת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פרשנות זו </w:t>
      </w:r>
      <w:r>
        <w:rPr>
          <w:rFonts w:ascii="FrankRuehl" w:hAnsi="FrankRuehl"/>
          <w:sz w:val="26"/>
          <w:sz w:val="26"/>
          <w:rtl w:val="true"/>
        </w:rPr>
        <w:t>בענייננו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בה תמך כב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>השופט פינקלשטיין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זהה להצעת המדינה</w:t>
      </w:r>
      <w:r>
        <w:rPr>
          <w:rFonts w:cs="FrankRuehl" w:ascii="FrankRuehl" w:hAnsi="FrankRuehl"/>
          <w:sz w:val="26"/>
          <w:rtl w:val="true"/>
        </w:rPr>
        <w:t xml:space="preserve">; </w:t>
      </w:r>
      <w:r>
        <w:rPr>
          <w:rFonts w:ascii="FrankRuehl" w:hAnsi="FrankRuehl"/>
          <w:sz w:val="26"/>
          <w:sz w:val="26"/>
          <w:rtl w:val="true"/>
        </w:rPr>
        <w:t>על פיה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יש לגזור על הנאשם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בפועל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תוך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מחיקת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שלוש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מעונשו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ובתוכן </w:t>
      </w:r>
      <w:r>
        <w:rPr>
          <w:rFonts w:ascii="FrankRuehl" w:hAnsi="FrankRuehl"/>
          <w:sz w:val="26"/>
          <w:sz w:val="26"/>
          <w:rtl w:val="true"/>
        </w:rPr>
        <w:t>שנ</w:t>
      </w:r>
      <w:r>
        <w:rPr>
          <w:rFonts w:ascii="FrankRuehl" w:hAnsi="FrankRuehl"/>
          <w:sz w:val="26"/>
          <w:sz w:val="26"/>
          <w:rtl w:val="true"/>
        </w:rPr>
        <w:t>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המותנה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 xml:space="preserve">הפרשנות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ascii="FrankRuehl" w:hAnsi="FrankRuehl"/>
          <w:sz w:val="26"/>
          <w:sz w:val="26"/>
          <w:rtl w:val="true"/>
        </w:rPr>
        <w:t xml:space="preserve"> שניתן להלביש על מצב הדברים היא הפרשנות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המקלה</w:t>
      </w:r>
      <w:r>
        <w:rPr>
          <w:rFonts w:cs="FrankRuehl" w:ascii="FrankRuehl" w:hAnsi="FrankRuehl"/>
          <w:sz w:val="26"/>
          <w:rtl w:val="true"/>
        </w:rPr>
        <w:t xml:space="preserve">" </w:t>
      </w:r>
      <w:r>
        <w:rPr>
          <w:rFonts w:ascii="FrankRuehl" w:hAnsi="FrankRuehl"/>
          <w:sz w:val="26"/>
          <w:sz w:val="26"/>
          <w:rtl w:val="true"/>
        </w:rPr>
        <w:t xml:space="preserve">או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המהותית</w:t>
      </w:r>
      <w:r>
        <w:rPr>
          <w:rFonts w:cs="FrankRuehl" w:ascii="FrankRuehl" w:hAnsi="FrankRuehl"/>
          <w:sz w:val="26"/>
          <w:rtl w:val="true"/>
        </w:rPr>
        <w:t xml:space="preserve">" </w:t>
      </w:r>
      <w:r>
        <w:rPr>
          <w:rFonts w:ascii="FrankRuehl" w:hAnsi="FrankRuehl"/>
          <w:sz w:val="26"/>
          <w:sz w:val="26"/>
          <w:rtl w:val="true"/>
        </w:rPr>
        <w:t>כפי שכונתה בפסק הדין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הציעה ההגנה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זו גורסת כי לאור </w:t>
      </w:r>
      <w:hyperlink r:id="rId59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34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כא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</w:t>
      </w:r>
      <w:hyperlink r:id="rId60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מורה כי במצב שבו קיימות מספר פרשנויות סבירות לחוק לפי תכליתו יש לבכר את זו המטיבה עם הנאשם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יש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לקצץ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רק מ</w:t>
      </w:r>
      <w:r>
        <w:rPr>
          <w:rFonts w:ascii="FrankRuehl" w:hAnsi="FrankRuehl"/>
          <w:sz w:val="26"/>
          <w:sz w:val="26"/>
          <w:rtl w:val="true"/>
        </w:rPr>
        <w:t>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בפועל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שהוטל על המערער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תוך התמקדות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במהות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ולא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במועד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שנקבע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לריצויו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לשיטת ההגנה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משום שעל בית המשפט לקצץ דווקא ברכיב העונש המחמיר ביותר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עליו להפחית רק מעונש המאסר בפועל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תחת הגישה האמורה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עונש המאסר המותנה של המערער צריך לעמוד על כנו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בשעה שההפחתה מן העונש המקורי צריך שתעשה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FrankRuehl" w:hAnsi="FrankRuehl"/>
          <w:sz w:val="26"/>
          <w:sz w:val="26"/>
          <w:rtl w:val="true"/>
        </w:rPr>
        <w:t xml:space="preserve"> ביחס לעונש המאסר בפועל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דהיינו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ascii="FrankRuehl" w:hAnsi="FrankRuehl"/>
          <w:sz w:val="26"/>
          <w:sz w:val="26"/>
          <w:rtl w:val="true"/>
        </w:rPr>
        <w:t xml:space="preserve">על הנאשם יושתו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מתוכן </w:t>
      </w:r>
      <w:r>
        <w:rPr>
          <w:rFonts w:cs="FrankRuehl" w:ascii="FrankRuehl" w:hAnsi="FrankRuehl"/>
          <w:sz w:val="26"/>
        </w:rPr>
        <w:t>19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 בפועל ושנת מאסר אחת על תנאי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השלישית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היחסית</w:t>
      </w:r>
      <w:r>
        <w:rPr>
          <w:rtl w:val="true"/>
        </w:rPr>
        <w:t xml:space="preserve">",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מיעוט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רכיבים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ובאיזונים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כשבזמן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היתרון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המיטבי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הוויזואלית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הכרונולוגית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התעלמות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ותכליותי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</w:t>
      </w:r>
      <w:r>
        <w:rPr>
          <w:rtl w:val="true"/>
        </w:rPr>
        <w:t>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tl w:val="true"/>
        </w:rPr>
        <w:t xml:space="preserve">" </w:t>
      </w:r>
      <w:r>
        <w:rPr>
          <w:rtl w:val="true"/>
        </w:rPr>
        <w:t>המקובל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בשיטתנו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מנהלי</w:t>
      </w:r>
      <w:r>
        <w:rPr>
          <w:rtl w:val="true"/>
        </w:rPr>
        <w:t xml:space="preserve">, </w:t>
      </w:r>
      <w:r>
        <w:rPr>
          <w:rtl w:val="true"/>
        </w:rPr>
        <w:t>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קשיותו</w:t>
      </w:r>
      <w:r>
        <w:rPr>
          <w:rtl w:val="true"/>
        </w:rPr>
        <w:t xml:space="preserve">, </w:t>
      </w:r>
      <w:r>
        <w:rPr>
          <w:rtl w:val="true"/>
        </w:rPr>
        <w:t>מתעלמת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האיזונים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ברודי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הצטרפה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וקבעה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</w:t>
      </w:r>
      <w:r>
        <w:rPr>
          <w:rtl w:val="true"/>
        </w:rPr>
        <w:t>תקופת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מקשה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לחול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העודף</w:t>
      </w:r>
      <w:r>
        <w:rPr>
          <w:rtl w:val="true"/>
        </w:rPr>
        <w:t xml:space="preserve">" </w:t>
      </w:r>
      <w:r>
        <w:rPr>
          <w:rtl w:val="true"/>
        </w:rPr>
        <w:t>בחלוף</w:t>
      </w:r>
      <w:r>
        <w:rPr>
          <w:rFonts w:cs="Calibri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יוטלו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שהופחתו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מעונשו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ערעור הסניגוריה הציבורית על פסק דינו של בית המשפט המחוזי מושתת על שתי טענות עיקריות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הראשונה היא כי בית המשפט פעל בניגוד לכלל הגיליוטינה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הקובע כי אין להידרש להפעלת שיקול דעת שיפוטי בהפחתת ענישה עקב חיקוק מקל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לעמדתה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התעלמות בית המשפט המחוזי מעונש המאסר על תנאי אשר הושת על המערער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שהוא רכיב ענישה שונה ונבדל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עולה כדי התערבות מהותית בגזר הדין המקורי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המפרה את האיזון בין רכיבי העונש שנגזר עליו</w:t>
      </w:r>
      <w:r>
        <w:rPr>
          <w:rFonts w:cs="FrankRuehl" w:ascii="FrankRuehl" w:hAnsi="FrankRuehl"/>
          <w:sz w:val="26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11"/>
        <w:numPr>
          <w:ilvl w:val="0"/>
          <w:numId w:val="0"/>
        </w:numPr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התביעה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מנגד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סמכה ידה על פסיקת דעת הרוב של בית המשפט המחוזי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היא שבה והדגישה כי </w:t>
      </w:r>
      <w:r>
        <w:rPr>
          <w:rFonts w:ascii="FrankRuehl" w:hAnsi="FrankRuehl"/>
          <w:sz w:val="26"/>
          <w:sz w:val="26"/>
          <w:rtl w:val="true"/>
        </w:rPr>
        <w:t>יש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ליתן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דגש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דווקא </w:t>
      </w:r>
      <w:r>
        <w:rPr>
          <w:rFonts w:ascii="FrankRuehl" w:hAnsi="FrankRuehl"/>
          <w:sz w:val="26"/>
          <w:sz w:val="26"/>
          <w:rtl w:val="true"/>
        </w:rPr>
        <w:t>לרצף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הכרונולוגי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עונש </w:t>
      </w:r>
      <w:r>
        <w:rPr>
          <w:rFonts w:ascii="FrankRuehl" w:hAnsi="FrankRuehl"/>
          <w:sz w:val="26"/>
          <w:sz w:val="26"/>
          <w:rtl w:val="true"/>
        </w:rPr>
        <w:t>המאסר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שהושת</w:t>
      </w:r>
      <w:r>
        <w:rPr>
          <w:rFonts w:ascii="FrankRuehl" w:hAnsi="FrankRuehl"/>
          <w:sz w:val="26"/>
          <w:sz w:val="26"/>
          <w:rtl w:val="true"/>
        </w:rPr>
        <w:t xml:space="preserve"> על המערער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ולשים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סוף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בדיוק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במועד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פי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דין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כבר לא ניתן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לחרוג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ממנו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לחומרא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בענייננו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לפי גישה זו אפוא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תנאי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אמור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היה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לחול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בח</w:t>
      </w:r>
      <w:r>
        <w:rPr>
          <w:rFonts w:ascii="FrankRuehl" w:hAnsi="FrankRuehl"/>
          <w:sz w:val="26"/>
          <w:sz w:val="26"/>
          <w:rtl w:val="true"/>
        </w:rPr>
        <w:t>ל</w:t>
      </w:r>
      <w:r>
        <w:rPr>
          <w:rFonts w:ascii="FrankRuehl" w:hAnsi="FrankRuehl"/>
          <w:sz w:val="26"/>
          <w:sz w:val="26"/>
          <w:rtl w:val="true"/>
        </w:rPr>
        <w:t>וף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22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מאסר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בפועל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בטל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כולו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עוד הודגש על ידי התביעה כי יש לשים לב לכך שלפרשנות בית המשפט בנוגע לשאלה שבפניו נודעות השלכות רחבות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הן ביחס לרפורמת עבירות ההמתה ולבקשות הפחתת העונש שהגיעו ויגיעו בעקבותיה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הן ביחס לפרשנות </w:t>
      </w:r>
      <w:hyperlink r:id="rId63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64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אליו מפנה הוראת המעבר הנידונה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חל על כלל העבירות בספר החוקים וצפוי לעורר אתגרים משפטיים גם בעתיד</w:t>
      </w:r>
      <w:r>
        <w:rPr>
          <w:rFonts w:cs="FrankRuehl" w:ascii="FrankRuehl" w:hAnsi="FrankRuehl"/>
          <w:sz w:val="26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ההכרעה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מלאכה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מאתגרת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מתוצאה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תעדנה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; </w:t>
      </w:r>
      <w:r>
        <w:rPr>
          <w:rtl w:val="true"/>
        </w:rPr>
        <w:t>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Calibri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ריצוי</w:t>
      </w:r>
      <w:r>
        <w:rPr>
          <w:rFonts w:cs="Calibri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Calibri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שהתיק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עובדותיו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מורכב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שותקת</w:t>
      </w:r>
      <w:r>
        <w:rPr>
          <w:rtl w:val="true"/>
        </w:rPr>
        <w:t xml:space="preserve">, </w:t>
      </w:r>
      <w:r>
        <w:rPr>
          <w:rtl w:val="true"/>
        </w:rPr>
        <w:t>ותכליתו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לתיבה</w:t>
      </w:r>
      <w:r>
        <w:rPr>
          <w:rtl w:val="true"/>
        </w:rPr>
        <w:t xml:space="preserve">: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עד 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 xml:space="preserve">המצויה </w:t>
      </w:r>
      <w:hyperlink r:id="rId65">
        <w:r>
          <w:rPr>
            <w:rStyle w:val="Hyperlink"/>
            <w:rFonts w:ascii="FrankRuehl" w:hAnsi="FrankRuehl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301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6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כאשר המונח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מאסר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כולל גם מאסר מותנה וגם מאסר בפועל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חקיקתי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נהוג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להסתייע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באינטואיציה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באינטואיציה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השיפוטית</w:t>
      </w:r>
      <w:r>
        <w:rPr>
          <w:rtl w:val="true"/>
        </w:rPr>
        <w:t xml:space="preserve">. </w:t>
      </w:r>
      <w:r>
        <w:rPr>
          <w:rtl w:val="true"/>
        </w:rPr>
        <w:t>ההסתייעות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צועדת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האינטואיציה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ההסתייעות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האינטואיציה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רציונליים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, </w:t>
      </w:r>
      <w:r>
        <w:rPr>
          <w:rtl w:val="true"/>
        </w:rPr>
        <w:t>החורגים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ממבחני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האינטואיציה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פועלת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 xml:space="preserve">;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רבדים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טיעוננו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שיידונו</w:t>
      </w:r>
      <w:r>
        <w:rPr>
          <w:rtl w:val="true"/>
        </w:rPr>
        <w:t>: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tl w:val="true"/>
        </w:rPr>
        <w:t>;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רפורמת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tl w:val="true"/>
        </w:rPr>
        <w:t>;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ייחודה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>; (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; 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התכליתית</w:t>
      </w:r>
      <w:r>
        <w:rPr>
          <w:rtl w:val="true"/>
        </w:rPr>
        <w:t>; 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; 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השלכותיה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>; (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; (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הכרעה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נתייחס לתתי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ascii="FrankRuehl" w:hAnsi="FrankRuehl"/>
          <w:sz w:val="26"/>
          <w:sz w:val="26"/>
          <w:rtl w:val="true"/>
        </w:rPr>
        <w:t>הפרקים לפי סדרם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b/>
          <w:strike/>
          <w:spacing w:val="0"/>
          <w:sz w:val="28"/>
          <w:szCs w:val="24"/>
        </w:rPr>
      </w:pPr>
      <w:r>
        <w:rPr>
          <w:rFonts w:cs="FrankRuehl" w:ascii="FrankRuehl" w:hAnsi="FrankRuehl"/>
          <w:b/>
          <w:strike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trike/>
          <w:sz w:val="28"/>
        </w:rPr>
      </w:pPr>
      <w:r>
        <w:rPr>
          <w:rFonts w:cs="FrankRuehl" w:ascii="FrankRuehl" w:hAnsi="FrankRuehl"/>
          <w:strike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trike/>
          <w:sz w:val="28"/>
        </w:rPr>
      </w:pPr>
      <w:r>
        <w:rPr>
          <w:rFonts w:cs="FrankRuehl" w:ascii="FrankRuehl" w:hAnsi="FrankRuehl"/>
          <w:strike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trike/>
          <w:sz w:val="28"/>
        </w:rPr>
      </w:pPr>
      <w:r>
        <w:rPr>
          <w:rFonts w:cs="FrankRuehl" w:ascii="FrankRuehl" w:hAnsi="FrankRuehl"/>
          <w:strike/>
          <w:sz w:val="28"/>
          <w:rtl w:val="true"/>
        </w:rPr>
      </w:r>
    </w:p>
    <w:p>
      <w:pPr>
        <w:pStyle w:val="Ruller41"/>
        <w:numPr>
          <w:ilvl w:val="0"/>
          <w:numId w:val="4"/>
        </w:numPr>
        <w:spacing w:lineRule="auto" w:line="276"/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מלאכת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הפרשנות</w:t>
      </w:r>
    </w:p>
    <w:p>
      <w:pPr>
        <w:pStyle w:val="Ruller41"/>
        <w:spacing w:lineRule="auto" w:line="276"/>
        <w:ind w:end="0"/>
        <w:jc w:val="both"/>
        <w:rPr>
          <w:rFonts w:ascii="Century" w:hAnsi="Century" w:cs="David"/>
          <w:b/>
          <w:spacing w:val="0"/>
          <w:sz w:val="24"/>
          <w:szCs w:val="24"/>
        </w:rPr>
      </w:pPr>
      <w:r>
        <w:rPr>
          <w:rFonts w:cs="David" w:ascii="Century" w:hAnsi="Century"/>
          <w:b/>
          <w:spacing w:val="0"/>
          <w:sz w:val="24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מלאכת פרשנותו של חוק כוללת שני שלבים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הלשון והתכלית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נקודת המוצא או התחנה </w:t>
      </w:r>
      <w:r>
        <w:rPr>
          <w:rtl w:val="true"/>
        </w:rPr>
        <w:t>הראשונה</w:t>
      </w:r>
      <w:r>
        <w:rPr>
          <w:rFonts w:ascii="FrankRuehl" w:hAnsi="FrankRuehl"/>
          <w:sz w:val="28"/>
          <w:sz w:val="28"/>
          <w:rtl w:val="true"/>
        </w:rPr>
        <w:t xml:space="preserve"> בה נתחיל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היא לשון החוק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לשונה של הוראת המעבר המעוגנת </w:t>
      </w:r>
      <w:hyperlink r:id="rId68">
        <w:r>
          <w:rPr>
            <w:rStyle w:val="Hyperlink"/>
            <w:rFonts w:ascii="FrankRuehl" w:hAnsi="FrankRuehl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25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לתיקון הניצבת במרכז דיוננו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תעמוד לבחינה תחילה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ההוראה מורה על החלת דין מקל למפרע בנוגע למי שהורשע </w:t>
      </w:r>
      <w:hyperlink r:id="rId69">
        <w:r>
          <w:rPr>
            <w:rStyle w:val="Hyperlink"/>
            <w:rFonts w:ascii="FrankRuehl" w:hAnsi="FrankRuehl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</w:t>
      </w:r>
      <w:hyperlink r:id="rId7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בגרסתו הקודמת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היא קובעת כי כאשר פסק הדין בעניין נאשם שכזה הפך לחלוט</w:t>
      </w:r>
      <w:r>
        <w:rPr>
          <w:rFonts w:cs="FrankRuehl" w:ascii="FrankRuehl" w:hAnsi="FrankRuehl"/>
          <w:sz w:val="28"/>
          <w:rtl w:val="true"/>
        </w:rPr>
        <w:t>: "</w:t>
      </w:r>
      <w:r>
        <w:rPr>
          <w:rFonts w:ascii="FrankRuehl" w:hAnsi="FrankRuehl"/>
          <w:sz w:val="28"/>
          <w:sz w:val="28"/>
          <w:rtl w:val="true"/>
        </w:rPr>
        <w:t>יראו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אותו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כמי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שהורשע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בעבירה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לפי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71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301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72"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2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73"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cs="FrankRuehl" w:ascii="FrankRuehl" w:hAnsi="FrankRuehl"/>
            <w:sz w:val="28"/>
          </w:rPr>
          <w:t>3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לחוק </w:t>
      </w:r>
      <w:r>
        <w:rPr>
          <w:rFonts w:ascii="FrankRuehl" w:hAnsi="FrankRuehl"/>
          <w:sz w:val="28"/>
          <w:sz w:val="28"/>
          <w:rtl w:val="true"/>
        </w:rPr>
        <w:t>העיקרי</w:t>
      </w:r>
      <w:r>
        <w:rPr>
          <w:rFonts w:cs="FrankRuehl" w:ascii="FrankRuehl" w:hAnsi="FrankRuehl"/>
          <w:sz w:val="28"/>
          <w:rtl w:val="true"/>
        </w:rPr>
        <w:t xml:space="preserve">... </w:t>
      </w:r>
      <w:r>
        <w:rPr>
          <w:rFonts w:ascii="FrankRuehl" w:hAnsi="FrankRuehl"/>
          <w:sz w:val="28"/>
          <w:sz w:val="28"/>
          <w:rtl w:val="true"/>
        </w:rPr>
        <w:t>ועונשו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המרבי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יהיה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העונש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שנקבע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באותו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סעיף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דומה כי משמעותה ה</w:t>
      </w:r>
      <w:r>
        <w:rPr>
          <w:rFonts w:ascii="FrankRuehl" w:hAnsi="FrankRuehl"/>
          <w:sz w:val="28"/>
          <w:sz w:val="28"/>
          <w:rtl w:val="true"/>
        </w:rPr>
        <w:t>הגיונית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>טבעית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של </w:t>
      </w:r>
      <w:r>
        <w:rPr>
          <w:rFonts w:ascii="FrankRuehl" w:hAnsi="FrankRuehl"/>
          <w:sz w:val="28"/>
          <w:sz w:val="28"/>
          <w:rtl w:val="true"/>
        </w:rPr>
        <w:t>לשון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74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301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המתוקן אליו ההוראה מפנה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הקובעת עונש של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עד 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>יכולה להכיל את הפרשנות המחמירה שהציעה התביעה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קרי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ריצוי 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את הפרשנות המקלה שמציעה ההגנה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המורה על השתת </w:t>
      </w:r>
      <w:r>
        <w:rPr>
          <w:rFonts w:cs="FrankRuehl" w:ascii="FrankRuehl" w:hAnsi="FrankRuehl"/>
          <w:sz w:val="28"/>
        </w:rPr>
        <w:t>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 בפועל ושנת מאסר מותנה אחת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וכן את הפרשנות שהוצעה בדעת המיעוט בפסק דינו של בית המשפט המחוזי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זאת מחמת התייחסותו הזהה של המחוקק אל שני סוגי העונש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מאסר מותנה ומאסר בפועל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בתור עונש 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כפי שיובהר בהמשך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מפני שעונשי המאסר השונים מכונים שניהם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עונש מאסר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ב</w:t>
      </w:r>
      <w:hyperlink r:id="rId7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עולה כי ה</w:t>
      </w:r>
      <w:r>
        <w:rPr>
          <w:rFonts w:ascii="FrankRuehl" w:hAnsi="FrankRuehl"/>
          <w:sz w:val="28"/>
          <w:sz w:val="28"/>
          <w:rtl w:val="true"/>
        </w:rPr>
        <w:t>בחינה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>לשונית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פתוחה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ליותר מפרשנות לשונית אחת וכי אחת לא </w:t>
      </w:r>
      <w:r>
        <w:rPr>
          <w:rFonts w:ascii="FrankRuehl" w:hAnsi="FrankRuehl"/>
          <w:sz w:val="28"/>
          <w:sz w:val="28"/>
          <w:rtl w:val="true"/>
        </w:rPr>
        <w:t xml:space="preserve">בהכרח </w:t>
      </w:r>
      <w:r>
        <w:rPr>
          <w:rFonts w:ascii="FrankRuehl" w:hAnsi="FrankRuehl"/>
          <w:sz w:val="28"/>
          <w:sz w:val="28"/>
          <w:rtl w:val="true"/>
        </w:rPr>
        <w:t>עדיפה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לשונית ביחס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ascii="FrankRuehl" w:hAnsi="FrankRuehl"/>
          <w:sz w:val="28"/>
          <w:sz w:val="28"/>
          <w:rtl w:val="true"/>
        </w:rPr>
        <w:t>שנייה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נכון לבחון את מידת הגשמתן של שלוש הפרשנויות המוצעות את תכלית החוק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מהפרשנויות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מגשימות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tl w:val="true"/>
        </w:rPr>
        <w:t xml:space="preserve">, </w:t>
      </w:r>
      <w:r>
        <w:rPr>
          <w:rtl w:val="true"/>
        </w:rPr>
        <w:t>ובאיזו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ההיסטורי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spacing w:lineRule="auto" w:line="276"/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המעבר</w:t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בתמצית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הרפורמה</w:t>
      </w:r>
      <w:r>
        <w:rPr>
          <w:rFonts w:ascii="FrankRuehl" w:hAnsi="FrankRuehl"/>
          <w:sz w:val="28"/>
          <w:sz w:val="28"/>
          <w:rtl w:val="true"/>
        </w:rPr>
        <w:t xml:space="preserve"> בעבירות ההמתה נחקקה בחלוף שנים ארוכות בהן הושמעו קריאות בפסיקה ובספרות המשפטית על אודות הצורך לתקן את עבירות גרימת המוות בדין </w:t>
      </w:r>
      <w:r>
        <w:rPr>
          <w:rtl w:val="true"/>
        </w:rPr>
        <w:t>הישראלי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 למשל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6"/>
          <w:sz w:val="26"/>
          <w:rtl w:val="true"/>
        </w:rPr>
        <w:t xml:space="preserve">מרדכי קרמניצר וחאלד </w:t>
      </w:r>
      <w:hyperlink r:id="rId77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גנאים הרפורמה בעבירות ההמתה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2019</w:t>
        </w:r>
      </w:hyperlink>
      <w:r>
        <w:rPr>
          <w:rFonts w:cs="Miriam"/>
          <w:b/>
          <w:spacing w:val="0"/>
          <w:szCs w:val="24"/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לאור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עקרונות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היסוד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ומחקר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היסטורי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והשוואתי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FrankRuehl" w:ascii="FrankRuehl" w:hAnsi="FrankRuehl"/>
          <w:sz w:val="26"/>
        </w:rPr>
        <w:t>206-204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cs="FrankRuehl" w:ascii="FrankRuehl" w:hAnsi="FrankRuehl"/>
          <w:sz w:val="26"/>
        </w:rPr>
        <w:t>2020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sz w:val="26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והאסמכתאות</w:t>
      </w:r>
      <w:r>
        <w:rPr>
          <w:rFonts w:ascii="FrankRuehl" w:hAnsi="FrankRuehl"/>
          <w:sz w:val="28"/>
          <w:sz w:val="28"/>
          <w:rtl w:val="true"/>
        </w:rPr>
        <w:t xml:space="preserve"> שם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להלן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קרמניצר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וגנאים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אהרן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7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אנקר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רצח תוך ביצוע עבירה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: 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היחס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העבירה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האחרת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לעבירת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גרם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המוות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cs="Miriam"/>
          <w:b/>
          <w:b/>
          <w:spacing w:val="0"/>
          <w:szCs w:val="24"/>
          <w:rtl w:val="true"/>
        </w:rPr>
        <w:t>מחקרי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משפט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כרך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התש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ם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 xml:space="preserve">ראו גם </w:t>
      </w:r>
      <w:hyperlink r:id="rId7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5686/07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בסטיקאר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17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17.2.2011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 xml:space="preserve">בשנת </w:t>
      </w:r>
      <w:r>
        <w:rPr>
          <w:rFonts w:cs="FrankRuehl" w:ascii="FrankRuehl" w:hAnsi="FrankRuehl"/>
          <w:sz w:val="28"/>
        </w:rPr>
        <w:t>2007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מונה צוות לבחינת עבירות ההמתה ב</w:t>
      </w:r>
      <w:hyperlink r:id="rId8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בידי פרופ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ascii="FrankRuehl" w:hAnsi="FrankRuehl"/>
          <w:sz w:val="28"/>
          <w:sz w:val="28"/>
          <w:rtl w:val="true"/>
        </w:rPr>
        <w:t>דניאל פרידמן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ששימש באותה </w:t>
      </w:r>
      <w:r>
        <w:rPr>
          <w:rFonts w:ascii="FrankRuehl" w:hAnsi="FrankRuehl"/>
          <w:sz w:val="28"/>
          <w:sz w:val="28"/>
          <w:rtl w:val="true"/>
        </w:rPr>
        <w:t>תקופה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משפטים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בסיס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המלצות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הצוות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נחקק תיקון 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137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8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מדברי ההסבר להצעת החוק עולה כי במוקד הביקורת על עבירות גרימת המוות קודם לתיקון עמדה הטענה לפיה היקף תחולת עבירת הרצח רחב מדי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ובשל כך החוק סובל מהעדר הלימה בין חומרת מעשיהם של נאשמים ובין חומרת העבירות בהן הורשעו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דברי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הסבר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להצעת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8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תיקון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124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עבירות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המתה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התשע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2015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הממשלה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166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166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דברי</w:t>
      </w:r>
      <w:r>
        <w:rPr>
          <w:rFonts w:cs="Calibri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ההסבר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>הרפורמה נועדה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ליצור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מדרג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נורמטיבי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רחב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יותר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עבירות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המאפשר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להבחין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רמות</w:t>
      </w:r>
      <w:r>
        <w:rPr>
          <w:rFonts w:ascii="FrankRuehl" w:hAnsi="FrankRuehl"/>
          <w:sz w:val="28"/>
          <w:sz w:val="28"/>
          <w:rtl w:val="true"/>
        </w:rPr>
        <w:t xml:space="preserve"> הח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>מרה השונות שכל אח</w:t>
      </w:r>
      <w:r>
        <w:rPr>
          <w:rFonts w:ascii="FrankRuehl" w:hAnsi="FrankRuehl"/>
          <w:sz w:val="28"/>
          <w:sz w:val="28"/>
          <w:rtl w:val="true"/>
        </w:rPr>
        <w:t>ת</w:t>
      </w:r>
      <w:r>
        <w:rPr>
          <w:rFonts w:ascii="FrankRuehl" w:hAnsi="FrankRuehl"/>
          <w:sz w:val="28"/>
          <w:sz w:val="28"/>
          <w:rtl w:val="true"/>
        </w:rPr>
        <w:t xml:space="preserve"> מהן מגלה תוך קביעת רף ענישה הולם בצמוד להן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לתחולת </w:t>
      </w:r>
      <w:r>
        <w:rPr>
          <w:rFonts w:ascii="FrankRuehl" w:hAnsi="FrankRuehl"/>
          <w:sz w:val="28"/>
          <w:sz w:val="28"/>
          <w:rtl w:val="true"/>
        </w:rPr>
        <w:t>השינויים</w:t>
      </w:r>
      <w:r>
        <w:rPr>
          <w:rFonts w:ascii="FrankRuehl" w:hAnsi="FrankRuehl"/>
          <w:sz w:val="28"/>
          <w:sz w:val="28"/>
          <w:rtl w:val="true"/>
        </w:rPr>
        <w:t xml:space="preserve"> בדין שיצרה הרפורמה על חשודים ונאשמים – נידרש כעת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 xml:space="preserve">המחוקק לא הסתפק אך ביצירת שינוי בעבירות ההמתה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תוך ביטולן של חלק </w:t>
      </w:r>
      <w:r>
        <w:rPr>
          <w:rtl w:val="true"/>
        </w:rPr>
        <w:t>והוספתן</w:t>
      </w:r>
      <w:r>
        <w:rPr>
          <w:rFonts w:ascii="FrankRuehl" w:hAnsi="FrankRuehl"/>
          <w:sz w:val="26"/>
          <w:sz w:val="26"/>
          <w:rtl w:val="true"/>
        </w:rPr>
        <w:t xml:space="preserve"> של אחרות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נוסף על כך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קבע תחת </w:t>
      </w:r>
      <w:hyperlink r:id="rId83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25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לתיקון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שכותרת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cs="FrankRuehl" w:ascii="FrankRuehl" w:hAnsi="FrankRuehl"/>
          <w:sz w:val="26"/>
          <w:rtl w:val="true"/>
        </w:rPr>
        <w:t>: "</w:t>
      </w:r>
      <w:r>
        <w:rPr>
          <w:rFonts w:ascii="FrankRuehl" w:hAnsi="FrankRuehl"/>
          <w:sz w:val="26"/>
          <w:sz w:val="26"/>
          <w:rtl w:val="true"/>
        </w:rPr>
        <w:t>תחילה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תחולה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והוראות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מעבר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הוראות מעבר ייחודיות עבור העבירות בהן מטפל התיקון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למרות שלכאורה יכול היה להסתפק בהוראות התחולה הכלליות ב</w:t>
      </w:r>
      <w:hyperlink r:id="rId84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החלופה הרלוונטית של הוראת המעבר לענייננו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ascii="FrankRuehl" w:hAnsi="FrankRuehl"/>
          <w:sz w:val="26"/>
          <w:sz w:val="26"/>
          <w:rtl w:val="true"/>
        </w:rPr>
        <w:t>אנו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מנויה </w:t>
      </w:r>
      <w:hyperlink r:id="rId85"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sz w:val="26"/>
          </w:rPr>
          <w:t>25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לתיקון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hyperlink r:id="rId86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>,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הקובע כי</w:t>
      </w:r>
      <w:r>
        <w:rPr>
          <w:rFonts w:cs="FrankRuehl" w:ascii="FrankRuehl" w:hAnsi="FrankRuehl"/>
          <w:sz w:val="26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התחילה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301</w:t>
      </w:r>
      <w:r>
        <w:rPr>
          <w:rtl w:val="true"/>
        </w:rPr>
        <w:t>ב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כנוסחו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לשון הוראת המעבר מורה אפוא ש</w:t>
      </w:r>
      <w:r>
        <w:rPr>
          <w:rFonts w:ascii="FrankRuehl" w:hAnsi="FrankRuehl"/>
          <w:sz w:val="26"/>
          <w:sz w:val="26"/>
          <w:rtl w:val="true"/>
        </w:rPr>
        <w:t>ככלל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פסק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דין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חלוט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שניתן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בגין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עבירה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שבוצעה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לפני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הרפורמה בעבירות ההמתה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יחול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הדין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שעמד בתוקף בשעת ביצוע העבירה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זולת לחריגים שנקבעו בסיפא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של </w:t>
      </w:r>
      <w:hyperlink r:id="rId87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25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לתיקון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עם חריגים אלו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בין היתר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נמנית ההרשעה באחת משלוש החלופות המנויות </w:t>
      </w:r>
      <w:hyperlink r:id="rId88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89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בגרסתו הישנה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בה הורשע המערער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הקובע כי</w:t>
      </w:r>
      <w:r>
        <w:rPr>
          <w:rFonts w:cs="FrankRuehl" w:ascii="FrankRuehl" w:hAnsi="FrankRuehl"/>
          <w:sz w:val="26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ליקוי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השכלי</w:t>
      </w:r>
      <w:r>
        <w:rPr>
          <w:rtl w:val="true"/>
        </w:rPr>
        <w:t xml:space="preserve">, </w:t>
      </w:r>
      <w:r>
        <w:rPr>
          <w:rtl w:val="true"/>
        </w:rPr>
        <w:t>הוגבלה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ל</w:t>
      </w:r>
      <w:r>
        <w:rPr>
          <w:rtl w:val="true"/>
        </w:rPr>
        <w:t>הב</w:t>
      </w:r>
      <w:r>
        <w:rPr>
          <w:rtl w:val="true"/>
        </w:rPr>
        <w:t>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ו</w:t>
      </w:r>
      <w:r>
        <w:rPr>
          <w:rtl w:val="true"/>
        </w:rPr>
        <w:t>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מע</w:t>
      </w:r>
      <w:r>
        <w:rPr>
          <w:rtl w:val="true"/>
        </w:rPr>
        <w:t>שהו</w:t>
      </w:r>
      <w:r>
        <w:rPr>
          <w:rtl w:val="true"/>
        </w:rPr>
        <w:t xml:space="preserve">; </w:t>
      </w:r>
      <w:r>
        <w:rPr>
          <w:rtl w:val="true"/>
        </w:rPr>
        <w:t>או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הותירה את שיקול הדעת בעניין ענישת נאשם לשופטים היושבים בדין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יכלו להטיל בגין אותה הרשעה עונש מאסר נמוך מעונש מאסר העולם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שיקול הדעת הרחב שעלה מלשון הסעיף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הדגיש כי מדובר בסמכות שברשות </w:t>
      </w:r>
      <w:r>
        <w:rPr>
          <w:rFonts w:cs="FrankRuehl" w:ascii="FrankRuehl" w:hAnsi="FrankRuehl"/>
          <w:sz w:val="26"/>
          <w:rtl w:val="true"/>
        </w:rPr>
        <w:t>("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FrankRuehl" w:hAnsi="FrankRuehl"/>
          <w:sz w:val="26"/>
          <w:sz w:val="26"/>
          <w:rtl w:val="true"/>
        </w:rPr>
        <w:t xml:space="preserve"> להטיל עונש קל מהקבוע בו</w:t>
      </w:r>
      <w:r>
        <w:rPr>
          <w:rFonts w:cs="FrankRuehl" w:ascii="FrankRuehl" w:hAnsi="FrankRuehl"/>
          <w:sz w:val="26"/>
          <w:rtl w:val="true"/>
        </w:rPr>
        <w:t>" (</w:t>
      </w:r>
      <w:r>
        <w:rPr>
          <w:rFonts w:ascii="FrankRuehl" w:hAnsi="FrankRuehl"/>
          <w:sz w:val="26"/>
          <w:sz w:val="26"/>
          <w:rtl w:val="true"/>
        </w:rPr>
        <w:t>ההדגשה אינה במקור</w:t>
      </w:r>
      <w:r>
        <w:rPr>
          <w:rFonts w:cs="FrankRuehl" w:ascii="FrankRuehl" w:hAnsi="FrankRuehl"/>
          <w:sz w:val="26"/>
          <w:rtl w:val="true"/>
        </w:rPr>
        <w:t>) (</w:t>
      </w:r>
      <w:r>
        <w:rPr>
          <w:rFonts w:ascii="FrankRuehl" w:hAnsi="FrankRuehl"/>
          <w:sz w:val="26"/>
          <w:sz w:val="26"/>
          <w:rtl w:val="true"/>
        </w:rPr>
        <w:t xml:space="preserve">ראו </w:t>
      </w:r>
      <w:hyperlink r:id="rId90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2457/98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פ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נו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cs="FrankRuehl" w:ascii="FrankRuehl" w:hAnsi="FrankRuehl"/>
          <w:sz w:val="26"/>
        </w:rPr>
        <w:t>4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289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cs="FrankRuehl" w:ascii="FrankRuehl" w:hAnsi="FrankRuehl"/>
          <w:sz w:val="26"/>
        </w:rPr>
        <w:t>298-297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cs="FrankRuehl" w:ascii="FrankRuehl" w:hAnsi="FrankRuehl"/>
          <w:sz w:val="26"/>
        </w:rPr>
        <w:t>2002</w:t>
      </w:r>
      <w:r>
        <w:rPr>
          <w:rFonts w:cs="FrankRuehl" w:ascii="FrankRuehl" w:hAnsi="FrankRuehl"/>
          <w:sz w:val="26"/>
          <w:rtl w:val="true"/>
        </w:rPr>
        <w:t xml:space="preserve">); </w:t>
      </w:r>
      <w:hyperlink r:id="rId91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7853/05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6"/>
          <w:sz w:val="26"/>
          <w:rtl w:val="true"/>
        </w:rPr>
        <w:t>פסקה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8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cs="FrankRuehl" w:ascii="FrankRuehl" w:hAnsi="FrankRuehl"/>
          <w:sz w:val="26"/>
        </w:rPr>
        <w:t>27.11.2006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ascii="FrankRuehl" w:hAnsi="FrankRuehl"/>
          <w:sz w:val="26"/>
          <w:sz w:val="26"/>
          <w:rtl w:val="true"/>
        </w:rPr>
        <w:t>להלן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ascii="FrankRuehl" w:hAnsi="FrankRuehl"/>
          <w:sz w:val="26"/>
          <w:sz w:val="26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רחמיאן</w:t>
      </w:r>
      <w:r>
        <w:rPr>
          <w:rFonts w:cs="FrankRuehl" w:ascii="FrankRuehl" w:hAnsi="FrankRuehl"/>
          <w:sz w:val="26"/>
          <w:rtl w:val="true"/>
        </w:rPr>
        <w:t xml:space="preserve">)). </w:t>
      </w:r>
      <w:r>
        <w:rPr>
          <w:rFonts w:ascii="FrankRuehl" w:hAnsi="FrankRuehl"/>
          <w:sz w:val="26"/>
          <w:sz w:val="26"/>
          <w:rtl w:val="true"/>
        </w:rPr>
        <w:t>מכאן ש</w:t>
      </w:r>
      <w:r>
        <w:rPr>
          <w:rFonts w:ascii="FrankRuehl" w:hAnsi="FrankRuehl"/>
          <w:sz w:val="26"/>
          <w:sz w:val="26"/>
          <w:rtl w:val="true"/>
        </w:rPr>
        <w:t>במועד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גזירת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דינו של הנאשם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המרבי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שניתן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היה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להשית על המערער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כאמור</w:t>
      </w:r>
      <w:r>
        <w:rPr>
          <w:rFonts w:ascii="FrankRuehl" w:hAnsi="FrankRuehl"/>
          <w:sz w:val="26"/>
          <w:sz w:val="26"/>
          <w:rtl w:val="true"/>
        </w:rPr>
        <w:t xml:space="preserve"> ברישא של </w:t>
      </w:r>
      <w:hyperlink r:id="rId92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</w:t>
      </w:r>
      <w:hyperlink r:id="rId93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הוא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עונש מאסר עולם</w:t>
      </w:r>
      <w:r>
        <w:rPr>
          <w:rFonts w:cs="FrankRuehl" w:ascii="FrankRuehl" w:hAnsi="FrankRuehl"/>
          <w:sz w:val="26"/>
          <w:rtl w:val="true"/>
        </w:rPr>
        <w:t xml:space="preserve">; </w:t>
      </w:r>
      <w:r>
        <w:rPr>
          <w:rFonts w:ascii="FrankRuehl" w:hAnsi="FrankRuehl"/>
          <w:sz w:val="26"/>
          <w:sz w:val="26"/>
          <w:rtl w:val="true"/>
        </w:rPr>
        <w:t xml:space="preserve">אם כי ניתן היה להתחשב במצבו האישי בהתבסס על הסעיף שבו הורשע ולדון אותו לעונש קל מזה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כמות שאכן היה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לפי הוראת המעבר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מי שהורשע </w:t>
      </w:r>
      <w:hyperlink r:id="rId94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95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ייחשב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עם כניסתה של הרפורמה לתוקף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כמי </w:t>
      </w:r>
      <w:r>
        <w:rPr>
          <w:rFonts w:ascii="FrankRuehl" w:hAnsi="FrankRuehl"/>
          <w:sz w:val="26"/>
          <w:sz w:val="26"/>
          <w:rtl w:val="true"/>
        </w:rPr>
        <w:t>שהורשע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בעבירה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לפי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hyperlink r:id="rId96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301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</w:hyperlink>
      <w:r>
        <w:rPr>
          <w:rFonts w:ascii="FrankRuehl" w:hAnsi="FrankRuehl"/>
          <w:sz w:val="26"/>
          <w:sz w:val="26"/>
          <w:rtl w:val="true"/>
        </w:rPr>
        <w:t xml:space="preserve"> לחוק המעודכן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לקביעה זו שתי השלכות מרכזיות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FrankRuehl" w:hAnsi="FrankRuehl"/>
          <w:sz w:val="26"/>
          <w:sz w:val="26"/>
          <w:rtl w:val="true"/>
        </w:rPr>
        <w:t xml:space="preserve"> היא הצהרתית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ונוגעת לתיוג המעשה</w:t>
      </w:r>
      <w:r>
        <w:rPr>
          <w:rFonts w:cs="FrankRuehl" w:ascii="FrankRuehl" w:hAnsi="FrankRuehl"/>
          <w:sz w:val="26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ascii="FrankRuehl" w:hAnsi="FrankRuehl"/>
          <w:sz w:val="26"/>
          <w:sz w:val="26"/>
          <w:rtl w:val="true"/>
        </w:rPr>
        <w:t xml:space="preserve"> היא גם מעשית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ועוסקת בעונש שניתן להשית על מי שהורשע תחת הסעיף קודם לרפורמה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 xml:space="preserve">ההשלכה הראשונה של הוראת המעבר נוגעת לכך שבעוד שההרשעה </w:t>
      </w:r>
      <w:hyperlink r:id="rId97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</w:t>
      </w:r>
      <w:hyperlink r:id="rId98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קודם לתיקון הייתה בעבירת הרצח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ההרשעה </w:t>
      </w:r>
      <w:hyperlink r:id="rId99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301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</w:hyperlink>
      <w:r>
        <w:rPr>
          <w:rFonts w:ascii="FrankRuehl" w:hAnsi="FrankRuehl"/>
          <w:sz w:val="26"/>
          <w:sz w:val="26"/>
          <w:rtl w:val="true"/>
        </w:rPr>
        <w:t xml:space="preserve"> שבא במקומו היא הרשעה בעבירת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המתה בנסיבות של אחריות מופחתת</w:t>
      </w:r>
      <w:r>
        <w:rPr>
          <w:rFonts w:cs="FrankRuehl" w:ascii="FrankRuehl" w:hAnsi="FrankRuehl"/>
          <w:sz w:val="26"/>
          <w:rtl w:val="true"/>
        </w:rPr>
        <w:t>".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הבחירה להגדיר את עבירות ההמתה שהסעיף כולל דווקא בצורה זו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לעומת הגדרתן בתור עבירות רצח שעשויות להצדיק מתן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עונש מופחת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>מלמדת על התחזקותו של עקרון האשמה בדין הפלילי הישראלי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כפי שעולה מדברי ההסבר לחוק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ההנחה העומדת בבסיס שינוי זה היא כי לא ראוי שנאשמים שהורשעו תחת </w:t>
      </w:r>
      <w:hyperlink r:id="rId100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</w:t>
      </w:r>
      <w:hyperlink r:id="rId10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יהיו מתויגים בתור רוצחים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העשויים לזכות להקלה בעונשם נוכח נסיבות ביצוע ההמתה בה הואשמו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בתור סמכות שברשות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זאת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משום שכלל לא ראוי להטיל עליהם את אות הקלון של עבירת הרצח לכתחילה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שעה שמעשיהם לא עומדים בתנאי הסף הנדרשים להגדרת עבירת הרצח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שאמורה לכלול רק את המקרים החמורים ביותר של לקיחת חיי אדם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174</w:t>
      </w:r>
      <w:r>
        <w:rPr>
          <w:rFonts w:cs="FrankRuehl" w:ascii="FrankRuehl" w:hAnsi="FrankRuehl"/>
          <w:sz w:val="28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וגינאם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339</w:t>
      </w:r>
      <w:r>
        <w:rPr>
          <w:rFonts w:cs="FrankRuehl" w:ascii="FrankRuehl" w:hAnsi="FrankRuehl"/>
          <w:sz w:val="28"/>
          <w:rtl w:val="true"/>
        </w:rPr>
        <w:t xml:space="preserve">; </w:t>
      </w:r>
      <w:hyperlink r:id="rId10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1828/14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דאהן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27.6.2019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>ראו התייחסות לסוגיות התיוג גם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ascii="FrankRuehl" w:hAnsi="FrankRuehl"/>
          <w:sz w:val="28"/>
          <w:sz w:val="28"/>
          <w:rtl w:val="true"/>
        </w:rPr>
        <w:t>פרוטוקול ישיבה 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752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 ועדת החוקה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חוק ומשפט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הכנסת ה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15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32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31.12.2018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752</w:t>
      </w:r>
      <w:r>
        <w:rPr>
          <w:rFonts w:cs="FrankRuehl" w:ascii="FrankRuehl" w:hAnsi="FrankRuehl"/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להשלכתה השנייה של הוראת המעבר נודעת נפקות מעשית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משום שהיא קובעת כי </w:t>
      </w:r>
      <w:r>
        <w:rPr>
          <w:rFonts w:ascii="FrankRuehl" w:hAnsi="FrankRuehl"/>
          <w:sz w:val="26"/>
          <w:sz w:val="26"/>
          <w:rtl w:val="true"/>
        </w:rPr>
        <w:t>העונש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שניתן לגזור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נאשם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שהורשע בפסק דין חלוט </w:t>
      </w:r>
      <w:hyperlink r:id="rId103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לחוק עובר לתיקון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לא יעלה על </w:t>
      </w:r>
      <w:r>
        <w:rPr>
          <w:rFonts w:cs="FrankRuehl" w:ascii="FrankRuehl" w:hAnsi="FrankRuehl"/>
          <w:sz w:val="26"/>
        </w:rPr>
        <w:t>15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או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שנות מאסר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בהתאם לחלופת סעיף העבירה</w:t>
      </w:r>
      <w:r>
        <w:rPr>
          <w:rFonts w:cs="FrankRuehl" w:ascii="FrankRuehl" w:hAnsi="FrankRuehl"/>
          <w:sz w:val="26"/>
          <w:rtl w:val="true"/>
        </w:rPr>
        <w:t xml:space="preserve">). </w:t>
      </w:r>
      <w:r>
        <w:rPr>
          <w:rFonts w:ascii="FrankRuehl" w:hAnsi="FrankRuehl"/>
          <w:sz w:val="26"/>
          <w:sz w:val="26"/>
          <w:rtl w:val="true"/>
        </w:rPr>
        <w:t>בכך יש מן החידוש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ישנן שלוש חלופות </w:t>
      </w:r>
      <w:hyperlink r:id="rId104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300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אשר הוכחת התקיימותן עשויה להוביל למתן עונש מופחת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קודם לרפורמה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לא נערכה הבחנה ביחס לחומרה העולה מכל אחת מחלופות אלה והעונש הקבוע לצדן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לאחר הרפורמה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המחוקק הבחין בין הנסיבה של גרימת מוות עקב מצוקה נפשית קשה הנובעת מהתעללות חמורה של המנוח בנאשם או בבן משפחתו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עליה ניתן לגזור עד כ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15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שנות מאסר </w:t>
      </w:r>
      <w:r>
        <w:rPr>
          <w:rFonts w:cs="FrankRuehl" w:ascii="FrankRuehl" w:hAnsi="FrankRuehl"/>
          <w:sz w:val="26"/>
          <w:rtl w:val="true"/>
        </w:rPr>
        <w:t>(</w:t>
      </w:r>
      <w:hyperlink r:id="rId105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301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106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), </w:t>
      </w:r>
      <w:r>
        <w:rPr>
          <w:rFonts w:ascii="FrankRuehl" w:hAnsi="FrankRuehl"/>
          <w:sz w:val="26"/>
          <w:sz w:val="26"/>
          <w:rtl w:val="true"/>
        </w:rPr>
        <w:t>ובין יתר נסיבות הסעיף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שבשלן ניתן להשית עד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להשלמת התמונה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יוער גם כי לסעיף שנוגע לעבירת ההמתה בנסיבות של אחריות מופחתת נוספה עוד נסיבה לאלה שנמנו תחת הסעיף של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עונש מופחת</w:t>
      </w:r>
      <w:r>
        <w:rPr>
          <w:rFonts w:cs="FrankRuehl" w:ascii="FrankRuehl" w:hAnsi="FrankRuehl"/>
          <w:sz w:val="26"/>
          <w:rtl w:val="true"/>
        </w:rPr>
        <w:t xml:space="preserve">" </w:t>
      </w:r>
      <w:r>
        <w:rPr>
          <w:rFonts w:ascii="FrankRuehl" w:hAnsi="FrankRuehl"/>
          <w:sz w:val="26"/>
          <w:sz w:val="26"/>
          <w:rtl w:val="true"/>
        </w:rPr>
        <w:t>לפי הדין הישן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הנוגעת במעשה המתה בתכוף להתגרות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בזמן שתחת הדין הישן ההתייחסות להיעדר התגרות מצד קורבן ההמתה נעשתה כחלק מבחינת יסודות עבירת הרצח בכוונה תחילה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 xml:space="preserve">ראו </w:t>
      </w:r>
      <w:hyperlink r:id="rId107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301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6"/>
          </w:rPr>
          <w:t>1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108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המעודכן והשוו לסעיף </w:t>
      </w:r>
      <w:r>
        <w:rPr>
          <w:rFonts w:cs="FrankRuehl" w:ascii="FrankRuehl" w:hAnsi="FrankRuehl"/>
          <w:sz w:val="26"/>
        </w:rPr>
        <w:t>301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א</w:t>
      </w:r>
      <w:r>
        <w:rPr>
          <w:rFonts w:cs="FrankRuehl" w:ascii="FrankRuehl" w:hAnsi="FrankRuehl"/>
          <w:sz w:val="26"/>
          <w:rtl w:val="true"/>
        </w:rPr>
        <w:t xml:space="preserve">) </w:t>
      </w:r>
      <w:r>
        <w:rPr>
          <w:rFonts w:ascii="FrankRuehl" w:hAnsi="FrankRuehl"/>
          <w:sz w:val="26"/>
          <w:sz w:val="26"/>
          <w:rtl w:val="true"/>
        </w:rPr>
        <w:t>לדין הישן</w:t>
      </w:r>
      <w:r>
        <w:rPr>
          <w:rFonts w:cs="FrankRuehl" w:ascii="FrankRuehl" w:hAnsi="FrankRuehl"/>
          <w:sz w:val="26"/>
          <w:rtl w:val="true"/>
        </w:rPr>
        <w:t xml:space="preserve">; </w:t>
      </w:r>
      <w:r>
        <w:rPr>
          <w:rFonts w:ascii="FrankRuehl" w:hAnsi="FrankRuehl"/>
          <w:sz w:val="26"/>
          <w:sz w:val="26"/>
          <w:rtl w:val="true"/>
        </w:rPr>
        <w:t xml:space="preserve">ראו גם </w:t>
      </w:r>
      <w:hyperlink r:id="rId109">
        <w:r>
          <w:rPr>
            <w:rStyle w:val="Hyperlink"/>
            <w:rtl w:val="true"/>
          </w:rPr>
          <w:t>מרדכי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קרמניצר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וליאת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לבנון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היסוד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היעדר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קינטור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בהגדרת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כוונה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תחילה</w:t>
        </w:r>
        <w:r>
          <w:rPr>
            <w:rStyle w:val="Hyperlink"/>
            <w:rtl w:val="true"/>
          </w:rPr>
          <w:t xml:space="preserve">' </w:t>
        </w:r>
      </w:hyperlink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1042/04</w:t>
      </w:r>
      <w:r>
        <w:rPr>
          <w:rtl w:val="true"/>
        </w:rPr>
        <w:t xml:space="preserve"> </w:t>
      </w:r>
      <w:r>
        <w:rPr>
          <w:rtl w:val="true"/>
        </w:rPr>
        <w:t>ביטון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דינת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ואתיקה</w:t>
      </w:r>
      <w:r>
        <w:rPr>
          <w:rFonts w:eastAsia="Arial TUR" w:cs="Arial TUR"/>
          <w:rtl w:val="true"/>
        </w:rPr>
        <w:t xml:space="preserve"> </w:t>
      </w:r>
      <w:r>
        <w:rPr/>
        <w:t>547</w:t>
      </w:r>
      <w:r>
        <w:rPr>
          <w:rtl w:val="true"/>
        </w:rPr>
        <w:t xml:space="preserve">, </w:t>
      </w:r>
      <w:r>
        <w:rPr/>
        <w:t>571-569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ארד</w:t>
      </w:r>
      <w:r>
        <w:rPr>
          <w:rtl w:val="true"/>
        </w:rPr>
        <w:t>-</w:t>
      </w:r>
      <w:r>
        <w:rPr>
          <w:rtl w:val="true"/>
        </w:rPr>
        <w:t>אילון</w:t>
      </w:r>
      <w:r>
        <w:rPr>
          <w:rtl w:val="true"/>
        </w:rPr>
        <w:t xml:space="preserve">,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עורכים</w:t>
      </w:r>
      <w:r>
        <w:rPr>
          <w:rtl w:val="true"/>
        </w:rPr>
        <w:t xml:space="preserve">, </w:t>
      </w:r>
      <w:r>
        <w:rPr/>
        <w:t>2009</w:t>
      </w:r>
      <w:r>
        <w:rPr>
          <w:rFonts w:cs="FrankRuehl" w:ascii="FrankRuehl" w:hAnsi="FrankRuehl"/>
          <w:sz w:val="26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כך או כך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העונש המרבי שנקבע עבור עבירת ההמתה בנסיבות של אחריות מופחתת תחת </w:t>
      </w:r>
      <w:hyperlink r:id="rId110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301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</w:hyperlink>
      <w:r>
        <w:rPr>
          <w:rFonts w:ascii="FrankRuehl" w:hAnsi="FrankRuehl"/>
          <w:sz w:val="26"/>
          <w:sz w:val="26"/>
          <w:rtl w:val="true"/>
        </w:rPr>
        <w:t xml:space="preserve"> ל</w:t>
      </w:r>
      <w:hyperlink r:id="rId111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עומד על </w:t>
      </w:r>
      <w:r>
        <w:rPr>
          <w:rFonts w:cs="FrankRuehl" w:ascii="FrankRuehl" w:hAnsi="FrankRuehl"/>
          <w:sz w:val="26"/>
        </w:rPr>
        <w:t>15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או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 בפועל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זאת בשונה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מהאפשרות שעמדה בפני שופטים שהרשיעו נאשם תחת </w:t>
      </w:r>
      <w:hyperlink r:id="rId112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להשית גם עונש חמור מכך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כמו עונש מאסר עולם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אם במסגרת </w:t>
      </w:r>
      <w:hyperlink r:id="rId113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300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 ההקלה בעונש הייתה עניין לשופט להחליט בו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כעת ההקלה בדין עם נאשמים בשל שינוי תקרת העונש המרבי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בגדר חובה היא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שינוי הגדרת העבירה זוכה לביטוי אשר הולם את התפישה העומדת בבסיסו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לפיה אחריותם וקלונם של מבצעי עבירות ההמתה בנסיבות הייחודיות הכלולות בסעיף פחותים ביחס למבצעי עבירות הרצח למיניהן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נסכם ונאמר שככלל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הנסיבות המגבשות את החריגים שנידונו לא השתנו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אלא התיוג הנלווה להן והעונש שניתן לגזור בגינן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tl w:val="true"/>
        </w:rPr>
        <w:t>יודגש</w:t>
      </w:r>
      <w:r>
        <w:rPr>
          <w:rFonts w:ascii="FrankRuehl" w:hAnsi="FrankRuehl"/>
          <w:sz w:val="26"/>
          <w:sz w:val="26"/>
          <w:rtl w:val="true"/>
        </w:rPr>
        <w:t xml:space="preserve"> כי </w:t>
      </w:r>
      <w:r>
        <w:rPr>
          <w:rFonts w:ascii="FrankRuehl" w:hAnsi="FrankRuehl"/>
          <w:sz w:val="26"/>
          <w:sz w:val="26"/>
          <w:rtl w:val="true"/>
        </w:rPr>
        <w:t>הוראת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המעבר</w:t>
      </w:r>
      <w:r>
        <w:rPr>
          <w:rFonts w:ascii="FrankRuehl" w:hAnsi="FrankRuehl"/>
          <w:sz w:val="26"/>
          <w:sz w:val="26"/>
          <w:rtl w:val="true"/>
        </w:rPr>
        <w:t xml:space="preserve"> קשורה בטבורה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hyperlink r:id="rId114"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לסעיף </w:t>
        </w:r>
        <w:r>
          <w:rPr>
            <w:rStyle w:val="Hyperlink"/>
            <w:rFonts w:cs="FrankRuehl" w:ascii="FrankRuehl" w:hAnsi="FrankRuehl"/>
            <w:sz w:val="26"/>
          </w:rPr>
          <w:t>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115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בדברי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ההסבר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להצעת החוק המוקדמת של הרפורמה בעבירות ההמתה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אף נכתב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כי</w:t>
      </w:r>
      <w:r>
        <w:rPr>
          <w:rFonts w:cs="FrankRuehl" w:ascii="FrankRuehl" w:hAnsi="FrankRuehl"/>
          <w:sz w:val="26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Fonts w:ascii="FrankRuehl" w:hAnsi="FrankRuehl"/>
          <w:sz w:val="26"/>
          <w:sz w:val="26"/>
          <w:rtl w:val="true"/>
        </w:rPr>
        <w:t>דברי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הסבר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להצעת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חוק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העונשין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תיקון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מס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cs="FrankRuehl" w:ascii="FrankRuehl" w:hAnsi="FrankRuehl"/>
          <w:sz w:val="26"/>
        </w:rPr>
        <w:t>119</w:t>
      </w:r>
      <w:r>
        <w:rPr>
          <w:rFonts w:cs="FrankRuehl" w:ascii="FrankRuehl" w:hAnsi="FrankRuehl"/>
          <w:sz w:val="26"/>
          <w:rtl w:val="true"/>
        </w:rPr>
        <w:t>) (</w:t>
      </w:r>
      <w:r>
        <w:rPr>
          <w:rFonts w:ascii="FrankRuehl" w:hAnsi="FrankRuehl"/>
          <w:sz w:val="26"/>
          <w:sz w:val="26"/>
          <w:rtl w:val="true"/>
        </w:rPr>
        <w:t>עבירות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המתה</w:t>
      </w:r>
      <w:r>
        <w:rPr>
          <w:rFonts w:cs="FrankRuehl" w:ascii="FrankRuehl" w:hAnsi="FrankRuehl"/>
          <w:sz w:val="26"/>
          <w:rtl w:val="true"/>
        </w:rPr>
        <w:t xml:space="preserve">), </w:t>
      </w:r>
      <w:r>
        <w:rPr>
          <w:rFonts w:ascii="FrankRuehl" w:hAnsi="FrankRuehl"/>
          <w:sz w:val="26"/>
          <w:sz w:val="26"/>
          <w:rtl w:val="true"/>
        </w:rPr>
        <w:t>התשע״ד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2014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ח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862</w:t>
      </w:r>
      <w:r>
        <w:rPr>
          <w:rFonts w:cs="FrankRuehl" w:ascii="FrankRuehl" w:hAnsi="FrankRuehl"/>
          <w:sz w:val="26"/>
          <w:rtl w:val="true"/>
        </w:rPr>
        <w:t>,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863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בניגוד להצעה זו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לבסוף נחקקה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כאמור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הוראת מעבר ספציפית עבור התיקון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בד בבד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הוראת המעבר בתיקון מפנה </w:t>
      </w:r>
      <w:hyperlink r:id="rId117">
        <w:r>
          <w:rPr>
            <w:rStyle w:val="Hyperlink"/>
            <w:rFonts w:ascii="FrankRuehl" w:hAnsi="FrankRuehl"/>
            <w:sz w:val="26"/>
            <w:sz w:val="26"/>
            <w:rtl w:val="true"/>
          </w:rPr>
          <w:t>לסעיף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118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במישרין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הסעיף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המצוי תחת </w:t>
      </w:r>
      <w:r>
        <w:rPr>
          <w:rFonts w:cs="FrankRuehl" w:ascii="FrankRuehl" w:hAnsi="FrankRuehl"/>
          <w:sz w:val="26"/>
          <w:rtl w:val="true"/>
        </w:rPr>
        <w:t>'</w:t>
      </w:r>
      <w:r>
        <w:rPr>
          <w:rFonts w:ascii="FrankRuehl" w:hAnsi="FrankRuehl"/>
          <w:sz w:val="26"/>
          <w:sz w:val="26"/>
          <w:rtl w:val="true"/>
        </w:rPr>
        <w:t>החלק המקדמי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>של החוק העיקרי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עוסק בתחולה למפרע של חקיקה מקלה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ומורה כדלקמן</w:t>
      </w:r>
      <w:r>
        <w:rPr>
          <w:rFonts w:cs="FrankRuehl" w:ascii="FrankRuehl" w:hAnsi="FrankRuehl"/>
          <w:sz w:val="26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 xml:space="preserve">לשאלת אופן יישומה של ההוראה המעוגנת </w:t>
      </w:r>
      <w:hyperlink r:id="rId119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לחוק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הנוגעת להחלתו של חיקוק מקל למפרע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בתי המשפט נדרשו גם קודם לרפורמה בעבירות ההמתה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ההלכה המנחה והעיקרית בעניינה ניתנה בפרשת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רחמיאן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בה נקבע כי ההוראה לא נועדה לאפשר </w:t>
      </w:r>
      <w:r>
        <w:rPr>
          <w:rFonts w:ascii="FrankRuehl" w:hAnsi="FrankRuehl"/>
          <w:sz w:val="26"/>
          <w:sz w:val="26"/>
          <w:rtl w:val="true"/>
        </w:rPr>
        <w:t>פתיחה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מחדש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הליך משפטי שכבר נחתם וננעל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תוך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הפעלת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שיקול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דעת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שיפוטי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נקבע כי במצבים בהם ההוראה חלה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 בית המשפט לבחון את העונש שהושת על הנאשם קודם לחיקוק המקל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ולהפחיתו לעונש המרבי שניתן להשית עליו בגין אותה העבירה כיום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זאת מבלי לפתוח מחדש את ההליך הפלילי ולבחון את נסיבותיו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>ראו שם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פסקאות </w:t>
      </w:r>
      <w:r>
        <w:rPr>
          <w:rFonts w:cs="FrankRuehl" w:ascii="FrankRuehl" w:hAnsi="FrankRuehl"/>
          <w:sz w:val="26"/>
        </w:rPr>
        <w:t>10-9</w:t>
      </w:r>
      <w:r>
        <w:rPr>
          <w:rFonts w:cs="FrankRuehl" w:ascii="FrankRuehl" w:hAnsi="FrankRuehl"/>
          <w:sz w:val="26"/>
          <w:rtl w:val="true"/>
        </w:rPr>
        <w:t xml:space="preserve">; </w:t>
      </w:r>
      <w:r>
        <w:rPr>
          <w:rFonts w:ascii="FrankRuehl" w:hAnsi="FrankRuehl"/>
          <w:sz w:val="26"/>
          <w:sz w:val="26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פסקה </w:t>
      </w:r>
      <w:r>
        <w:rPr>
          <w:rFonts w:cs="FrankRuehl" w:ascii="FrankRuehl" w:hAnsi="FrankRuehl"/>
          <w:sz w:val="26"/>
        </w:rPr>
        <w:t>12</w:t>
      </w:r>
      <w:r>
        <w:rPr>
          <w:rFonts w:cs="FrankRuehl" w:ascii="FrankRuehl" w:hAnsi="FrankRuehl"/>
          <w:sz w:val="26"/>
          <w:rtl w:val="true"/>
        </w:rPr>
        <w:t xml:space="preserve">). </w:t>
      </w:r>
      <w:r>
        <w:rPr>
          <w:rFonts w:ascii="FrankRuehl" w:hAnsi="FrankRuehl"/>
          <w:sz w:val="26"/>
          <w:sz w:val="26"/>
          <w:rtl w:val="true"/>
        </w:rPr>
        <w:t>לימים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הלכה זו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ז</w:t>
      </w:r>
      <w:r>
        <w:rPr>
          <w:rFonts w:ascii="FrankRuehl" w:hAnsi="FrankRuehl"/>
          <w:sz w:val="26"/>
          <w:sz w:val="26"/>
          <w:rtl w:val="true"/>
        </w:rPr>
        <w:t>כ</w:t>
      </w:r>
      <w:r>
        <w:rPr>
          <w:rFonts w:ascii="FrankRuehl" w:hAnsi="FrankRuehl"/>
          <w:sz w:val="26"/>
          <w:sz w:val="26"/>
          <w:rtl w:val="true"/>
        </w:rPr>
        <w:t>תה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לכינוי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כלל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הגיליוטינה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בהתבסס על השוואתו של פרופ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>פלר את הפעולה האדמיניסטרטיבי</w:t>
      </w:r>
      <w:r>
        <w:rPr>
          <w:rFonts w:ascii="FrankRuehl" w:hAnsi="FrankRuehl"/>
          <w:sz w:val="26"/>
          <w:sz w:val="26"/>
          <w:rtl w:val="true"/>
        </w:rPr>
        <w:t>ת</w:t>
      </w:r>
      <w:r>
        <w:rPr>
          <w:rFonts w:ascii="FrankRuehl" w:hAnsi="FrankRuehl"/>
          <w:sz w:val="26"/>
          <w:sz w:val="26"/>
          <w:rtl w:val="true"/>
        </w:rPr>
        <w:t xml:space="preserve"> של קיצור העונש בעקבות חיקוק מקל לשימוש בגיליוטינה במהלך דיון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בוועד</w:t>
      </w:r>
      <w:r>
        <w:rPr>
          <w:rFonts w:ascii="FrankRuehl" w:hAnsi="FrankRuehl"/>
          <w:sz w:val="26"/>
          <w:sz w:val="26"/>
          <w:rtl w:val="true"/>
        </w:rPr>
        <w:t>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המשנה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120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 xml:space="preserve">דיון בהצעת חוק העונשין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חלק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מקדמי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וחלק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כללי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1992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</w:t>
      </w:r>
      <w:r>
        <w:rPr>
          <w:rFonts w:ascii="FrankRuehl" w:hAnsi="FrankRuehl"/>
          <w:sz w:val="26"/>
          <w:sz w:val="26"/>
          <w:rtl w:val="true"/>
        </w:rPr>
        <w:t>יום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17.11.1992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בעמ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cs="FrankRuehl" w:ascii="FrankRuehl" w:hAnsi="FrankRuehl"/>
          <w:sz w:val="26"/>
        </w:rPr>
        <w:t>29</w:t>
      </w:r>
      <w:r>
        <w:rPr>
          <w:rFonts w:cs="FrankRuehl" w:ascii="FrankRuehl" w:hAnsi="FrankRuehl"/>
          <w:sz w:val="28"/>
          <w:rtl w:val="true"/>
        </w:rPr>
        <w:t>).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לדעתי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הטעם הטוב מכתיב שם אחר בשביל הכלל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חלף ל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כלל הגיליוטינה</w:t>
      </w:r>
      <w:r>
        <w:rPr>
          <w:rFonts w:cs="FrankRuehl" w:ascii="FrankRuehl" w:hAnsi="FrankRuehl"/>
          <w:sz w:val="26"/>
          <w:rtl w:val="true"/>
        </w:rPr>
        <w:t xml:space="preserve">". </w:t>
      </w:r>
      <w:r>
        <w:rPr>
          <w:rFonts w:ascii="FrankRuehl" w:hAnsi="FrankRuehl"/>
          <w:sz w:val="26"/>
          <w:sz w:val="26"/>
          <w:rtl w:val="true"/>
        </w:rPr>
        <w:t xml:space="preserve">הייתי מציע כי זה יכונה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כלל שיקול הדעת הצר</w:t>
      </w:r>
      <w:r>
        <w:rPr>
          <w:rFonts w:cs="FrankRuehl" w:ascii="FrankRuehl" w:hAnsi="FrankRuehl"/>
          <w:sz w:val="26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cs="David"/>
          <w:szCs w:val="24"/>
        </w:rPr>
      </w:pPr>
      <w:r>
        <w:rPr>
          <w:rFonts w:ascii="FrankRuehl" w:hAnsi="FrankRuehl"/>
          <w:sz w:val="26"/>
          <w:sz w:val="26"/>
          <w:rtl w:val="true"/>
        </w:rPr>
        <w:t>הנה כי כן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כלל הגיליוטינה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או כלל שיקול הדעת הצר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נועד לשמש בתור כלי מנהלי פשוט ויעיל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אשר מייתר את הצורך בהפעלת שיקול דעת שיפוטי כל אימת שנחקק חיקוק המקל עם גזר דינו של נאשם מסוים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הכלל מונע מצב בו בית המשפט נאלץ לנהל </w:t>
      </w:r>
      <w:r>
        <w:rPr>
          <w:rtl w:val="true"/>
        </w:rPr>
        <w:t>הליכי</w:t>
      </w:r>
      <w:r>
        <w:rPr>
          <w:rFonts w:ascii="FrankRuehl" w:hAnsi="FrankRuehl"/>
          <w:sz w:val="26"/>
          <w:sz w:val="26"/>
          <w:rtl w:val="true"/>
        </w:rPr>
        <w:t xml:space="preserve"> בחינה חוזרים של פסקי דין חלוטים תוך הידרשות לשיקולי הענישה השונים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בכך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הוא מאזן בין עיקרון סופיות הדיון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יציבות המשפט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זכויות המתדיינים ויעילות המערכת המשפטית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ובין שיקולי צדק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בראשם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מניעת אפליה לרעה של עבריינים אשר הושת עליהם עונש חמור יותר מהקבוע בחוק לאחר תיקונו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ascii="FrankRuehl" w:hAnsi="FrankRuehl"/>
          <w:sz w:val="26"/>
          <w:sz w:val="26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עשור</w:t>
      </w:r>
      <w:r>
        <w:rPr>
          <w:rFonts w:cs="FrankRuehl" w:ascii="FrankRuehl" w:hAnsi="FrankRuehl"/>
          <w:sz w:val="26"/>
          <w:rtl w:val="true"/>
        </w:rPr>
        <w:t>;</w:t>
      </w:r>
      <w:r>
        <w:rPr>
          <w:rFonts w:cs="David"/>
          <w:szCs w:val="24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hyperlink r:id="rId121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בג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ץ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5293/19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cs="FrankRuehl" w:ascii="FrankRuehl" w:hAnsi="FrankRuehl"/>
          <w:sz w:val="26"/>
        </w:rPr>
        <w:t>19.11.2019</w:t>
      </w:r>
      <w:r>
        <w:rPr>
          <w:rFonts w:cs="FrankRuehl" w:ascii="FrankRuehl" w:hAnsi="FrankRuehl"/>
          <w:sz w:val="26"/>
          <w:rtl w:val="true"/>
        </w:rPr>
        <w:t xml:space="preserve">); </w:t>
      </w:r>
      <w:hyperlink r:id="rId122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6"/>
            <w:u w:val="single"/>
          </w:rPr>
          <w:t>8273/13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עיריית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אביב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z w:val="26"/>
          <w:rtl w:val="true"/>
        </w:rPr>
        <w:t>(‏</w:t>
      </w:r>
      <w:r>
        <w:rPr>
          <w:rFonts w:cs="FrankRuehl" w:ascii="FrankRuehl" w:hAnsi="FrankRuehl"/>
          <w:sz w:val="26"/>
        </w:rPr>
        <w:t>25.12.2014</w:t>
      </w:r>
      <w:r>
        <w:rPr>
          <w:rFonts w:cs="FrankRuehl" w:ascii="FrankRuehl" w:hAnsi="FrankRuehl"/>
          <w:sz w:val="26"/>
          <w:rtl w:val="true"/>
        </w:rPr>
        <w:t>)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ascii="FrankRuehl" w:hAnsi="FrankRuehl"/>
          <w:sz w:val="26"/>
          <w:sz w:val="26"/>
          <w:rtl w:val="true"/>
        </w:rPr>
        <w:t>להלן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ascii="FrankRuehl" w:hAnsi="FrankRuehl"/>
          <w:sz w:val="26"/>
          <w:sz w:val="26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hyperlink r:id="rId123">
        <w:r>
          <w:rPr>
            <w:rStyle w:val="Hyperlink"/>
            <w:rFonts w:cs="FrankRuehl" w:ascii="FrankRuehl" w:hAnsi="FrankRuehl"/>
            <w:sz w:val="26"/>
            <w:rtl w:val="true"/>
          </w:rPr>
          <w:t xml:space="preserve">); 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6"/>
            <w:rtl w:val="true"/>
          </w:rPr>
          <w:t>"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6"/>
          </w:rPr>
          <w:t>4002/01</w:t>
        </w:r>
      </w:hyperlink>
      <w:r>
        <w:rPr>
          <w:rFonts w:cs="FrankRuehl" w:ascii="FrankRuehl" w:hAnsi="FrankRuehl"/>
          <w:sz w:val="26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קורקין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פ</w:t>
      </w:r>
      <w:r>
        <w:rPr>
          <w:rFonts w:cs="FrankRuehl" w:ascii="FrankRuehl" w:hAnsi="FrankRuehl"/>
          <w:sz w:val="26"/>
          <w:rtl w:val="true"/>
        </w:rPr>
        <w:t>''</w:t>
      </w:r>
      <w:r>
        <w:rPr>
          <w:rFonts w:ascii="FrankRuehl" w:hAnsi="FrankRuehl"/>
          <w:sz w:val="26"/>
          <w:sz w:val="26"/>
          <w:rtl w:val="true"/>
        </w:rPr>
        <w:t>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נו</w:t>
      </w:r>
      <w:r>
        <w:rPr>
          <w:rFonts w:cs="FrankRuehl" w:ascii="FrankRuehl" w:hAnsi="FrankRuehl"/>
          <w:sz w:val="26"/>
          <w:rtl w:val="true"/>
        </w:rPr>
        <w:t>(</w:t>
      </w:r>
      <w:r>
        <w:rPr>
          <w:rFonts w:cs="FrankRuehl" w:ascii="FrankRuehl" w:hAnsi="FrankRuehl"/>
          <w:sz w:val="26"/>
        </w:rPr>
        <w:t>4</w:t>
      </w:r>
      <w:r>
        <w:rPr>
          <w:rFonts w:cs="FrankRuehl" w:ascii="FrankRuehl" w:hAnsi="FrankRuehl"/>
          <w:sz w:val="26"/>
          <w:rtl w:val="true"/>
        </w:rPr>
        <w:t xml:space="preserve">) </w:t>
      </w:r>
      <w:r>
        <w:rPr>
          <w:rFonts w:cs="FrankRuehl" w:ascii="FrankRuehl" w:hAnsi="FrankRuehl"/>
          <w:sz w:val="26"/>
        </w:rPr>
        <w:t>250</w:t>
      </w:r>
      <w:r>
        <w:rPr>
          <w:rFonts w:cs="FrankRuehl" w:ascii="FrankRuehl" w:hAnsi="FrankRuehl"/>
          <w:sz w:val="26"/>
          <w:rtl w:val="true"/>
        </w:rPr>
        <w:t xml:space="preserve"> (</w:t>
      </w:r>
      <w:r>
        <w:rPr>
          <w:rFonts w:cs="FrankRuehl" w:ascii="FrankRuehl" w:hAnsi="FrankRuehl"/>
          <w:sz w:val="26"/>
        </w:rPr>
        <w:t>2002</w:t>
      </w:r>
      <w:r>
        <w:rPr>
          <w:rFonts w:cs="FrankRuehl" w:ascii="FrankRuehl" w:hAnsi="FrankRuehl"/>
          <w:sz w:val="26"/>
          <w:rtl w:val="true"/>
        </w:rPr>
        <w:t xml:space="preserve">)). </w:t>
      </w:r>
      <w:r>
        <w:rPr>
          <w:rFonts w:ascii="FrankRuehl" w:hAnsi="FrankRuehl"/>
          <w:sz w:val="26"/>
          <w:sz w:val="26"/>
          <w:rtl w:val="true"/>
        </w:rPr>
        <w:t>הוטעם בפסיקה כי היות וחיקוק מקל לא משנה את הנורמה האוסרת מן היסוד או מקעקע את חשיבות ההגנה על הערך החברתי המוגן העומד בבסיסה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אלא רק משקף תמורה חלקית בתפישתה החברתית לגביה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אין הצדקה לעריכת הליך מחודש בגינו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בהקשר זה ובהתייחס </w:t>
      </w:r>
      <w:hyperlink r:id="rId124">
        <w:r>
          <w:rPr>
            <w:rStyle w:val="Hyperlink"/>
            <w:rFonts w:ascii="FrankRuehl" w:hAnsi="FrankRuehl"/>
            <w:sz w:val="26"/>
            <w:sz w:val="26"/>
            <w:rtl w:val="true"/>
          </w:rPr>
          <w:t>לסעיף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5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לחוק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כי</w:t>
      </w:r>
      <w:r>
        <w:rPr>
          <w:rFonts w:cs="FrankRuehl" w:ascii="FrankRuehl" w:hAnsi="FrankRuehl"/>
          <w:sz w:val="26"/>
          <w:rtl w:val="true"/>
        </w:rPr>
        <w:t>: "</w:t>
      </w:r>
      <w:r>
        <w:rPr>
          <w:rFonts w:ascii="FrankRuehl" w:hAnsi="FrankRuehl"/>
          <w:sz w:val="26"/>
          <w:sz w:val="26"/>
          <w:rtl w:val="true"/>
        </w:rPr>
        <w:t>יש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להימנע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ככל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הניתן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מלפצוח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</w:t>
      </w:r>
      <w:r>
        <w:rPr>
          <w:rFonts w:cs="FrankRuehl" w:ascii="FrankRuehl" w:hAnsi="FrankRuehl"/>
          <w:sz w:val="26"/>
          <w:rtl w:val="true"/>
        </w:rPr>
        <w:t>'</w:t>
      </w:r>
      <w:r>
        <w:rPr>
          <w:rFonts w:ascii="FrankRuehl" w:hAnsi="FrankRuehl"/>
          <w:sz w:val="26"/>
          <w:sz w:val="26"/>
          <w:rtl w:val="true"/>
        </w:rPr>
        <w:t>מסע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פרשנות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ערכי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>באשר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למשמעותו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השינוי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ומידת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</w:t>
      </w:r>
      <w:r>
        <w:rPr>
          <w:rFonts w:cs="FrankRuehl" w:ascii="FrankRuehl" w:hAnsi="FrankRuehl"/>
          <w:sz w:val="26"/>
          <w:rtl w:val="true"/>
        </w:rPr>
        <w:t>'</w:t>
      </w:r>
      <w:r>
        <w:rPr>
          <w:rFonts w:ascii="FrankRuehl" w:hAnsi="FrankRuehl"/>
          <w:sz w:val="26"/>
          <w:sz w:val="26"/>
          <w:rtl w:val="true"/>
        </w:rPr>
        <w:t>מהפך</w:t>
      </w:r>
      <w:r>
        <w:rPr>
          <w:rFonts w:cs="FrankRuehl" w:ascii="FrankRuehl" w:hAnsi="FrankRuehl"/>
          <w:sz w:val="26"/>
          <w:rtl w:val="true"/>
        </w:rPr>
        <w:t xml:space="preserve">' </w:t>
      </w:r>
      <w:r>
        <w:rPr>
          <w:rFonts w:ascii="FrankRuehl" w:hAnsi="FrankRuehl"/>
          <w:sz w:val="26"/>
          <w:sz w:val="26"/>
          <w:rtl w:val="true"/>
        </w:rPr>
        <w:t>הגלומה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בו</w:t>
      </w:r>
      <w:r>
        <w:rPr>
          <w:rFonts w:cs="FrankRuehl" w:ascii="FrankRuehl" w:hAnsi="FrankRuehl"/>
          <w:sz w:val="26"/>
          <w:rtl w:val="true"/>
        </w:rPr>
        <w:t>" (</w:t>
      </w:r>
      <w:r>
        <w:rPr>
          <w:rFonts w:ascii="FrankRuehl" w:hAnsi="FrankRuehl"/>
          <w:sz w:val="26"/>
          <w:sz w:val="26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פסקה </w:t>
      </w:r>
      <w:r>
        <w:rPr>
          <w:rFonts w:cs="FrankRuehl" w:ascii="FrankRuehl" w:hAnsi="FrankRuehl"/>
          <w:sz w:val="26"/>
        </w:rPr>
        <w:t>42</w:t>
      </w:r>
      <w:r>
        <w:rPr>
          <w:rFonts w:cs="FrankRuehl" w:ascii="FrankRuehl" w:hAnsi="FrankRuehl"/>
          <w:sz w:val="26"/>
          <w:rtl w:val="true"/>
        </w:rPr>
        <w:t>).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 xml:space="preserve">בית משפט זה כבר קבע כי </w:t>
      </w:r>
      <w:r>
        <w:rPr>
          <w:rFonts w:ascii="FrankRuehl" w:hAnsi="FrankRuehl"/>
          <w:sz w:val="28"/>
          <w:sz w:val="28"/>
          <w:rtl w:val="true"/>
        </w:rPr>
        <w:t xml:space="preserve">ההלכה בעניין יישומו של </w:t>
      </w:r>
      <w:hyperlink r:id="rId125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12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יפה גם ביחס ליישומה של להוראת המעבר הנזכרת </w:t>
      </w:r>
      <w:r>
        <w:rPr>
          <w:rFonts w:ascii="FrankRuehl" w:hAnsi="FrankRuehl"/>
          <w:sz w:val="28"/>
          <w:sz w:val="28"/>
          <w:rtl w:val="true"/>
        </w:rPr>
        <w:t>בסעיף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ג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לתיקון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sz w:val="28"/>
          <w:sz w:val="28"/>
          <w:rtl w:val="true"/>
        </w:rPr>
        <w:t>ע</w:t>
      </w:r>
      <w:r>
        <w:rPr>
          <w:sz w:val="28"/>
          <w:sz w:val="28"/>
          <w:rtl w:val="true"/>
        </w:rPr>
        <w:t>ניין</w:t>
      </w:r>
      <w:r>
        <w:rPr>
          <w:sz w:val="28"/>
          <w:sz w:val="28"/>
          <w:rtl w:val="true"/>
        </w:rPr>
        <w:t>‏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אמת נכון הוא כי התכלית העומדת בבסיס שני הסעיפים זהה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אולם לצד הדמיון הברור בין ההוראות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אפשר וראוי להצביע גם 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הנקודות בהן הללו נבדלות זו מזו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הוראות החוק שונות בהיקף תחולתן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בעוד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ascii="FrankRuehl" w:hAnsi="FrankRuehl"/>
          <w:sz w:val="28"/>
          <w:sz w:val="28"/>
          <w:rtl w:val="true"/>
        </w:rPr>
        <w:t>הוראת המעבר נוגעת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באופן קונקרטי לאופן החלת חיקוק מקל למפרע ביחס לעבירות ההמתה</w:t>
      </w:r>
      <w:r>
        <w:rPr>
          <w:rFonts w:cs="FrankRuehl" w:ascii="FrankRuehl" w:hAnsi="FrankRuehl"/>
          <w:sz w:val="28"/>
          <w:rtl w:val="true"/>
        </w:rPr>
        <w:t xml:space="preserve">, </w:t>
      </w:r>
      <w:hyperlink r:id="rId127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מצוי בפרק המקדמי של ה</w:t>
      </w:r>
      <w:hyperlink r:id="rId12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משום 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הוא ניצב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</w:t>
      </w:r>
      <w:r>
        <w:rPr>
          <w:rFonts w:ascii="FrankRuehl" w:hAnsi="FrankRuehl"/>
          <w:sz w:val="28"/>
          <w:sz w:val="28"/>
          <w:rtl w:val="true"/>
        </w:rPr>
        <w:t>מעין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עיקרון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החולש 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כלל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העבירות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המנויות בחוק וכן על כללי האחריות הפלילית והענישה שהחוק קובע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ראו </w:t>
      </w:r>
      <w:r>
        <w:rPr>
          <w:rFonts w:ascii="FrankRuehl" w:hAnsi="FrankRuehl"/>
          <w:sz w:val="28"/>
          <w:sz w:val="28"/>
          <w:rtl w:val="true"/>
        </w:rPr>
        <w:t>מרים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גור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12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אריה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הצעת חוק העונשין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חלק 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מקדמי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וחלק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כללי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1992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הצעת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2098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מיום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6.1.1992</w:t>
      </w:r>
      <w:r>
        <w:rPr>
          <w:rFonts w:cs="FrankRuehl" w:ascii="FrankRuehl" w:hAnsi="FrankRuehl"/>
          <w:sz w:val="28"/>
          <w:rtl w:val="true"/>
        </w:rPr>
        <w:t xml:space="preserve">)"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11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התשנ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אריה</w:t>
      </w:r>
      <w:r>
        <w:rPr>
          <w:rFonts w:cs="FrankRuehl" w:ascii="FrankRuehl" w:hAnsi="FrankRuehl"/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סעיף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ג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לתיקון לא עוסק רק בהמתקת העונש למפרע עקב שינוי בחקיקה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הסעיף מורה גם על שינוי סעיף הרשעתו של נאשם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בלשונו</w:t>
      </w:r>
      <w:r>
        <w:rPr>
          <w:rFonts w:cs="FrankRuehl" w:ascii="FrankRuehl" w:hAnsi="FrankRuehl"/>
          <w:sz w:val="28"/>
          <w:rtl w:val="true"/>
        </w:rPr>
        <w:t xml:space="preserve">: "[...] </w:t>
      </w:r>
      <w:r>
        <w:rPr>
          <w:rFonts w:ascii="FrankRuehl" w:hAnsi="FrankRuehl"/>
          <w:sz w:val="28"/>
          <w:sz w:val="28"/>
          <w:rtl w:val="true"/>
        </w:rPr>
        <w:t>יראו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אותו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כמי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שהורשע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בעבירה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לפי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סעיף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...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ועונשו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המרבי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יהיה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העונש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שנקבע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באותו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סעיף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לפי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העניין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כאמור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130">
        <w:r>
          <w:rPr>
            <w:rStyle w:val="Hyperlink"/>
            <w:rFonts w:ascii="FrankRuehl" w:hAnsi="FrankRuehl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העיקרי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הואיל וכך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השפעותיו מרחיקות לכת יותר מאלו של </w:t>
      </w:r>
      <w:hyperlink r:id="rId131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בשל כוחו להביא גם להקלת הסטיגמה החברתית המוטלת על מבצע העבירה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זאת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נוכח השינוי לא רק בעונש המושת על נאשם עקב חקיקה מקלה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אלא גם בתיוגה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מעבירת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רצח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 xml:space="preserve">שבמסגרתה ניתן לבחון השתת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עונש מופחת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עבירת המתה בנסיבות של אחריות מופחתת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אם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בניגוד </w:t>
      </w:r>
      <w:hyperlink r:id="rId132">
        <w:r>
          <w:rPr>
            <w:rStyle w:val="Hyperlink"/>
            <w:rFonts w:ascii="FrankRuehl" w:hAnsi="FrankRuehl"/>
            <w:sz w:val="28"/>
            <w:sz w:val="28"/>
            <w:rtl w:val="true"/>
          </w:rPr>
          <w:t>לסעיף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הוראת המעבר ברפורמת עבירות ההמתה משנה למפרע גם את סעיף האישום וגם את העונש הקבוע בצדו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אולם אין בהבדלים אלה כדי לשנות מן המסקנה כי פירוש הוראת המעבר חייב שיעשה תוך התייחסות גם לפרשנותו של </w:t>
      </w:r>
      <w:hyperlink r:id="rId133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שכן האחד משליך על השני והא בהא תליא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את המבוא להכרעה נחתום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לאחר הצגת הרפורמה בעבירות ההמתה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הוראות המעבר ואופן ה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המרה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 xml:space="preserve">של עבירות ועונשים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בהצגת ייחודו של הסעיף הרלוונטי להרשעתו של המערער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4"/>
        </w:numPr>
        <w:spacing w:lineRule="auto" w:line="276"/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ייחודה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מופחתת</w:t>
      </w:r>
    </w:p>
    <w:p>
      <w:pPr>
        <w:pStyle w:val="Ruller41"/>
        <w:ind w:end="0"/>
        <w:jc w:val="both"/>
        <w:rPr>
          <w:rFonts w:ascii="FrankRuehl" w:hAnsi="FrankRuehl" w:cs="FrankRuehl"/>
          <w:b/>
          <w:spacing w:val="0"/>
          <w:sz w:val="28"/>
          <w:szCs w:val="24"/>
        </w:rPr>
      </w:pPr>
      <w:r>
        <w:rPr>
          <w:rFonts w:cs="FrankRuehl" w:ascii="FrankRuehl" w:hAnsi="FrankRuehl"/>
          <w:b/>
          <w:spacing w:val="0"/>
          <w:sz w:val="28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sz w:val="28"/>
          <w:sz w:val="28"/>
          <w:rtl w:val="true"/>
        </w:rPr>
        <w:t>הרישא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סעיף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לתיקון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 "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בעניינה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הישן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עינינו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הרואות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הסעיף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עומדת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חיקוק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בפלילים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למפרע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המעוגן</w:t>
      </w:r>
      <w:r>
        <w:rPr>
          <w:rFonts w:cs="Calibri"/>
          <w:sz w:val="28"/>
          <w:sz w:val="28"/>
          <w:rtl w:val="true"/>
        </w:rPr>
        <w:t xml:space="preserve"> </w:t>
      </w:r>
      <w:hyperlink r:id="rId134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cs="Calibri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נשאלת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השאלה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המעבר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ומדוע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להחריג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מהוראות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המעבר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cs="Calibri"/>
          <w:sz w:val="28"/>
          <w:sz w:val="28"/>
          <w:rtl w:val="true"/>
        </w:rPr>
        <w:t xml:space="preserve"> </w:t>
      </w:r>
      <w:hyperlink r:id="rId13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cs="Calibri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300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בעניינם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יחול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החיקוק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לתיוגה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הצמוד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מייחד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האחרות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להסדר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</w:t>
      </w:r>
      <w:r>
        <w:rPr>
          <w:rFonts w:cs="Calibri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sz w:val="28"/>
          <w:rtl w:val="true"/>
        </w:rPr>
        <w:t>?</w:t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alibri" w:ascii="Calibri" w:hAnsi="Calibri"/>
          <w:sz w:val="28"/>
          <w:rtl w:val="true"/>
        </w:rPr>
        <w:tab/>
      </w:r>
      <w:r>
        <w:rPr>
          <w:rFonts w:ascii="Calibri" w:hAnsi="Calibri" w:cs="Calibri"/>
          <w:sz w:val="28"/>
          <w:sz w:val="28"/>
          <w:rtl w:val="true"/>
        </w:rPr>
        <w:t>בחינת השינוי שיצרה הרפורמה בעבירות ההמתה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מנקודת המבט של מעוף הציפור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מגלה כי זו הרחיבה את מספר עבירות ההמתה בספר החוקים מ</w:t>
      </w:r>
      <w:r>
        <w:rPr>
          <w:rFonts w:cs="Calibri" w:ascii="Calibri" w:hAnsi="Calibri"/>
          <w:sz w:val="28"/>
          <w:rtl w:val="true"/>
        </w:rPr>
        <w:t>-</w:t>
      </w:r>
      <w:r>
        <w:rPr>
          <w:rFonts w:cs="Calibri" w:ascii="Calibri" w:hAnsi="Calibri"/>
          <w:sz w:val="28"/>
        </w:rPr>
        <w:t>3</w:t>
      </w:r>
      <w:r>
        <w:rPr>
          <w:rFonts w:cs="Calibri" w:ascii="Calibri" w:hAnsi="Calibri"/>
          <w:sz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rtl w:val="true"/>
        </w:rPr>
        <w:t>עבירות המתה</w:t>
      </w:r>
      <w:r>
        <w:rPr>
          <w:rFonts w:cs="Calibri" w:ascii="Calibri" w:hAnsi="Calibri"/>
          <w:sz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rtl w:val="true"/>
        </w:rPr>
        <w:t>רצח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הריגה וגרימת מוות ברשלנות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ל</w:t>
      </w:r>
      <w:r>
        <w:rPr>
          <w:rFonts w:cs="Calibri" w:ascii="Calibri" w:hAnsi="Calibri"/>
          <w:sz w:val="28"/>
          <w:rtl w:val="true"/>
        </w:rPr>
        <w:t>-</w:t>
      </w:r>
      <w:r>
        <w:rPr>
          <w:rFonts w:cs="Calibri" w:ascii="Calibri" w:hAnsi="Calibri"/>
          <w:sz w:val="28"/>
        </w:rPr>
        <w:t>5</w:t>
      </w:r>
      <w:r>
        <w:rPr>
          <w:rFonts w:cs="Calibri" w:ascii="Calibri" w:hAnsi="Calibri"/>
          <w:sz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rtl w:val="true"/>
        </w:rPr>
        <w:t>עבירות המתה</w:t>
      </w:r>
      <w:r>
        <w:rPr>
          <w:rFonts w:cs="Calibri" w:ascii="Calibri" w:hAnsi="Calibri"/>
          <w:sz w:val="28"/>
          <w:rtl w:val="true"/>
        </w:rPr>
        <w:t xml:space="preserve">: </w:t>
      </w:r>
      <w:r>
        <w:rPr>
          <w:rFonts w:ascii="Calibri" w:hAnsi="Calibri" w:cs="Calibri"/>
          <w:sz w:val="28"/>
          <w:sz w:val="28"/>
          <w:rtl w:val="true"/>
        </w:rPr>
        <w:t>רצח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רצח בנסיבות מחמירות</w:t>
      </w:r>
      <w:r>
        <w:rPr>
          <w:rFonts w:cs="Calibri" w:ascii="Calibri" w:hAnsi="Calibri"/>
          <w:sz w:val="28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מופחתת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Century"/>
          <w:rtl w:val="true"/>
        </w:rPr>
        <w:t>גרימת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ברשלנות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במטרה לתת ביטוי למדרג החומרה המובחן של מקרי המתה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לציון כי התיקון קובע יסוד נפשי שונה לעבירות ההמתה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כוונה או אדישות </w:t>
      </w:r>
      <w:r>
        <w:rPr>
          <w:rFonts w:cs="Century" w:ascii="Century" w:hAnsi="Century"/>
          <w:rtl w:val="true"/>
        </w:rPr>
        <w:t>(</w:t>
      </w:r>
      <w:hyperlink r:id="rId1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</w:hyperlink>
      <w:r>
        <w:rPr>
          <w:rFonts w:cs="Century" w:ascii="Century" w:hAnsi="Century"/>
          <w:rtl w:val="true"/>
        </w:rPr>
        <w:t xml:space="preserve">, </w:t>
      </w:r>
      <w:hyperlink r:id="rId13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cs="Century" w:ascii="Century" w:hAnsi="Century"/>
          <w:rtl w:val="true"/>
        </w:rPr>
        <w:t xml:space="preserve">, </w:t>
      </w:r>
      <w:hyperlink r:id="rId138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קלות דעת </w:t>
      </w:r>
      <w:r>
        <w:rPr>
          <w:rFonts w:cs="Century" w:ascii="Century" w:hAnsi="Century"/>
          <w:rtl w:val="true"/>
        </w:rPr>
        <w:t>(</w:t>
      </w:r>
      <w:hyperlink r:id="rId1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ג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ורשלנות </w:t>
      </w:r>
      <w:r>
        <w:rPr>
          <w:rFonts w:cs="Century" w:ascii="Century" w:hAnsi="Century"/>
          <w:rtl w:val="true"/>
        </w:rPr>
        <w:t>(</w:t>
      </w:r>
      <w:hyperlink r:id="rId14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כדי להידרש לייחודו של </w:t>
      </w:r>
      <w:hyperlink r:id="rId14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בהקשר שלנו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לבחון אם החוק החדש מגלה הקלה בדין גם ביחס לעבירות ההמתה האחרות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נפתח בחינה זו בעבירת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שהוזכר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הקבוע בעבירת הרצח תחת הדין הישן היה עונש מאסר עולם חובה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מקרים שבהם הרצח נעשה בנסיבות שנמנו תחת </w:t>
      </w:r>
      <w:hyperlink r:id="rId14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בחוק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אליהם נתייחס בקרוב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המרבי שניתן להשית בגין עבירת הרצח הוא עונש מאסר 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במובן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הענישה של עבירת הרצח לאחר הרפורמה לא מהווה חיקוק מקל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גם קודם לה וגם אחריה לא נשתנתה תקרת העונש המרבי שניתן להשית בגינה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 מאסר העולם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הוראת </w:t>
      </w:r>
      <w:hyperlink r:id="rId14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תקרה ענישתית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בדמות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עונש המרבי שנקבע בחיקוק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היא שעלינו לבחון לצורך החלת הסעיף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העבירה החדשה שהוכנסה לספר החוקים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נושאת את השם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רצח בנסיבות מחמירות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מגלה חידוש מסוים ביחס להרשעה בעבירת הרצח תחת הדין הישן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מהסיבה שהיא מחייבת הטלת עונש מאסר עולם ביחס לנאשם שמעשיו חוסים תחת אחת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הנסיבות המגוונות שהיא מונה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קבוע במחוזותינו הוא כי רק חיקוק מקל חל למפרע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מחיקוק חדש ומחמיר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מכך עולה כי גם לענישה בגין עבירה זו לא נודעת השפעה על עונשם של נאשמים שהורשעו בעבירת הרצח תחת הדין הישן</w:t>
      </w:r>
      <w:r>
        <w:rPr>
          <w:rFonts w:cs="Century" w:ascii="Century" w:hAnsi="Century"/>
          <w:rtl w:val="true"/>
        </w:rPr>
        <w:t xml:space="preserve">. </w:t>
      </w:r>
      <w:r>
        <w:rPr>
          <w:sz w:val="28"/>
          <w:sz w:val="28"/>
          <w:rtl w:val="true"/>
        </w:rPr>
        <w:t>בשולי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יוער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גרימת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ברשלנות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והעונש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נשתנו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הרפורמה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חיקוק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עבירת ההריגה תחת הדין הישן הוגדרה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הגורם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במחדל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אסורים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אדם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298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הישן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בעקבות הרפורמה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העבירה שינתה את אופייה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העבירה בהגדרתה הישנה בוטלה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הוכנסה לספר החוקים עבירת ההמתה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הקובעת כי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הגורם למותו של אדם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 – מאסר שתים עשרה שנים</w:t>
      </w:r>
      <w:r>
        <w:rPr>
          <w:rFonts w:cs="Century" w:ascii="Century" w:hAnsi="Century"/>
          <w:rtl w:val="true"/>
        </w:rPr>
        <w:t>" (</w:t>
      </w:r>
      <w:hyperlink r:id="rId14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ג</w:t>
        </w:r>
      </w:hyperlink>
      <w:r>
        <w:rPr>
          <w:rFonts w:ascii="Century" w:hAnsi="Century" w:cs="Century"/>
          <w:rtl w:val="true"/>
        </w:rPr>
        <w:t xml:space="preserve"> ל</w:t>
      </w:r>
      <w:hyperlink r:id="rId1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העבירה החדשה מהווה חיקוק מקל לעומת עבירת ההריגה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בשל </w:t>
      </w:r>
      <w:r>
        <w:rPr>
          <w:rFonts w:ascii="Century" w:hAnsi="Century" w:cs="Century"/>
          <w:sz w:val="28"/>
          <w:sz w:val="28"/>
          <w:rtl w:val="true"/>
        </w:rPr>
        <w:t>ההפחתה הניכרת בעונש הקבוע בצדה מ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20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שנות מאסר ל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cs="Century" w:ascii="Century" w:hAnsi="Century"/>
          <w:sz w:val="28"/>
        </w:rPr>
        <w:t>12</w:t>
      </w:r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שנות מאסר</w:t>
      </w:r>
      <w:r>
        <w:rPr>
          <w:rFonts w:cs="Century" w:ascii="Century" w:hAnsi="Century"/>
          <w:sz w:val="28"/>
          <w:rtl w:val="true"/>
        </w:rPr>
        <w:t xml:space="preserve">. </w:t>
      </w:r>
      <w:r>
        <w:rPr>
          <w:rFonts w:ascii="Century" w:hAnsi="Century" w:cs="Century"/>
          <w:sz w:val="28"/>
          <w:sz w:val="28"/>
          <w:rtl w:val="true"/>
        </w:rPr>
        <w:t>הואיל וכך</w:t>
      </w:r>
      <w:r>
        <w:rPr>
          <w:rFonts w:cs="Century" w:ascii="Century" w:hAnsi="Century"/>
          <w:sz w:val="28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לתמוה מדוע עבירת ההריגה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שלכאורה זיכתה נאשמים בהפחתה משמעותית בענישה תחת ההרשעה בעבירת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המתה בקלות דעת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לא מאפשרת את החלתו של חיקוק מקל למפרע ביחס לנאשמים שהורשעו בגינה ופסק דינם הפך לחלוט</w:t>
      </w:r>
      <w:r>
        <w:rPr>
          <w:rFonts w:cs="Century" w:ascii="Century" w:hAnsi="Century"/>
          <w:rtl w:val="true"/>
        </w:rPr>
        <w:t xml:space="preserve">. </w:t>
      </w:r>
      <w:r>
        <w:rPr>
          <w:sz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לכך אפשר ליתן שלושה טעמים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הראשון הוא כי בשונה מעבירת ההריגה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המחוקק מגלה רגישות יתרה לעבירת הרצח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נוכח התיוג החמור שהיא מטילה על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פורט על אודותיו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רגישות זו מתבטאת גם בכך שההרשעה בגינה דורשת הצדקות חזקות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מאבדות מכוחן עם שינוי החקיקה המגדירה מחדש מהו רצח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הנימוק השני נוטה יותר לכיוון המעשי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שעולה מן הפרוטוקול של ועדת חוקה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חוק ומשפט בה נידונה הוראת המעבר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ההבחנה בין עבירת ההריגה תחת הדין הישן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עבירת ההמתה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קשה מאוד לביצוע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התפרסה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מגוון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התנהגויות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ומצבים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היסוד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הנפשי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שבגינו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רחב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הישן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>ריגה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פזיזות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אדישות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Century"/>
          <w:rtl w:val="true"/>
        </w:rPr>
        <w:t>קלות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העבירה החדשה כיום מיוחדת ליסוד הנפשי של קלות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בשעה שהיסוד הנפשי של אדישות מהווה חלק מהגדרת עבירת הרצח </w:t>
      </w:r>
      <w:r>
        <w:rPr>
          <w:rFonts w:cs="Century" w:ascii="Century" w:hAnsi="Century"/>
          <w:rtl w:val="true"/>
        </w:rPr>
        <w:t>(</w:t>
      </w:r>
      <w:hyperlink r:id="rId1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מגדיר את עבירת הרצח כך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הגורם בכוונה או באדישות למותו של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דינו – מאסר עולם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השינויים בעבירת ההריגה והביקורת שהביאה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קרמניצר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וגנאים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269-263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הצוות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לבחינת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יסודות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8-6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30-29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2011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ההבחנה בין עבירת ההריגה קודם לרפורמה ולאחר הרפורמה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איננה הבחנה טכנית מן הסוג שמאפיין את כלל שיקול הדעת הצר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באשר זו דורשת את פתיחת ההליכים המשפטיים מחדש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עמידה מדוקדקת על נסיבותיו של כל מקרה ומקרה כדי לסווגו תחת עבירת ההמתה המתאימה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התייחסותה של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לילך וגנר לכך 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cs="Miriam" w:ascii="Century" w:hAnsi="Century"/>
          <w:b/>
          <w:spacing w:val="0"/>
          <w:szCs w:val="24"/>
        </w:rPr>
        <w:t>752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עבירת ההריגה עברה שינויים מרחיקי לכת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נעלמה מהחוק הקיים והוחלפה בעבירות 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אפשר להפעיל לגביה את הגיליוטינה במשמעותה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ראו גם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29-28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החלת הדין החדש על זה הישן יהא בבחינת שעטנז לא רצוי בין הדינים השונים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רוצה 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ניתן להציע כלל פשוט המגלה אם הרשעתו של נאשם בעבירת הריגה כיום מתאימה לעבירת ההמתה בקלות 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לפתיחתו המחודשת של המשפט כדי לעמוד באופן מדויק על המחשבה הפלילית של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מצב דברים מעין זה ודאי חוטא לתכלית סופיות הדיון ולרציונליי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העומדים ביסודו של כלל שיקול הדעת הצר שנידונו 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הטעם השלישי לכך שלא ניתן להחיל את </w:t>
      </w:r>
      <w:hyperlink r:id="rId14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על עבירת ההמתה החדשה הוא מפני </w:t>
      </w:r>
      <w:r>
        <w:rPr>
          <w:rFonts w:ascii="Century" w:hAnsi="Century" w:cs="Century"/>
          <w:sz w:val="28"/>
          <w:sz w:val="28"/>
          <w:rtl w:val="true"/>
        </w:rPr>
        <w:t xml:space="preserve">שהסעיף מתייחס רק למצב שבו החיקוק המקל נוגע </w:t>
      </w:r>
      <w:r>
        <w:rPr>
          <w:rFonts w:cs="Century" w:ascii="Century" w:hAnsi="Century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לאותה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עבירה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מפני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שעסקינן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חדשה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hyperlink r:id="rId14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" w:cs="Arial TUR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ג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5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למפרע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ההריגה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פרוטוקול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sz w:val="28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752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בעמ</w:t>
      </w:r>
      <w:r>
        <w:rPr>
          <w:sz w:val="28"/>
          <w:rtl w:val="true"/>
        </w:rPr>
        <w:t xml:space="preserve">' </w:t>
      </w:r>
      <w:r>
        <w:rPr>
          <w:sz w:val="28"/>
        </w:rPr>
        <w:t>21-17</w:t>
      </w:r>
      <w:r>
        <w:rPr>
          <w:sz w:val="28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הוראות אלה משתלבות גם עם עיקרון סופיות הדיון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נותרנו עם בחינתה של עבירת ההמתה בנסיבות של אחריות מופחתת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השינויים שזו עברה ביחס </w:t>
      </w:r>
      <w:hyperlink r:id="rId151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בדין הישן עמדנו בהרחבה לעיל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יוזכר רק כי העונש </w:t>
      </w:r>
      <w:r>
        <w:rPr>
          <w:rFonts w:ascii="FrankRuehl" w:hAnsi="FrankRuehl"/>
          <w:sz w:val="26"/>
          <w:sz w:val="26"/>
          <w:rtl w:val="true"/>
        </w:rPr>
        <w:t>שניתן</w:t>
      </w:r>
      <w:r>
        <w:rPr>
          <w:rFonts w:ascii="Century" w:hAnsi="Century" w:cs="Century"/>
          <w:rtl w:val="true"/>
        </w:rPr>
        <w:t xml:space="preserve"> להשית על נאשם שנסיבותיה חלות בעניינו כיום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עולה על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בהתאם לחלופה הרלוונטית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בשונה מהיכולת להשית גם עונש מאסר עולם על מי שהורשע בנסיבות דומות לפי </w:t>
      </w:r>
      <w:hyperlink r:id="rId15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קודם לרפורמה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הסעיף אם כן מהווה חיקוק מקל ביחס לקודמו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בעבר</w:t>
      </w:r>
      <w:r>
        <w:rPr>
          <w:rFonts w:cs="Century" w:ascii="Century" w:hAnsi="Century"/>
          <w:rtl w:val="true"/>
        </w:rPr>
        <w:t xml:space="preserve">, </w:t>
      </w:r>
      <w:hyperlink r:id="rId15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הסימן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פריצת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בשינוי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ההמתה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לחיקוק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הרפורמה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מעניין בהקשר זה לשים לב לדמיון בין </w:t>
      </w:r>
      <w:hyperlink r:id="rId15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 הישן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ובין </w:t>
      </w:r>
      <w:hyperlink r:id="rId15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זה האחרון 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שלוש הנסיבות שהופיעו </w:t>
      </w:r>
      <w:hyperlink r:id="rId156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החריג של מצוקה נפשית קשה עקב התעללות בבן משפחה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הפרעה נפשית או ליקוי בכושר שכלי המגביל את הנאשם במידה ניכרת אך לא עד כדי מתן פטור לפי </w:t>
      </w:r>
      <w:hyperlink r:id="rId15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ח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וחריגה במידה מועטה מתחולת סייגי האחריות על פי תתי סעיפים שונים של </w:t>
      </w:r>
      <w:hyperlink r:id="rId15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אחד ממצבים אלה כולל מספר תנאים לצורך הוכחת התקיימותו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אף אחד מהם לא נוסף או שונה ביחס לאלו שהיו מעוגנים תחת </w:t>
      </w:r>
      <w:hyperlink r:id="rId15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 הישן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ההשוואה מגלה 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המחוקק לא שינה מדרישותיו ביחס לתנאי סעיף </w:t>
      </w:r>
      <w:r>
        <w:rPr>
          <w:rFonts w:cs="Century" w:ascii="Century" w:hAnsi="Century"/>
        </w:rPr>
        <w:t>300</w:t>
      </w:r>
      <w:r>
        <w:rPr>
          <w:rFonts w:ascii="Century" w:hAnsi="Century" w:cs="Century"/>
          <w:rtl w:val="true"/>
        </w:rPr>
        <w:t>א לחוק הישן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 שניתן לומר כי מדובר בתיקון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נקבע לאותה עבירה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המהווה עונש מקל ביחס 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אם העבירה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תויגה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מחדש בתיוג פלילי מקל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יוצא כי בהסתמך על </w:t>
      </w:r>
      <w:hyperlink r:id="rId16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בסיס להקלה בעונש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בניגוד לשינויים שנערכו בעבירות המתה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לגביהן הוא לא חל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כפי שהוצג 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מודע אני לכך כי עריכת ההשוואה בין הדין הישן לעבירות החדשות מהווה מלאכה מורכבת שיכולה לעורר מחלוקת ואי בהירות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טוב נהג המחוקק בכך שהוסיף הוראות מעבר ייחודיות לתחולת התיקון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בגדרן קבע הן את תחולתו בנוגע </w:t>
      </w:r>
      <w:hyperlink r:id="rId161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את העדר תחולתו בעניינן של עבירות ההמתה האחרות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לעמדתי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מסקנה זו מתיישבת גם עם הכללים המנויים </w:t>
      </w:r>
      <w:hyperlink r:id="rId162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לא בכדי סעיף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לתיקון הפנה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או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משהביע המחוקק את עמדתו ביחס לתחולת הדין החדש בצורה ברורה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לפעול בהתאם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עיקרו של דבר</w:t>
      </w:r>
      <w:r>
        <w:rPr>
          <w:rFonts w:cs="Century" w:ascii="Century" w:hAnsi="Century"/>
          <w:rtl w:val="true"/>
        </w:rPr>
        <w:t xml:space="preserve">, </w:t>
      </w:r>
      <w:hyperlink r:id="rId16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זכה למעמד מיוחד בהוראת המעבר התואם את תכלית סופיות הדיון ומאזנה אל מול שיקולים אחרים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עד כאן המבוא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ומכאן לטרקלין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הפרשנות התכליתית של החוק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4"/>
        </w:numPr>
        <w:spacing w:lineRule="auto" w:line="276"/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בפלילים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הסניגוריה הציבורית מצביעה על מעין עיקרון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ascii="FrankRuehl" w:hAnsi="FrankRuehl"/>
          <w:sz w:val="26"/>
          <w:sz w:val="26"/>
          <w:rtl w:val="true"/>
        </w:rPr>
        <w:t>על שבכוחו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לשיטתה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להכריע בסוגיה </w:t>
      </w:r>
      <w:r>
        <w:rPr>
          <w:rtl w:val="true"/>
        </w:rPr>
        <w:t>שלפנינו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נדמה כי נכון לבחון טענה זו עתה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כדי שניתן יהיה להתקדם בהכרעה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לעמדת ההגנה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לצורך פרשנות הוראת המעבר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יש להתייחס להוראות </w:t>
      </w:r>
      <w:hyperlink r:id="rId164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34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כא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</w:t>
      </w:r>
      <w:hyperlink r:id="rId165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שכותרתו היא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פרשנות</w:t>
      </w:r>
      <w:r>
        <w:rPr>
          <w:rFonts w:cs="FrankRuehl" w:ascii="FrankRuehl" w:hAnsi="FrankRuehl"/>
          <w:sz w:val="26"/>
          <w:rtl w:val="true"/>
        </w:rPr>
        <w:t xml:space="preserve">". </w:t>
      </w:r>
      <w:r>
        <w:rPr>
          <w:rFonts w:ascii="FrankRuehl" w:hAnsi="FrankRuehl"/>
          <w:sz w:val="26"/>
          <w:sz w:val="26"/>
          <w:rtl w:val="true"/>
        </w:rPr>
        <w:t xml:space="preserve">הסעיף </w:t>
      </w:r>
      <w:r>
        <w:rPr>
          <w:rFonts w:ascii="FrankRuehl" w:hAnsi="FrankRuehl"/>
          <w:sz w:val="26"/>
          <w:sz w:val="26"/>
          <w:rtl w:val="true"/>
        </w:rPr>
        <w:t>קובע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כהאי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לישנא</w:t>
      </w:r>
      <w:r>
        <w:rPr>
          <w:rFonts w:cs="FrankRuehl" w:ascii="FrankRuehl" w:hAnsi="FrankRuehl"/>
          <w:sz w:val="26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51"/>
        <w:ind w:end="1282"/>
        <w:jc w:val="both"/>
        <w:rPr>
          <w:rStyle w:val="default"/>
          <w:sz w:val="28"/>
        </w:rPr>
      </w:pPr>
      <w:r>
        <w:rPr>
          <w:rStyle w:val="default"/>
          <w:sz w:val="28"/>
          <w:sz w:val="28"/>
          <w:rtl w:val="true"/>
        </w:rPr>
        <w:t>ניתן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דין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לפירושים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סבירים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אחדים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לפי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תכליתו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יוכרע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הענין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לפי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הפירוש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המקל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ביותר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עם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מי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שאמור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לשאת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באחריות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פלילית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לפי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אותו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דין</w:t>
      </w:r>
      <w:r>
        <w:rPr>
          <w:rStyle w:val="default"/>
          <w:sz w:val="28"/>
          <w:rtl w:val="true"/>
        </w:rPr>
        <w:t>.</w:t>
      </w:r>
    </w:p>
    <w:p>
      <w:pPr>
        <w:pStyle w:val="Ruller41"/>
        <w:ind w:end="0"/>
        <w:jc w:val="both"/>
        <w:rPr>
          <w:rStyle w:val="default"/>
          <w:rFonts w:ascii="FrankRuehl" w:hAnsi="FrankRuehl" w:cs="FrankRuehl"/>
          <w:sz w:val="26"/>
          <w:highlight w:val="yellow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strike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הסעיף </w:t>
      </w:r>
      <w:r>
        <w:rPr>
          <w:rFonts w:ascii="FrankRuehl" w:hAnsi="FrankRuehl"/>
          <w:sz w:val="28"/>
          <w:sz w:val="28"/>
          <w:rtl w:val="true"/>
        </w:rPr>
        <w:t>הוסף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במסגרת</w:t>
      </w:r>
      <w:r>
        <w:rPr>
          <w:rFonts w:ascii="FrankRuehl" w:hAnsi="FrankRuehl"/>
          <w:sz w:val="28"/>
          <w:sz w:val="28"/>
          <w:rtl w:val="true"/>
        </w:rPr>
        <w:t xml:space="preserve"> תיקון 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39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16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חוק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העונשין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תיקון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39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חלק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מקדמי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וחלק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כללי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התשנ״ד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1994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ח </w:t>
      </w:r>
      <w:r>
        <w:rPr>
          <w:rFonts w:cs="FrankRuehl" w:ascii="FrankRuehl" w:hAnsi="FrankRuehl"/>
          <w:sz w:val="28"/>
        </w:rPr>
        <w:t>1481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 xml:space="preserve">והכלל הקבוע בו </w:t>
      </w:r>
      <w:r>
        <w:rPr>
          <w:rFonts w:ascii="FrankRuehl" w:hAnsi="FrankRuehl"/>
          <w:sz w:val="28"/>
          <w:sz w:val="28"/>
          <w:rtl w:val="true"/>
        </w:rPr>
        <w:t xml:space="preserve">מוכר גם בתור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כלל הפרשנות המצמצמת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 xml:space="preserve">או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כלל הפרשנות המקלה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הוא תואם את עקרונות המשפט הפלילי ומעמדו של הנאשם בתוכו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עיקרון החוקיות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עיקרון ההגינות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והעיקרון לפיו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אין עונשין אלא אם כן מזהירין</w:t>
      </w:r>
      <w:r>
        <w:rPr>
          <w:rFonts w:cs="FrankRuehl" w:ascii="FrankRuehl" w:hAnsi="FrankRuehl"/>
          <w:sz w:val="28"/>
          <w:rtl w:val="true"/>
        </w:rPr>
        <w:t>",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הנוגע לחשיבותה של</w:t>
      </w:r>
      <w:r>
        <w:rPr>
          <w:rFonts w:ascii="FrankRuehl" w:hAnsi="FrankRuehl"/>
          <w:sz w:val="28"/>
          <w:sz w:val="28"/>
          <w:rtl w:val="true"/>
        </w:rPr>
        <w:t xml:space="preserve"> מתן אזהרה הוגנת לפרט טרם העמדתו תחת </w:t>
      </w:r>
      <w:r>
        <w:rPr>
          <w:rFonts w:ascii="FrankRuehl" w:hAnsi="FrankRuehl"/>
          <w:sz w:val="28"/>
          <w:sz w:val="28"/>
          <w:rtl w:val="true"/>
        </w:rPr>
        <w:t xml:space="preserve">סכנת החרב הפלילית </w:t>
      </w:r>
      <w:r>
        <w:rPr>
          <w:rFonts w:cs="FrankRuehl" w:ascii="FrankRuehl" w:hAnsi="FrankRuehl"/>
          <w:sz w:val="28"/>
          <w:rtl w:val="true"/>
        </w:rPr>
        <w:t>(</w:t>
      </w:r>
      <w:hyperlink r:id="rId167">
        <w:r>
          <w:rPr>
            <w:rStyle w:val="Hyperlink"/>
            <w:rFonts w:ascii="FrankRuehl" w:hAnsi="FrankRuehl"/>
            <w:sz w:val="28"/>
            <w:sz w:val="28"/>
            <w:rtl w:val="true"/>
          </w:rPr>
          <w:t>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4596/98</w:t>
        </w:r>
        <w:r>
          <w:rPr>
            <w:rStyle w:val="Hyperlink"/>
            <w:rFonts w:cs="FrankRuehl" w:ascii="FrankRuehl" w:hAnsi="FrankRuehl"/>
            <w:sz w:val="28"/>
            <w:rtl w:val="true"/>
          </w:rPr>
          <w:t>‏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''</w:t>
      </w:r>
      <w:r>
        <w:rPr>
          <w:rFonts w:ascii="FrankRuehl" w:hAnsi="FrankRuehl"/>
          <w:sz w:val="28"/>
          <w:sz w:val="28"/>
          <w:rtl w:val="true"/>
        </w:rPr>
        <w:t>ד נד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145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אנגלרד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2000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; </w:t>
      </w:r>
      <w:hyperlink r:id="rId16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2597/04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רויטמן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20.11.06</w:t>
      </w:r>
      <w:r>
        <w:rPr>
          <w:rFonts w:cs="FrankRuehl" w:ascii="FrankRuehl" w:hAnsi="FrankRuehl"/>
          <w:sz w:val="28"/>
          <w:rtl w:val="true"/>
        </w:rPr>
        <w:t xml:space="preserve">); </w:t>
      </w:r>
      <w:hyperlink r:id="rId16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דנ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404/13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>פסקה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32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לפסק דינו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הנשיא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15.04.2015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trike/>
          <w:sz w:val="28"/>
        </w:rPr>
      </w:pPr>
      <w:r>
        <w:rPr>
          <w:rFonts w:cs="FrankRuehl" w:ascii="FrankRuehl" w:hAnsi="FrankRuehl"/>
          <w:strike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כלל הפרשנות המקלה מבטא נכונות להיטיב עם הנאשם בדומה לכללים אחרים במשפט הפלילי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כמו הדרישה להוכיח אשמתו של נאשם מעל לספק סביר לצורך הרשעה בפלילים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שהיא הדוגמה הבולטת לכך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בבסיסו של כלל הפרשנות המקלה עומדת ההנחה כי ראוי לצמצם את פערי הכוחות בין המדינה לפרט בהליך הפלילי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שכן חובת העדפת הפרשנות המקלה עם הנאשם מגלה רגישות מיוחדת לנחיתותו האינהרנטית בהליך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עוד יצוין כי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השימוש ב</w:t>
      </w:r>
      <w:r>
        <w:rPr>
          <w:rFonts w:ascii="FrankRuehl" w:hAnsi="FrankRuehl"/>
          <w:sz w:val="28"/>
          <w:sz w:val="28"/>
          <w:rtl w:val="true"/>
        </w:rPr>
        <w:t>כלל</w:t>
      </w:r>
      <w:r>
        <w:rPr>
          <w:rFonts w:ascii="FrankRuehl" w:hAnsi="FrankRuehl"/>
          <w:sz w:val="28"/>
          <w:sz w:val="28"/>
          <w:rtl w:val="true"/>
        </w:rPr>
        <w:t xml:space="preserve"> הפרשנות המקלה בפלילים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מגביר את חירותו של הפרט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מפני שהחובה להעדיף את הפרשנות המקלה של הדין </w:t>
      </w:r>
      <w:r>
        <w:rPr>
          <w:rFonts w:ascii="FrankRuehl" w:hAnsi="FrankRuehl"/>
          <w:sz w:val="28"/>
          <w:sz w:val="28"/>
          <w:rtl w:val="true"/>
        </w:rPr>
        <w:t>מ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FrankRuehl" w:hAnsi="FrankRuehl"/>
          <w:sz w:val="28"/>
          <w:sz w:val="28"/>
          <w:rtl w:val="true"/>
        </w:rPr>
        <w:t>תיר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בידו </w:t>
      </w:r>
      <w:r>
        <w:rPr>
          <w:rFonts w:ascii="FrankRuehl" w:hAnsi="FrankRuehl"/>
          <w:sz w:val="28"/>
          <w:sz w:val="28"/>
          <w:rtl w:val="true"/>
        </w:rPr>
        <w:t xml:space="preserve">חופש </w:t>
      </w:r>
      <w:r>
        <w:rPr>
          <w:rFonts w:ascii="FrankRuehl" w:hAnsi="FrankRuehl"/>
          <w:sz w:val="28"/>
          <w:sz w:val="28"/>
          <w:rtl w:val="true"/>
        </w:rPr>
        <w:t xml:space="preserve">פעולה </w:t>
      </w:r>
      <w:r>
        <w:rPr>
          <w:rFonts w:ascii="FrankRuehl" w:hAnsi="FrankRuehl"/>
          <w:sz w:val="28"/>
          <w:sz w:val="28"/>
          <w:rtl w:val="true"/>
        </w:rPr>
        <w:t xml:space="preserve">רחב יותר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 סנג</w:t>
      </w:r>
      <w:r>
        <w:rPr>
          <w:rFonts w:cs="FrankRuehl" w:ascii="FrankRuehl" w:hAnsi="FrankRuehl"/>
          <w:sz w:val="28"/>
          <w:rtl w:val="true"/>
        </w:rPr>
        <w:t>'</w:t>
      </w:r>
      <w:r>
        <w:rPr>
          <w:rFonts w:ascii="FrankRuehl" w:hAnsi="FrankRuehl"/>
          <w:sz w:val="28"/>
          <w:sz w:val="28"/>
          <w:rtl w:val="true"/>
        </w:rPr>
        <w:t>רו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בעמ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82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ז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פלר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hyperlink r:id="rId17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כרך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5-4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1984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יורם רבין ויניב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כרך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103</w:t>
      </w:r>
      <w:r>
        <w:rPr>
          <w:sz w:val="28"/>
          <w:rtl w:val="true"/>
        </w:rPr>
        <w:t xml:space="preserve">, </w:t>
      </w:r>
      <w:r>
        <w:rPr>
          <w:sz w:val="28"/>
        </w:rPr>
        <w:t>109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מהדורה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שלישית</w:t>
      </w:r>
      <w:r>
        <w:rPr>
          <w:sz w:val="28"/>
          <w:rtl w:val="true"/>
        </w:rPr>
        <w:t xml:space="preserve">, </w:t>
      </w:r>
      <w:r>
        <w:rPr>
          <w:sz w:val="28"/>
        </w:rPr>
        <w:t>2014</w:t>
      </w:r>
      <w:r>
        <w:rPr>
          <w:sz w:val="28"/>
          <w:rtl w:val="true"/>
        </w:rPr>
        <w:t>)).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יודגש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עם זאת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כי יישומו של כלל הפרשנות המקלה לא נעשה באופן אוטומטי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לשון </w:t>
      </w:r>
      <w:hyperlink r:id="rId171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34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כא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טומנת בחובה שני בלמים אשר מסייגים את הכלל האמור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ascii="FrankRuehl" w:hAnsi="FrankRuehl"/>
          <w:sz w:val="28"/>
          <w:sz w:val="28"/>
          <w:rtl w:val="true"/>
        </w:rPr>
        <w:t xml:space="preserve"> הוא המונח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פירושים סבירים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FrankRuehl" w:hAnsi="FrankRuehl"/>
          <w:sz w:val="28"/>
          <w:sz w:val="28"/>
          <w:rtl w:val="true"/>
        </w:rPr>
        <w:t xml:space="preserve"> הוא המונח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לפי תכליתו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אשר למונח הראשון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ברי כי </w:t>
      </w:r>
      <w:r>
        <w:rPr>
          <w:rtl w:val="true"/>
        </w:rPr>
        <w:t>הדרישה</w:t>
      </w:r>
      <w:r>
        <w:rPr>
          <w:rFonts w:ascii="FrankRuehl" w:hAnsi="FrankRuehl"/>
          <w:sz w:val="28"/>
          <w:sz w:val="28"/>
          <w:rtl w:val="true"/>
        </w:rPr>
        <w:t xml:space="preserve"> כי פירושי לשון החוק יהיו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סבירים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מכירה בקיומם של פירושים לשוניים שאינם סבירים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דינם של פירושים מעין אלה הוא להידחות</w:t>
      </w:r>
      <w:r>
        <w:rPr>
          <w:rFonts w:cs="FrankRuehl" w:ascii="FrankRuehl" w:hAnsi="FrankRuehl"/>
          <w:sz w:val="28"/>
          <w:rtl w:val="true"/>
        </w:rPr>
        <w:t>. "</w:t>
      </w:r>
      <w:r>
        <w:rPr>
          <w:rFonts w:ascii="FrankRuehl" w:hAnsi="FrankRuehl"/>
          <w:sz w:val="28"/>
          <w:sz w:val="28"/>
          <w:rtl w:val="true"/>
        </w:rPr>
        <w:t>משפך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הסבירות מאפשר אפוא גם למנוע מצב בו יישומו של הכלל מנוצל לרעה והיקפו מורחב יתר על המידה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כפי שיובהר בהמשך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הפרשנות הלשונית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הסבירה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לא יוצרת קושי מיוחד ביחס לאף אחת מן העמדות שהוצגו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הבלם השני בלשון </w:t>
      </w:r>
      <w:hyperlink r:id="rId172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34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כא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</w:t>
      </w:r>
      <w:r>
        <w:rPr>
          <w:rFonts w:cs="FrankRuehl" w:ascii="FrankRuehl" w:hAnsi="FrankRuehl"/>
          <w:sz w:val="28"/>
          <w:rtl w:val="true"/>
        </w:rPr>
        <w:t>, "</w:t>
      </w:r>
      <w:r>
        <w:rPr>
          <w:rFonts w:ascii="FrankRuehl" w:hAnsi="FrankRuehl"/>
          <w:sz w:val="28"/>
          <w:sz w:val="28"/>
          <w:rtl w:val="true"/>
        </w:rPr>
        <w:t>לפי תכליתו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>הוא הרלוונטי להכרעתנו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המונח מחייב את בית המשפט לשקול את התכלית בבסיס הדין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רק אם היכולת להגשים תכלית זו עומדת באותו המרחק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או במרחק מאוד דומה לו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משני הפירושים האחרים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יש לבכר את הפרשנות המקלה עם הנאשם</w:t>
      </w:r>
      <w:r>
        <w:rPr>
          <w:rFonts w:cs="FrankRuehl" w:ascii="FrankRuehl" w:hAnsi="FrankRuehl"/>
          <w:sz w:val="28"/>
          <w:rtl w:val="true"/>
        </w:rPr>
        <w:t>. "</w:t>
      </w:r>
      <w:r>
        <w:rPr>
          <w:rFonts w:ascii="FrankRuehl" w:hAnsi="FrankRuehl"/>
          <w:sz w:val="28"/>
          <w:sz w:val="28"/>
          <w:rtl w:val="true"/>
        </w:rPr>
        <w:t>בלם התכלית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 xml:space="preserve">כנראה מהווה סיבה לכך </w:t>
      </w:r>
      <w:hyperlink r:id="rId173">
        <w:r>
          <w:rPr>
            <w:rStyle w:val="Hyperlink"/>
            <w:rFonts w:ascii="FrankRuehl" w:hAnsi="FrankRuehl"/>
            <w:sz w:val="28"/>
            <w:sz w:val="28"/>
            <w:rtl w:val="true"/>
          </w:rPr>
          <w:t>שסעיף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34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כא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 איננו משמש לבסיס בהכרעה ביותר מקרים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ודוקו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לו תכלית הוראת הסעיף הייתה אך להקל עם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התוצאה במצב דברים שכזה הייתה כי הפירוש המחמיר מייד ייסוג לאחור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מנגד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החיפוש אחר תכליתו של החוק משמעותו כי יש לבחון את מהותו ומטרתו של החיקוק מושא הפרשנות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כאשר הפירוש המקל אינו זוכה להעדפה על פני הפירוש המחמיר באופן אוטומטי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trike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יוזכר כי על תכליתה של הוראת חקיקה אנו למדים מלשונה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מיקומה בחוק והשתלבותה עם הוראות חוק אחרות בתחומים קרובים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כמו גם מעקרונות השיטה של המשפט הפלילי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בבואנו ללמוד על תכליתו הסובייקטיבית של החוק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ניתנת התייחסות לכוונת המחוקק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דהיינו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למטרות אותן ביקש להגשים באמצעותו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אלו עולות מן ההיסטוריה החקיקתית של דבר החקיקה הנבחן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תכליתו האובייקטיבי</w:t>
      </w:r>
      <w:r>
        <w:rPr>
          <w:rFonts w:ascii="FrankRuehl" w:hAnsi="FrankRuehl"/>
          <w:sz w:val="28"/>
          <w:sz w:val="28"/>
          <w:rtl w:val="true"/>
        </w:rPr>
        <w:t>ת</w:t>
      </w:r>
      <w:r>
        <w:rPr>
          <w:rFonts w:ascii="FrankRuehl" w:hAnsi="FrankRuehl"/>
          <w:sz w:val="28"/>
          <w:sz w:val="28"/>
          <w:rtl w:val="true"/>
        </w:rPr>
        <w:t xml:space="preserve"> של החוק משתקפת מן הערכים והעקרונות הנורמטיביי</w:t>
      </w:r>
      <w:r>
        <w:rPr>
          <w:rFonts w:ascii="FrankRuehl" w:hAnsi="FrankRuehl"/>
          <w:sz w:val="28"/>
          <w:sz w:val="28"/>
          <w:rtl w:val="true"/>
        </w:rPr>
        <w:t>ם</w:t>
      </w:r>
      <w:r>
        <w:rPr>
          <w:rFonts w:ascii="FrankRuehl" w:hAnsi="FrankRuehl"/>
          <w:sz w:val="28"/>
          <w:sz w:val="28"/>
          <w:rtl w:val="true"/>
        </w:rPr>
        <w:t xml:space="preserve"> של שיטת המשפט בכללותה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ועקרונות שיטת המשפט הפלילי בפרט </w:t>
      </w:r>
      <w:r>
        <w:rPr>
          <w:rFonts w:cs="FrankRuehl" w:ascii="FrankRuehl" w:hAnsi="FrankRuehl"/>
          <w:sz w:val="28"/>
          <w:rtl w:val="true"/>
        </w:rPr>
        <w:t>(</w:t>
      </w:r>
      <w:hyperlink r:id="rId174">
        <w:r>
          <w:rPr>
            <w:rStyle w:val="Hyperlink"/>
            <w:rFonts w:ascii="FrankRuehl" w:hAnsi="FrankRuehl"/>
            <w:sz w:val="28"/>
            <w:sz w:val="28"/>
            <w:rtl w:val="true"/>
          </w:rPr>
          <w:t>דנ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10987/07</w:t>
        </w:r>
      </w:hyperlink>
      <w:r>
        <w:rPr>
          <w:rFonts w:cs="FrankRuehl" w:ascii="FrankRuehl" w:hAnsi="FrankRuehl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סג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644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דינה של הנשיאה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2009</w:t>
      </w:r>
      <w:r>
        <w:rPr>
          <w:rFonts w:cs="FrankRuehl" w:ascii="FrankRuehl" w:hAnsi="FrankRuehl"/>
          <w:sz w:val="28"/>
          <w:rtl w:val="true"/>
        </w:rPr>
        <w:t xml:space="preserve">); </w:t>
      </w:r>
      <w:hyperlink r:id="rId175">
        <w:r>
          <w:rPr>
            <w:rStyle w:val="Hyperlink"/>
            <w:rFonts w:ascii="FrankRuehl" w:hAnsi="FrankRuehl"/>
            <w:b/>
            <w:b/>
            <w:spacing w:val="0"/>
            <w:sz w:val="24"/>
            <w:sz w:val="24"/>
            <w:rtl w:val="true"/>
          </w:rPr>
          <w:t>ע</w:t>
        </w:r>
        <w:r>
          <w:rPr>
            <w:rStyle w:val="Hyperlink"/>
            <w:rFonts w:cs="FrankRuehl" w:ascii="FrankRuehl" w:hAnsi="FrankRuehl"/>
            <w:b/>
            <w:spacing w:val="0"/>
            <w:sz w:val="24"/>
            <w:rtl w:val="true"/>
          </w:rPr>
          <w:t>"</w:t>
        </w:r>
        <w:r>
          <w:rPr>
            <w:rStyle w:val="Hyperlink"/>
            <w:rFonts w:ascii="FrankRuehl" w:hAnsi="FrankRuehl"/>
            <w:b/>
            <w:b/>
            <w:spacing w:val="0"/>
            <w:sz w:val="24"/>
            <w:sz w:val="24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b/>
            <w:spacing w:val="0"/>
            <w:sz w:val="24"/>
          </w:rPr>
          <w:t>3027/90</w:t>
        </w:r>
      </w:hyperlink>
      <w:r>
        <w:rPr>
          <w:rFonts w:cs="FrankRuehl" w:ascii="FrankRuehl" w:hAnsi="FrankRuehl"/>
          <w:b/>
          <w:color w:val="000000"/>
          <w:spacing w:val="0"/>
          <w:sz w:val="24"/>
          <w:rtl w:val="true"/>
        </w:rPr>
        <w:t xml:space="preserve">‏ </w:t>
      </w:r>
      <w:r>
        <w:rPr>
          <w:rFonts w:cs="Miriam" w:ascii="Century" w:hAnsi="Century"/>
          <w:b/>
          <w:color w:val="000000"/>
          <w:spacing w:val="0"/>
          <w:szCs w:val="24"/>
        </w:rPr>
        <w:t>‎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מודיעים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בינוי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ופיתוח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color w:val="000000"/>
          <w:spacing w:val="0"/>
          <w:szCs w:val="24"/>
        </w:rPr>
        <w:t>‎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color w:val="000000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ד מה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364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371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1991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; </w:t>
      </w:r>
      <w:hyperlink r:id="rId17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בש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4206/16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טח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(‏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</w:rPr>
        <w:t>.11.2016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/>
          <w:sz w:val="28"/>
          <w:sz w:val="28"/>
          <w:rtl w:val="true"/>
        </w:rPr>
        <w:t>הדגש הפרשני מושם על התכלית האובייקטיבית של החוק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אם כי ניתן משקל גם לתכליתו הסובייקטיבית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trike/>
          <w:spacing w:val="0"/>
          <w:sz w:val="28"/>
          <w:szCs w:val="24"/>
        </w:rPr>
      </w:pPr>
      <w:r>
        <w:rPr>
          <w:rFonts w:cs="Miriam" w:ascii="Century" w:hAnsi="Century"/>
          <w:b/>
          <w:strike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4"/>
        </w:numPr>
        <w:spacing w:lineRule="auto" w:line="276"/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התכליתית</w:t>
      </w:r>
    </w:p>
    <w:p>
      <w:pPr>
        <w:pStyle w:val="Ruller41"/>
        <w:ind w:end="0"/>
        <w:jc w:val="both"/>
        <w:rPr>
          <w:rFonts w:ascii="FrankRuehl" w:hAnsi="FrankRuehl" w:cs="FrankRuehl"/>
          <w:b/>
          <w:spacing w:val="0"/>
          <w:sz w:val="28"/>
          <w:szCs w:val="24"/>
        </w:rPr>
      </w:pPr>
      <w:r>
        <w:rPr>
          <w:rFonts w:cs="FrankRuehl" w:ascii="FrankRuehl" w:hAnsi="FrankRuehl"/>
          <w:b/>
          <w:spacing w:val="0"/>
          <w:sz w:val="28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במקרה זה הפרשנות התכליתית בנויה משני נדבכים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הנדבך הראשון הוא הוראת המעבר </w:t>
      </w:r>
      <w:r>
        <w:rPr>
          <w:rtl w:val="true"/>
        </w:rPr>
        <w:t>הפרטנית</w:t>
      </w:r>
      <w:r>
        <w:rPr>
          <w:rFonts w:ascii="FrankRuehl" w:hAnsi="FrankRuehl"/>
          <w:sz w:val="28"/>
          <w:sz w:val="28"/>
          <w:rtl w:val="true"/>
        </w:rPr>
        <w:t xml:space="preserve"> דנן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והעקרון הכללי של קיצור העונש בעקבות תיקון חקיקה שמקל בענישה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הנדבך השני הוא המאסר מאחורי סורג ובריח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המאסר המותנה והיחס ביניהם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השילוב של שני הנדבכים הוא שניצב ביסוד ההכרעה בדבר אופן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המרת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עונשי המאסר השונים בעקבות שינוי הדין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נפנה אפוא לבחינת תכליותיהם של שני הנדבכים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תכליתה של הוראת המעבר המעוגנת בסעיף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ג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לתיקון מורכבת משלושה אדנים מרכזיים</w:t>
      </w:r>
      <w:r>
        <w:rPr>
          <w:rFonts w:cs="FrankRuehl" w:ascii="FrankRuehl" w:hAnsi="FrankRuehl"/>
          <w:sz w:val="28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3"/>
        </w:numPr>
        <w:ind w:hanging="360" w:start="108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הכרה בדינאמיות של המשפט הפלילי</w:t>
      </w:r>
      <w:r>
        <w:rPr>
          <w:rFonts w:cs="FrankRuehl" w:ascii="FrankRuehl" w:hAnsi="FrankRuehl"/>
          <w:sz w:val="28"/>
          <w:rtl w:val="true"/>
        </w:rPr>
        <w:t xml:space="preserve">; </w:t>
      </w:r>
    </w:p>
    <w:p>
      <w:pPr>
        <w:pStyle w:val="Ruller41"/>
        <w:numPr>
          <w:ilvl w:val="0"/>
          <w:numId w:val="3"/>
        </w:numPr>
        <w:ind w:hanging="360" w:start="108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אופייה המיוחד של עבירת הרצח</w:t>
      </w:r>
      <w:r>
        <w:rPr>
          <w:rFonts w:cs="FrankRuehl" w:ascii="FrankRuehl" w:hAnsi="FrankRuehl"/>
          <w:sz w:val="28"/>
          <w:rtl w:val="true"/>
        </w:rPr>
        <w:t>;</w:t>
      </w:r>
    </w:p>
    <w:p>
      <w:pPr>
        <w:pStyle w:val="Ruller41"/>
        <w:numPr>
          <w:ilvl w:val="0"/>
          <w:numId w:val="3"/>
        </w:numPr>
        <w:ind w:hanging="360" w:start="108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כלל סופיות הדיון בפלילים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start="1080"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נבהיר ונרחיב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א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u w:val="single"/>
          <w:rtl w:val="true"/>
        </w:rPr>
        <w:t>הכרה בדינאמיות של המשפט הפלילי</w:t>
      </w:r>
      <w:r>
        <w:rPr>
          <w:rFonts w:cs="FrankRuehl" w:ascii="FrankRuehl" w:hAnsi="FrankRuehl"/>
          <w:sz w:val="28"/>
          <w:u w:val="single"/>
          <w:rtl w:val="true"/>
        </w:rPr>
        <w:t>: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ההצדקה העומדת בבסיס הוראות המעבר במשפט הפלילי היא שהמשפט הפלילי דינאמי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למשל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האיסור על גניבה היה תקף בעבר הרחוק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בהווה וכנראה לא ינוס לחו גם בעתיד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אף ההגדרה הבסיסית של העבירה לא נשתנתה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נטילת חפץ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השייך לאחר ללא רשות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אולם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פרטי העבירה יכולים להשתנות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בעניינן של הגדרות מהותיות מסוימות של רכיבי העבירה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וכך גם בהתייחס לחומרת הענישה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דוגמה טובה לכך בשיטה הישראלית היא עבירת האינוס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עבירה זו עברה שינויים רבים בהגדרתה עם חלוף השנים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הגם שהאיסור על אונס עומד בתוקפו מקום המדינה ועד היום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על התמורות בהגדרת העבירה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ראו למשל </w:t>
      </w:r>
      <w:hyperlink r:id="rId17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6662/13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‏‏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דיני </w:t>
      </w:r>
      <w:r>
        <w:rPr>
          <w:rFonts w:cs="FrankRuehl" w:ascii="FrankRuehl" w:hAnsi="FrankRuehl"/>
          <w:sz w:val="28"/>
          <w:rtl w:val="true"/>
        </w:rPr>
        <w:t>(‏</w:t>
      </w:r>
      <w:r>
        <w:rPr>
          <w:rFonts w:cs="FrankRuehl" w:ascii="FrankRuehl" w:hAnsi="FrankRuehl"/>
          <w:sz w:val="28"/>
        </w:rPr>
        <w:t>2.3.2015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/>
          <w:sz w:val="28"/>
          <w:sz w:val="28"/>
          <w:rtl w:val="true"/>
        </w:rPr>
        <w:t>האמור רלוונטי כמובן גם לעבירות ההמתה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בעוד שהאיסור להמית קיים אף הוא מימים ימימה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כפי שהוזכר לעיל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פרטיהן של עבירות ההמתה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התיוג המוצמד להן והעונש המושת בגינן פתוחים לשינויים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דברים אלה זוכים למשנה תוקף עם הפניית מבטנו למחקריה של האנתרופולוגית האמריקאית מרגרט מיד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Times New Roman" w:ascii="Times New Roman" w:hAnsi="Times New Roman"/>
          <w:lang w:val="en"/>
        </w:rPr>
        <w:t>Margaret Mead</w:t>
      </w:r>
      <w:r>
        <w:rPr>
          <w:rtl w:val="true"/>
          <w:lang w:val="en"/>
        </w:rPr>
        <w:t>)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אשר מחקריה עסקו בהשוואה בין תרבויות שונות באמצע המאה ה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תוך מתן דגש על המשפט הטבעי של תרבויות נידחות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מסקנת מחקריה בנושא זה הייתה כי בכל חברה אנושית ישנו איסור בסיסי על גרימת מוות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גילוי עריות וגניבה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אולם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קיים שוני בפרטי העבירות ובהיקף הגדרתן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>:</w:t>
      </w:r>
      <w:r>
        <w:rPr>
          <w:rFonts w:cs="Times New Roman" w:ascii="Times New Roman" w:hAnsi="Times New Roman"/>
          <w:lang w:val="en"/>
        </w:rPr>
        <w:t xml:space="preserve">Margaret Mead, </w:t>
      </w:r>
      <w:r>
        <w:rPr>
          <w:rFonts w:cs="Times New Roman" w:ascii="Times New Roman" w:hAnsi="Times New Roman"/>
          <w:i/>
          <w:iCs/>
          <w:lang w:val="en"/>
        </w:rPr>
        <w:t xml:space="preserve">Some Anthropological Considerations Concerning Natural Law, </w:t>
      </w:r>
      <w:r>
        <w:rPr>
          <w:rFonts w:cs="Times New Roman" w:ascii="Times New Roman" w:hAnsi="Times New Roman"/>
          <w:lang w:val="en"/>
        </w:rPr>
        <w:t xml:space="preserve">6 </w:t>
      </w:r>
      <w:r>
        <w:rPr>
          <w:rFonts w:cs="Times New Roman" w:ascii="Times New Roman" w:hAnsi="Times New Roman"/>
          <w:smallCaps/>
          <w:sz w:val="24"/>
          <w:szCs w:val="24"/>
        </w:rPr>
        <w:t xml:space="preserve">Natural L. Forum </w:t>
      </w:r>
      <w:r>
        <w:rPr>
          <w:rFonts w:cs="Times New Roman" w:ascii="Times New Roman" w:hAnsi="Times New Roman"/>
          <w:lang w:val="en"/>
        </w:rPr>
        <w:t>51, 52-53 (1961</w:t>
      </w:r>
      <w:r>
        <w:rPr>
          <w:rFonts w:cs="FrankRuehl" w:ascii="FrankRuehl" w:hAnsi="FrankRuehl"/>
          <w:sz w:val="28"/>
        </w:rPr>
        <w:t>)</w:t>
      </w:r>
      <w:r>
        <w:rPr>
          <w:rFonts w:cs="FrankRuehl" w:ascii="FrankRuehl" w:hAnsi="FrankRuehl"/>
          <w:sz w:val="28"/>
          <w:rtl w:val="true"/>
        </w:rPr>
        <w:t xml:space="preserve">); </w:t>
      </w:r>
      <w:r>
        <w:rPr>
          <w:rFonts w:ascii="FrankRuehl" w:hAnsi="FrankRuehl"/>
          <w:sz w:val="28"/>
          <w:sz w:val="28"/>
          <w:rtl w:val="true"/>
        </w:rPr>
        <w:t xml:space="preserve">ניל הנדל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הקדמה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הסייבר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19-15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חיים ויסמונסקי מחבר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2015</w:t>
      </w:r>
      <w:r>
        <w:rPr>
          <w:rFonts w:cs="FrankRuehl" w:ascii="FrankRuehl" w:hAnsi="FrankRuehl"/>
          <w:sz w:val="28"/>
          <w:rtl w:val="true"/>
        </w:rPr>
        <w:t>)).</w:t>
      </w:r>
    </w:p>
    <w:p>
      <w:pPr>
        <w:pStyle w:val="Ruller41"/>
        <w:ind w:end="0"/>
        <w:jc w:val="both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Times New Roman" w:hAnsi="Times New Roman"/>
          <w:smallCaps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הזמנים</w:t>
      </w:r>
      <w:r>
        <w:rPr>
          <w:rtl w:val="true"/>
        </w:rPr>
        <w:t xml:space="preserve">, </w:t>
      </w:r>
      <w:r>
        <w:rPr>
          <w:rtl w:val="true"/>
        </w:rPr>
        <w:t>נשאלת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המענה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לענישתו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tl w:val="true"/>
        </w:rPr>
        <w:t xml:space="preserve">, </w:t>
      </w:r>
      <w:r>
        <w:rPr>
          <w:rtl w:val="true"/>
        </w:rPr>
        <w:t>כשקיימת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ההפוכה</w:t>
      </w:r>
      <w:r>
        <w:rPr>
          <w:rtl w:val="true"/>
        </w:rPr>
        <w:t>.</w:t>
      </w:r>
      <w:r>
        <w:rPr>
          <w:sz w:val="26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והלאה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7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למפרע</w:t>
      </w:r>
      <w:r>
        <w:rPr>
          <w:rtl w:val="true"/>
        </w:rPr>
        <w:t>" (</w:t>
      </w:r>
      <w:hyperlink r:id="rId18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הקובע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</w:t>
      </w:r>
      <w:r>
        <w:rPr>
          <w:rtl w:val="true"/>
        </w:rPr>
        <w:t xml:space="preserve">.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התהו</w:t>
      </w:r>
      <w:r>
        <w:rPr>
          <w:rtl w:val="true"/>
        </w:rPr>
        <w:t>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החוקיות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המורה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18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hyperlink r:id="rId18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ההפוך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18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לכניסתה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18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18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להתפתחותו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hyperlink r:id="rId19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אנליטי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לתכתיבי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tl w:val="true"/>
        </w:rPr>
        <w:t>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63/89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מזרחי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388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המורים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במידתו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ומושפעים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רחמיאן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; </w:t>
      </w:r>
      <w:r>
        <w:rPr>
          <w:rFonts w:cs="Miriam"/>
          <w:b/>
          <w:b/>
          <w:spacing w:val="0"/>
          <w:szCs w:val="24"/>
          <w:rtl w:val="true"/>
        </w:rPr>
        <w:t>גור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אריה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hyperlink r:id="rId193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המעגן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tl w:val="true"/>
        </w:rPr>
        <w:t xml:space="preserve">, </w:t>
      </w:r>
      <w:r>
        <w:rPr>
          <w:rtl w:val="true"/>
        </w:rPr>
        <w:t>נגלה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הרעה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דינאמית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מתקדמת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hyperlink r:id="rId19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1992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115</w:t>
      </w:r>
      <w:r>
        <w:rPr>
          <w:rtl w:val="true"/>
        </w:rPr>
        <w:t xml:space="preserve">, </w:t>
      </w:r>
      <w:r>
        <w:rPr/>
        <w:t>116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למקרא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הקלה</w:t>
      </w:r>
      <w:r>
        <w:rPr>
          <w:rtl w:val="true"/>
        </w:rPr>
        <w:t xml:space="preserve">. </w:t>
      </w:r>
      <w:r>
        <w:rPr>
          <w:rtl w:val="true"/>
        </w:rPr>
        <w:t>ישנה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כוחני</w:t>
      </w:r>
      <w:r>
        <w:rPr>
          <w:rtl w:val="true"/>
        </w:rPr>
        <w:t xml:space="preserve">.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מעניש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המאצילה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למחוקק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וממושכות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קולות</w:t>
      </w:r>
      <w:r>
        <w:rPr>
          <w:rtl w:val="true"/>
        </w:rPr>
        <w:t xml:space="preserve">".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יופחת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ולהקל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שמשפטם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נשמר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;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מולו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  <w:highlight w:val="yellow"/>
        </w:rPr>
      </w:pPr>
      <w:r>
        <w:rPr>
          <w:rFonts w:cs="FrankRuehl" w:ascii="FrankRuehl" w:hAnsi="FrankRuehl"/>
          <w:sz w:val="28"/>
          <w:highlight w:val="yellow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u w:val="single"/>
          <w:rtl w:val="true"/>
        </w:rPr>
        <w:t>אופייה המיוחד של עבירת הרצח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להוראת המעבר תכלית ייחודית המדגישה את ייחודה של עבירת הרצח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אשר מעצימה ומבליטה את הכללים האמורים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עבירת הרצח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כפי שצוין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נחשבת לחמורה ביותר בספר החוקים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בבואה להגדיר מהי עבירת הרצח ומהו העונש הקובע לצדה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החברה נותנת ביטוי לערכיה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עולה גם מן החומר שהובא לעיל בעניין רפורמת עבירות ההמתה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העונש המרבי שניתן להשית בגין הרשעה בעבירת הרצח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עונש מאסר עולם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ממחיש תפישות אלה גם כן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Calibri" w:ascii="Calibri" w:hAnsi="Calibri"/>
          <w:sz w:val="28"/>
          <w:rtl w:val="true"/>
        </w:rPr>
        <w:tab/>
      </w:r>
      <w:r>
        <w:rPr>
          <w:rFonts w:ascii="Calibri" w:hAnsi="Calibri" w:cs="Calibri"/>
          <w:sz w:val="28"/>
          <w:sz w:val="28"/>
          <w:rtl w:val="true"/>
        </w:rPr>
        <w:t>חברות דמוקרטיות שונות בימינו חלוקות בעניין העונש הראוי בגין עבירות רצח והמתה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ברי כי זוהי החלטה ערכית במעלה עליונה של כל חברה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בוודאי בתחום המשפט הפלילי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תקופה ארוכה דנה ועדת מומחים בהגדרות עבירות ההמתה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המחוקק הכיר בכך כי ישנן עבירות המתה שונות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ואף גוונים שונים לעבירת הרצח עצמה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על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ביקש לערוך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סדר חדש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בעבירות ההמתה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במסגרתו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נוספו ל</w:t>
      </w:r>
      <w:hyperlink r:id="rId19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עבירות המתה חדשות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ובוטלו אחרות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כאמור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בהוראת המעבר של התיקון יש חידוש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זאת מפני שהיא עוסקת גם במצב שבו פסק הדין הפך לחלוט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כאשר המשתנה במצב דברים זה איננו רק העונש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אלא גם העבירה בה הורשע המערער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מכיוון שכך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פסק דינו של הנאשם מקבל פנים חדשות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קווים מדויקים יותר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אם כן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ההכרה בדינאמיות של המשפט הפלילי והנגזר מכך</w:t>
      </w:r>
      <w:r>
        <w:rPr>
          <w:rFonts w:cs="Calibri" w:ascii="Calibri" w:hAnsi="Calibri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הפנמת נורמות חדשות המקלות עם הנאשם ביחס לענישתו ושמירה על שוויון בין נאשמים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מחייבת גם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וביתר שאת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בהתייחס לעבירות רצח והמתה</w:t>
      </w:r>
      <w:r>
        <w:rPr>
          <w:rFonts w:cs="Calibri" w:ascii="Calibri" w:hAnsi="Calibri"/>
          <w:sz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ענייננו מציף כאמור את ייחודן של עבירות ההמתה בכלל ועבירת הרצח בפרט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מפני שהתיקון נועד לדייק יותר את תיוגן של עבירות ההמתה ולקבוע מנעד רחב יותר של עבירות המתה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בשאיפה שאלו יעשו צדק עם העושה בהגדרת מעשיו ובעונש הראוי להשית בגינם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המחוקק לא הסתפק </w:t>
      </w:r>
      <w:hyperlink r:id="rId197">
        <w:r>
          <w:rPr>
            <w:rStyle w:val="Hyperlink"/>
            <w:rFonts w:ascii="FrankRuehl" w:hAnsi="FrankRuehl"/>
            <w:sz w:val="28"/>
            <w:sz w:val="28"/>
            <w:rtl w:val="true"/>
          </w:rPr>
          <w:t>בסעיף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הכללי ל</w:t>
      </w:r>
      <w:hyperlink r:id="rId19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אלא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חוקק הוראת מעבר המיוחדת לעבירות ההמתה המעוגנת בסעיף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לתיקון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ראוי הוא הדבר לתפישתי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נוכח מעמדה הייחודי של עבירת ההמתה ופגיעתה הקשה ביותר באחד מפרטי החברה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  <w:t>(</w:t>
      </w:r>
      <w:r>
        <w:rPr>
          <w:rFonts w:ascii="Calibri" w:hAnsi="Calibri" w:cs="Calibri"/>
          <w:sz w:val="28"/>
          <w:sz w:val="28"/>
          <w:rtl w:val="true"/>
        </w:rPr>
        <w:t>ג</w:t>
      </w:r>
      <w:r>
        <w:rPr>
          <w:rFonts w:cs="Calibri" w:ascii="Calibri" w:hAnsi="Calibri"/>
          <w:sz w:val="28"/>
          <w:rtl w:val="true"/>
        </w:rPr>
        <w:t>)</w:t>
        <w:tab/>
      </w:r>
      <w:r>
        <w:rPr>
          <w:rFonts w:ascii="Calibri" w:hAnsi="Calibri" w:cs="Calibri"/>
          <w:sz w:val="28"/>
          <w:sz w:val="28"/>
          <w:u w:val="single"/>
          <w:rtl w:val="true"/>
        </w:rPr>
        <w:t>כלל סופיות הדיון בפלילים</w:t>
      </w:r>
      <w:r>
        <w:rPr>
          <w:rFonts w:cs="Calibri" w:ascii="Calibri" w:hAnsi="Calibri"/>
          <w:sz w:val="28"/>
          <w:u w:val="single"/>
          <w:rtl w:val="true"/>
        </w:rPr>
        <w:t>:</w:t>
      </w:r>
      <w:r>
        <w:rPr>
          <w:rFonts w:cs="Calibri" w:ascii="Calibri" w:hAnsi="Calibri"/>
          <w:sz w:val="28"/>
          <w:rtl w:val="true"/>
        </w:rPr>
        <w:t xml:space="preserve"> </w:t>
      </w:r>
      <w:r>
        <w:rPr>
          <w:rFonts w:ascii="Calibri" w:hAnsi="Calibri" w:cs="Calibri"/>
          <w:sz w:val="28"/>
          <w:sz w:val="28"/>
          <w:rtl w:val="true"/>
        </w:rPr>
        <w:t>סופיות הדיון היא תכלית מרכזית העומדת בבסיסה של הוראת המעבר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כאמור לעיל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התערבות בפסק דין חלוט ניתנת להבנה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אף שהיא מעוררת קושי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פסק דין חלוט בפלילים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ובמיוחד בעבירות המתה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לא נועד לשמש כמעין החלטה זמנית המשתנה מעת לעת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 xml:space="preserve">על אף </w:t>
      </w:r>
      <w:r>
        <w:rPr>
          <w:rFonts w:ascii="FrankRuehl" w:hAnsi="FrankRuehl"/>
          <w:sz w:val="28"/>
          <w:sz w:val="28"/>
          <w:rtl w:val="true"/>
        </w:rPr>
        <w:t>נכונותו של המחוקק לשנות מקביעותיו של פסק דין חלוט בעקבות חיקוק מקל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הלה לא רצה ליתן אפשרות לקיים דיון נוסף בכל תיק ותיק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סופיות הדיון היא שיקול מנחה חשוב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המתבטא גם בכלל הגיליוטינה או כלל שיקול הדעת הצר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משמעות הדבר היא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שכשם שנכון לגלות נאמנות כלפי הנורמה העונשית החדשה בחברה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יש לוודא כי עניין זה לא מאפשר התערבות בשיקול הדעת שהפעיל בית המשפט שגזר את הדין קודם לה מעבר לנדרש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וכי כל ההתערבות שכזו תיעשה על פי כלל ברור וקל ליישום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החיקוק המקל לא נועד לבטל את המשפט שהתנהל על פי הנורמה הישנה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הרי ההליך המשפטי איננו רעיון מופשט המתקיים בעולם התיאוריה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שניתן לשנותו בקלות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אלא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סופו בהכרעה שיפוטית בעלת נפקויות ערכיות ומעשיות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בעבירות ההמתה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ישנו נאשם שמזוכה או מורשע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בדרך כלל בעונש חמור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שכולל שנות מאסר רבות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לקורבן יש משפחה המושפעת מן ההליך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ואף אין להתעלם מהנפגע עצמו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שקול דמיו זועקים מן האדמה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תכלית עיקרון סופיות הדיון היא גם למנוע פגיעה באמון הציבור בהליך הפלילי ואת זילותם של הליכים משפטיים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תחת התפישה השגויה כי ההכרעה הניתנת בהם מותנית או זמנית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מן הצד האחר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דווקא בשל משמעות הכרעותיו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אל לו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למשפט הפלילי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לנהוג בנוקשות או דוגמתיות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דוגמה לכך שלעיתים ניתן לחרוג מן הכלל של סופיות הדיון היא אפשרות מתן משפט חוזר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דוגמה נוספת היא הוראות המעבר דנן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יש לדוגמאות אלה מקום בשיקולי צדק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אך נכון לאזן ביניהם ובין שיקול סופיות הדיון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במובן זה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הוראת המעבר פותחת פתח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אך אין לאפשר לפתח להיות רחב או שגרתי</w:t>
      </w:r>
      <w:r>
        <w:rPr>
          <w:rFonts w:cs="Calibri" w:ascii="Calibri" w:hAnsi="Calibri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מדברי ההסבר של </w:t>
      </w:r>
      <w:hyperlink r:id="rId199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20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שאוזכרו לעיל עולה כי אין מטרת הוראות התחולה להביא לפתיחתו המחודשת של הדיון בעניינו של נאשם פלוני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אלא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כנהוג בשיטתנו וכפי שנידון לעיל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רק להביא להתאמה בין הענישה שמותר להשית בגין מעבר על העבירה בה הורשע הנאשם בעבר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לענישה העומדת בצדה כיום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פעולה שאמורה להיות פשוטה ליישום וטכנית במידה רבה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והנה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מבחינת תכליתה של הוראת המעבר עולה כי </w:t>
      </w:r>
      <w:r>
        <w:rPr>
          <w:rFonts w:ascii="Calibri" w:hAnsi="Calibri" w:cs="Calibri"/>
          <w:sz w:val="28"/>
          <w:sz w:val="28"/>
          <w:rtl w:val="true"/>
        </w:rPr>
        <w:t>כשם שהמשפט הפלילי נכון להכיר בדינאמיות שלו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בייחוד בדבר הגדרתן של עבירות כמו עבירת הרצח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כך הוא נאמן גם למשמעות עיקרון סופיות הדיון ולמשקל שיש ליתן לקיומו של פסק דין חלוט</w:t>
      </w:r>
      <w:r>
        <w:rPr>
          <w:rFonts w:cs="Calibri" w:ascii="Calibri" w:hAnsi="Calibri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</w:r>
    </w:p>
    <w:p>
      <w:pPr>
        <w:pStyle w:val="Ruller41"/>
        <w:ind w:end="0"/>
        <w:jc w:val="both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  <w:rtl w:val="true"/>
        </w:rPr>
        <w:tab/>
      </w:r>
      <w:r>
        <w:rPr>
          <w:rFonts w:ascii="Calibri" w:hAnsi="Calibri" w:cs="Calibri"/>
          <w:sz w:val="28"/>
          <w:sz w:val="28"/>
          <w:rtl w:val="true"/>
        </w:rPr>
        <w:t>כדי להבין כיצד באות תכליות אלה לידי ביטוי במקרה דנו</w:t>
      </w:r>
      <w:r>
        <w:rPr>
          <w:rFonts w:cs="Calibri" w:ascii="Calibri" w:hAnsi="Calibri"/>
          <w:sz w:val="28"/>
          <w:rtl w:val="true"/>
        </w:rPr>
        <w:t xml:space="preserve">, </w:t>
      </w:r>
      <w:r>
        <w:rPr>
          <w:rFonts w:ascii="Calibri" w:hAnsi="Calibri" w:cs="Calibri"/>
          <w:sz w:val="28"/>
          <w:sz w:val="28"/>
          <w:rtl w:val="true"/>
        </w:rPr>
        <w:t>יש להבין גם את היחס שבין עונש המאסר בפועל לעונש מאסר מותנה</w:t>
      </w:r>
      <w:r>
        <w:rPr>
          <w:rFonts w:cs="Calibri" w:ascii="Calibri" w:hAnsi="Calibri"/>
          <w:sz w:val="28"/>
          <w:rtl w:val="true"/>
        </w:rPr>
        <w:t xml:space="preserve">. </w:t>
      </w:r>
      <w:r>
        <w:rPr>
          <w:rFonts w:ascii="Calibri" w:hAnsi="Calibri" w:cs="Calibri"/>
          <w:sz w:val="28"/>
          <w:sz w:val="28"/>
          <w:rtl w:val="true"/>
        </w:rPr>
        <w:t>לכך נפנה כעת</w:t>
      </w:r>
      <w:r>
        <w:rPr>
          <w:rFonts w:cs="Calibri" w:ascii="Calibri" w:hAnsi="Calibri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4"/>
        </w:numPr>
        <w:spacing w:lineRule="auto" w:line="276"/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המותנה</w:t>
      </w:r>
    </w:p>
    <w:p>
      <w:pPr>
        <w:pStyle w:val="Ruller41"/>
        <w:ind w:end="0"/>
        <w:jc w:val="both"/>
        <w:rPr>
          <w:rFonts w:ascii="FrankRuehl" w:hAnsi="FrankRuehl" w:cs="FrankRuehl"/>
          <w:b/>
          <w:spacing w:val="0"/>
          <w:sz w:val="26"/>
          <w:szCs w:val="24"/>
        </w:rPr>
      </w:pPr>
      <w:r>
        <w:rPr>
          <w:rFonts w:cs="FrankRuehl" w:ascii="FrankRuehl" w:hAnsi="FrankRuehl"/>
          <w:b/>
          <w:spacing w:val="0"/>
          <w:sz w:val="26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הוראת המעבר המעוגנת ברפורמת עבירות ההמתה מחייבת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 פי ההגדרה החדשה של העבירה בה הורשע המערער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את הפחתת עונש מאסרו של המערער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כמוזכר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tl w:val="true"/>
        </w:rPr>
        <w:t>המערער</w:t>
      </w:r>
      <w:r>
        <w:rPr>
          <w:rFonts w:ascii="FrankRuehl" w:hAnsi="FrankRuehl"/>
          <w:sz w:val="26"/>
          <w:sz w:val="26"/>
          <w:rtl w:val="true"/>
        </w:rPr>
        <w:t xml:space="preserve"> נידון לעונש מאסר של </w:t>
      </w:r>
      <w:r>
        <w:rPr>
          <w:rFonts w:cs="FrankRuehl" w:ascii="FrankRuehl" w:hAnsi="FrankRuehl"/>
          <w:sz w:val="26"/>
        </w:rPr>
        <w:t>23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שנים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מהן </w:t>
      </w:r>
      <w:r>
        <w:rPr>
          <w:rFonts w:cs="FrankRuehl" w:ascii="FrankRuehl" w:hAnsi="FrankRuehl"/>
          <w:sz w:val="26"/>
        </w:rPr>
        <w:t>22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שנות מאסר בפועל ושנת מאסר אחת על תנאי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ברי ומוסכם כי עונש מאסר זה חייב להתקצר לתקופת מאסר שלא עולה על 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שנים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הוא העונש המרבי שניתן להשית בגין העבירה בה הורשע כיום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כאן הדילמה</w:t>
      </w:r>
      <w:r>
        <w:rPr>
          <w:rFonts w:cs="FrankRuehl" w:ascii="FrankRuehl" w:hAnsi="FrankRuehl"/>
          <w:sz w:val="26"/>
          <w:rtl w:val="true"/>
        </w:rPr>
        <w:t xml:space="preserve">: </w:t>
      </w:r>
      <w:r>
        <w:rPr>
          <w:rFonts w:ascii="FrankRuehl" w:hAnsi="FrankRuehl"/>
          <w:sz w:val="26"/>
          <w:sz w:val="26"/>
          <w:rtl w:val="true"/>
        </w:rPr>
        <w:t>האם להפחית מעונש המאסר בפועל בלבד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להפחית גם מעונש המאסר בפועל וגם מהעונש המותנה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או להפחית את עונש המאסר לאחר עריכת תחשיב המשקלל את היחס בין העונשים השונים</w:t>
      </w:r>
      <w:r>
        <w:rPr>
          <w:rFonts w:cs="FrankRuehl" w:ascii="FrankRuehl" w:hAnsi="FrankRuehl"/>
          <w:sz w:val="26"/>
          <w:rtl w:val="true"/>
        </w:rPr>
        <w:t xml:space="preserve">? </w:t>
      </w:r>
      <w:r>
        <w:rPr>
          <w:rFonts w:ascii="FrankRuehl" w:hAnsi="FrankRuehl"/>
          <w:sz w:val="26"/>
          <w:sz w:val="26"/>
          <w:rtl w:val="true"/>
        </w:rPr>
        <w:t>על מנת שנתקדם בשאלה פרשנית זו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נכון יהיה להציג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ברמה הכללית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את השונה והדומה בין שני סוגי העונשים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עונש המאסר בפועל ועונש המאסר המותנה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ולעמוד על קנקנם</w:t>
      </w:r>
      <w:r>
        <w:rPr>
          <w:rFonts w:cs="FrankRuehl" w:ascii="FrankRuehl" w:hAnsi="FrankRuehl"/>
          <w:sz w:val="26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במובנים מסוימים</w:t>
      </w:r>
      <w:r>
        <w:rPr>
          <w:rFonts w:cs="FrankRuehl" w:ascii="FrankRuehl" w:hAnsi="FrankRuehl"/>
          <w:sz w:val="26"/>
          <w:rtl w:val="true"/>
        </w:rPr>
        <w:t xml:space="preserve">, </w:t>
      </w:r>
      <w:hyperlink r:id="rId201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6"/>
          <w:sz w:val="26"/>
          <w:rtl w:val="true"/>
        </w:rPr>
        <w:t xml:space="preserve"> לא מבחין בין עונש מאסר בפועל ובין עונש מאסר על תנאי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החוק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בהקשר זה</w:t>
      </w:r>
      <w:r>
        <w:rPr>
          <w:rFonts w:cs="FrankRuehl" w:ascii="FrankRuehl" w:hAnsi="FrankRuehl"/>
          <w:sz w:val="26"/>
          <w:rtl w:val="true"/>
        </w:rPr>
        <w:t>, "</w:t>
      </w:r>
      <w:r>
        <w:rPr>
          <w:rFonts w:ascii="FrankRuehl" w:hAnsi="FrankRuehl"/>
          <w:sz w:val="26"/>
          <w:sz w:val="26"/>
          <w:rtl w:val="true"/>
        </w:rPr>
        <w:t>עיוור</w:t>
      </w:r>
      <w:r>
        <w:rPr>
          <w:rFonts w:cs="FrankRuehl" w:ascii="FrankRuehl" w:hAnsi="FrankRuehl"/>
          <w:sz w:val="26"/>
          <w:rtl w:val="true"/>
        </w:rPr>
        <w:t xml:space="preserve">" </w:t>
      </w:r>
      <w:r>
        <w:rPr>
          <w:rFonts w:ascii="FrankRuehl" w:hAnsi="FrankRuehl"/>
          <w:sz w:val="26"/>
          <w:sz w:val="26"/>
          <w:rtl w:val="true"/>
        </w:rPr>
        <w:t>לרכיבי הענישה השונים ורואה הן בזה הן בזה עונש מאסר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עניין זה מוצא את ביטויו </w:t>
      </w:r>
      <w:hyperlink r:id="rId202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52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203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הקובע כי</w:t>
      </w:r>
      <w:r>
        <w:rPr>
          <w:rFonts w:cs="FrankRuehl" w:ascii="FrankRuehl" w:hAnsi="FrankRuehl"/>
          <w:sz w:val="26"/>
          <w:rtl w:val="true"/>
        </w:rPr>
        <w:t>:</w:t>
      </w:r>
    </w:p>
    <w:p>
      <w:pPr>
        <w:pStyle w:val="Ruller51"/>
        <w:ind w:end="1282"/>
        <w:jc w:val="both"/>
        <w:rPr>
          <w:rStyle w:val="big-number"/>
          <w:rFonts w:ascii="Century" w:hAnsi="Century" w:cs="Century"/>
          <w:b/>
          <w:spacing w:val="0"/>
          <w:sz w:val="28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1"/>
        <w:ind w:end="1282"/>
        <w:jc w:val="both"/>
        <w:rPr>
          <w:rFonts w:ascii="Times New Roman" w:hAnsi="Times New Roman" w:cs="Times New Roman"/>
          <w:sz w:val="28"/>
        </w:rPr>
      </w:pPr>
      <w:r>
        <w:rPr>
          <w:rStyle w:val="default"/>
          <w:sz w:val="28"/>
          <w:sz w:val="28"/>
          <w:rtl w:val="true"/>
        </w:rPr>
        <w:t>הטיל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המשפט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עונש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מאסר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רשאי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הוא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להורות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בגזר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הדין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שהעונש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כולו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מקצתו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יהיה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על</w:t>
      </w:r>
      <w:r>
        <w:rPr>
          <w:rStyle w:val="default"/>
          <w:rFonts w:eastAsia="Arial TUR" w:cs="Arial TUR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תנאי</w:t>
      </w:r>
      <w:r>
        <w:rPr>
          <w:rStyle w:val="default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מאסר בפועל ומאסר על תנאי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כשמם כן 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שני העונשים הם עונשי מאסר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כאשר הראשון מבוצע למעשה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והשני מותנה באירוע נוסף בדמות ביצועה של עבירה נוספת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עיקר </w:t>
      </w:r>
      <w:r>
        <w:rPr>
          <w:rFonts w:ascii="FrankRuehl" w:hAnsi="FrankRuehl"/>
          <w:sz w:val="28"/>
          <w:sz w:val="28"/>
          <w:rtl w:val="true"/>
        </w:rPr>
        <w:t>תכלית עונש המאסר המותנה היא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להרתיע</w:t>
      </w:r>
      <w:r>
        <w:rPr>
          <w:rFonts w:ascii="FrankRuehl" w:hAnsi="FrankRuehl"/>
          <w:sz w:val="28"/>
          <w:sz w:val="28"/>
          <w:rtl w:val="true"/>
        </w:rPr>
        <w:t xml:space="preserve"> את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</w:t>
      </w:r>
      <w:r>
        <w:rPr>
          <w:rFonts w:ascii="FrankRuehl" w:hAnsi="FrankRuehl"/>
          <w:sz w:val="28"/>
          <w:sz w:val="28"/>
          <w:rtl w:val="true"/>
        </w:rPr>
        <w:t>נאשם באופן אישי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ולהזהירו כי אם יעבור עבירה נוספת מן הסוג שרלוונטי להפעלת התנאי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ירצה תקופת מאסר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עונש זה גם תואם את עיקרון ההלימה בענישה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המעוגן בתיקון 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20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חוק העונשין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תיקון מס</w:t>
      </w:r>
      <w:r>
        <w:rPr>
          <w:rFonts w:cs="FrankRuehl" w:ascii="FrankRuehl" w:hAnsi="FrankRuehl"/>
          <w:sz w:val="28"/>
          <w:rtl w:val="true"/>
        </w:rPr>
        <w:t xml:space="preserve">'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2012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ח </w:t>
      </w:r>
      <w:r>
        <w:rPr>
          <w:rFonts w:cs="FrankRuehl" w:ascii="FrankRuehl" w:hAnsi="FrankRuehl"/>
          <w:sz w:val="28"/>
        </w:rPr>
        <w:t>2330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/>
          <w:sz w:val="28"/>
          <w:sz w:val="28"/>
          <w:rtl w:val="true"/>
        </w:rPr>
        <w:t>זאת מן הטעם שבית המשפט עשוי לסבור כי מבחן המעשה והעושה מצדיק מתן עונש מאסר מותנה על פני הטלת קנס או עונש מאסר בפועל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עם זאת יודגש כי מאסר מותנה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עדיין מאסר הוא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כך למשל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נפסק כי עונש המאסר המותנה עשוי להיחשב לעונש מאסר גם לצורך הרשעה בעבירה המחייבת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כעונש מינימום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את הטלתו של עונש מאסר </w:t>
      </w:r>
      <w:r>
        <w:rPr>
          <w:rFonts w:cs="FrankRuehl" w:ascii="FrankRuehl" w:hAnsi="FrankRuehl"/>
          <w:sz w:val="28"/>
          <w:rtl w:val="true"/>
        </w:rPr>
        <w:t>(</w:t>
      </w:r>
      <w:hyperlink r:id="rId205">
        <w:r>
          <w:rPr>
            <w:rStyle w:val="Hyperlink"/>
            <w:rFonts w:ascii="FrankRuehl" w:hAnsi="FrankRuehl"/>
            <w:sz w:val="28"/>
            <w:sz w:val="28"/>
            <w:rtl w:val="true"/>
          </w:rPr>
          <w:t>רע</w:t>
        </w:r>
        <w:r>
          <w:rPr>
            <w:rStyle w:val="Hyperlink"/>
            <w:rFonts w:cs="FrankRuehl" w:ascii="FrankRuehl" w:hAnsi="FrankRuehl"/>
            <w:sz w:val="28"/>
            <w:rtl w:val="true"/>
          </w:rPr>
          <w:t>"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sz w:val="28"/>
          </w:rPr>
          <w:t>5798/00</w:t>
        </w:r>
      </w:hyperlink>
      <w:r>
        <w:rPr>
          <w:rFonts w:cs="FrankRuehl" w:ascii="FrankRuehl" w:hAnsi="FrankRuehl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''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נה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6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2001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ריזי</w:t>
      </w:r>
      <w:r>
        <w:rPr>
          <w:rFonts w:cs="FrankRuehl" w:ascii="FrankRuehl" w:hAnsi="FrankRuehl"/>
          <w:sz w:val="28"/>
          <w:rtl w:val="true"/>
        </w:rPr>
        <w:t xml:space="preserve">); </w:t>
      </w:r>
      <w:hyperlink r:id="rId20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1867/00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גוטמן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נד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3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145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154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2000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 xml:space="preserve">עוד החוק מחייב כי עונש המאסר המותנה לא יחרוג מהעונש המרבי הקבוע בחוק עבור העבירה שבגינה הוטל </w:t>
      </w:r>
      <w:r>
        <w:rPr>
          <w:rFonts w:cs="FrankRuehl" w:ascii="FrankRuehl" w:hAnsi="FrankRuehl"/>
          <w:sz w:val="28"/>
          <w:rtl w:val="true"/>
        </w:rPr>
        <w:t>(</w:t>
      </w:r>
      <w:hyperlink r:id="rId207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35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20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).   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FrankRuehl" w:hAnsi="FrankRuehl" w:cs="FrankRuehl"/>
          <w:sz w:val="26"/>
        </w:rPr>
      </w:pPr>
      <w:r>
        <w:rPr>
          <w:rFonts w:ascii="FrankRuehl" w:hAnsi="FrankRuehl"/>
          <w:sz w:val="26"/>
          <w:sz w:val="26"/>
          <w:rtl w:val="true"/>
        </w:rPr>
        <w:t>מן הצד האחר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ברי כי קיים הבדל תהומי בין שני סוגי המאסר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בוודאי עבור הפרט המרצה את שני סוגי העונש השונים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בעוד שכאשר נאשם מרצה עונש מאסר בפועל הוא מושם תחת סורג ובריח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עונש המאסר המותנה </w:t>
      </w:r>
      <w:r>
        <w:rPr>
          <w:rFonts w:ascii="FrankRuehl" w:hAnsi="FrankRuehl"/>
          <w:sz w:val="26"/>
          <w:sz w:val="26"/>
          <w:rtl w:val="true"/>
        </w:rPr>
        <w:t>מופעל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אך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ורק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עם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מילוי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התנאי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התנאי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הנקובה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לצד 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השוני בין העונשים לא נעוץ אך בחוויית</w:t>
      </w:r>
      <w:r>
        <w:rPr>
          <w:rFonts w:ascii="FrankRuehl" w:hAnsi="FrankRuehl"/>
          <w:sz w:val="26"/>
          <w:sz w:val="26"/>
          <w:rtl w:val="true"/>
        </w:rPr>
        <w:t>ו</w:t>
      </w:r>
      <w:r>
        <w:rPr>
          <w:rFonts w:ascii="FrankRuehl" w:hAnsi="FrankRuehl"/>
          <w:sz w:val="26"/>
          <w:sz w:val="26"/>
          <w:rtl w:val="true"/>
        </w:rPr>
        <w:t xml:space="preserve"> הסובייקטיבית של הנאשם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אלא עולה גם מבחינה אובייקטיבית של הדין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לכך יש מספר דוגמאות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ישנה החובה להטיל מינימום של עונש מאסר בפועל בהתייחס לעבירות מין שונות</w:t>
      </w:r>
      <w:r>
        <w:rPr>
          <w:rFonts w:cs="FrankRuehl" w:ascii="FrankRuehl" w:hAnsi="FrankRuehl"/>
          <w:sz w:val="28"/>
          <w:rtl w:val="true"/>
        </w:rPr>
        <w:t>, "</w:t>
      </w:r>
      <w:r>
        <w:rPr>
          <w:rFonts w:ascii="FrankRuehl" w:hAnsi="FrankRuehl"/>
          <w:sz w:val="28"/>
          <w:sz w:val="28"/>
          <w:rtl w:val="true"/>
        </w:rPr>
        <w:t>בהיעדר טעמים מיוחדים</w:t>
      </w:r>
      <w:r>
        <w:rPr>
          <w:rFonts w:cs="FrankRuehl" w:ascii="FrankRuehl" w:hAnsi="FrankRuehl"/>
          <w:sz w:val="28"/>
          <w:rtl w:val="true"/>
        </w:rPr>
        <w:t>" (</w:t>
      </w:r>
      <w:r>
        <w:rPr>
          <w:rFonts w:ascii="FrankRuehl" w:hAnsi="FrankRuehl"/>
          <w:sz w:val="28"/>
          <w:sz w:val="28"/>
          <w:rtl w:val="true"/>
        </w:rPr>
        <w:t xml:space="preserve">ראו </w:t>
      </w:r>
      <w:hyperlink r:id="rId209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355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hyperlink r:id="rId21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 xml:space="preserve">חוק העונשין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תיקון</w:t>
      </w:r>
      <w:r>
        <w:rPr>
          <w:rFonts w:ascii="FrankRuehl" w:hAnsi="FrankRuehl"/>
          <w:sz w:val="28"/>
          <w:sz w:val="28"/>
          <w:rtl w:val="true"/>
        </w:rPr>
        <w:t xml:space="preserve"> מס</w:t>
      </w:r>
      <w:r>
        <w:rPr>
          <w:rFonts w:cs="FrankRuehl" w:ascii="FrankRuehl" w:hAnsi="FrankRuehl"/>
          <w:sz w:val="28"/>
          <w:rtl w:val="true"/>
        </w:rPr>
        <w:t>'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68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התשס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2002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ח </w:t>
      </w:r>
      <w:r>
        <w:rPr>
          <w:rFonts w:cs="FrankRuehl" w:ascii="FrankRuehl" w:hAnsi="FrankRuehl"/>
          <w:sz w:val="28"/>
        </w:rPr>
        <w:t>1849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422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 xml:space="preserve">ראו גם דברי </w:t>
      </w:r>
      <w:r>
        <w:rPr>
          <w:rStyle w:val="ruller5"/>
          <w:rFonts w:ascii="FrankRuehl" w:hAnsi="FrankRuehl"/>
          <w:sz w:val="28"/>
          <w:sz w:val="28"/>
          <w:rtl w:val="true"/>
        </w:rPr>
        <w:t xml:space="preserve">ההסבר להצעת חוק העונשין </w:t>
      </w:r>
      <w:r>
        <w:rPr>
          <w:rStyle w:val="ruller5"/>
          <w:rFonts w:cs="FrankRuehl" w:ascii="FrankRuehl" w:hAnsi="FrankRuehl"/>
          <w:sz w:val="28"/>
          <w:rtl w:val="true"/>
        </w:rPr>
        <w:t>(</w:t>
      </w:r>
      <w:r>
        <w:rPr>
          <w:rStyle w:val="ruller5"/>
          <w:rFonts w:ascii="FrankRuehl" w:hAnsi="FrankRuehl"/>
          <w:sz w:val="28"/>
          <w:sz w:val="28"/>
          <w:rtl w:val="true"/>
        </w:rPr>
        <w:t>תיקון מס</w:t>
      </w:r>
      <w:r>
        <w:rPr>
          <w:rStyle w:val="ruller5"/>
          <w:rFonts w:cs="FrankRuehl" w:ascii="FrankRuehl" w:hAnsi="FrankRuehl"/>
          <w:sz w:val="28"/>
          <w:rtl w:val="true"/>
        </w:rPr>
        <w:t xml:space="preserve">' </w:t>
      </w:r>
      <w:r>
        <w:rPr>
          <w:rStyle w:val="ruller5"/>
          <w:rFonts w:cs="FrankRuehl" w:ascii="FrankRuehl" w:hAnsi="FrankRuehl"/>
          <w:sz w:val="28"/>
        </w:rPr>
        <w:t>65</w:t>
      </w:r>
      <w:r>
        <w:rPr>
          <w:rStyle w:val="ruller5"/>
          <w:rFonts w:cs="FrankRuehl" w:ascii="FrankRuehl" w:hAnsi="FrankRuehl"/>
          <w:sz w:val="28"/>
          <w:rtl w:val="true"/>
        </w:rPr>
        <w:t>) (</w:t>
      </w:r>
      <w:r>
        <w:rPr>
          <w:rStyle w:val="ruller5"/>
          <w:rFonts w:ascii="FrankRuehl" w:hAnsi="FrankRuehl"/>
          <w:sz w:val="28"/>
          <w:sz w:val="28"/>
          <w:rtl w:val="true"/>
        </w:rPr>
        <w:t>מאסר בפועל לעברייני מין ולעברייני אלימות במשפחה</w:t>
      </w:r>
      <w:r>
        <w:rPr>
          <w:rStyle w:val="ruller5"/>
          <w:rFonts w:cs="FrankRuehl" w:ascii="FrankRuehl" w:hAnsi="FrankRuehl"/>
          <w:sz w:val="28"/>
          <w:rtl w:val="true"/>
        </w:rPr>
        <w:t xml:space="preserve">), </w:t>
      </w:r>
      <w:r>
        <w:rPr>
          <w:rStyle w:val="ruller5"/>
          <w:rFonts w:ascii="FrankRuehl" w:hAnsi="FrankRuehl"/>
          <w:sz w:val="28"/>
          <w:sz w:val="28"/>
          <w:rtl w:val="true"/>
        </w:rPr>
        <w:t>התשס</w:t>
      </w:r>
      <w:r>
        <w:rPr>
          <w:rStyle w:val="ruller5"/>
          <w:rFonts w:cs="FrankRuehl" w:ascii="FrankRuehl" w:hAnsi="FrankRuehl"/>
          <w:sz w:val="28"/>
          <w:rtl w:val="true"/>
        </w:rPr>
        <w:t>"</w:t>
      </w:r>
      <w:r>
        <w:rPr>
          <w:rStyle w:val="ruller5"/>
          <w:rFonts w:ascii="FrankRuehl" w:hAnsi="FrankRuehl"/>
          <w:sz w:val="28"/>
          <w:sz w:val="28"/>
          <w:rtl w:val="true"/>
        </w:rPr>
        <w:t>ב</w:t>
      </w:r>
      <w:r>
        <w:rPr>
          <w:rStyle w:val="ruller5"/>
          <w:rFonts w:cs="FrankRuehl" w:ascii="FrankRuehl" w:hAnsi="FrankRuehl"/>
          <w:sz w:val="28"/>
          <w:rtl w:val="true"/>
        </w:rPr>
        <w:t>-</w:t>
      </w:r>
      <w:r>
        <w:rPr>
          <w:rStyle w:val="ruller5"/>
          <w:rFonts w:cs="FrankRuehl" w:ascii="FrankRuehl" w:hAnsi="FrankRuehl"/>
          <w:sz w:val="28"/>
        </w:rPr>
        <w:t>2002</w:t>
      </w:r>
      <w:r>
        <w:rPr>
          <w:rStyle w:val="ruller5"/>
          <w:rFonts w:cs="FrankRuehl" w:ascii="FrankRuehl" w:hAnsi="FrankRuehl"/>
          <w:sz w:val="28"/>
          <w:rtl w:val="true"/>
        </w:rPr>
        <w:t xml:space="preserve">, </w:t>
      </w:r>
      <w:r>
        <w:rPr>
          <w:rStyle w:val="ruller5"/>
          <w:rFonts w:ascii="FrankRuehl" w:hAnsi="FrankRuehl"/>
          <w:sz w:val="28"/>
          <w:sz w:val="28"/>
          <w:rtl w:val="true"/>
        </w:rPr>
        <w:t>ה</w:t>
      </w:r>
      <w:r>
        <w:rPr>
          <w:rStyle w:val="ruller5"/>
          <w:rFonts w:cs="FrankRuehl" w:ascii="FrankRuehl" w:hAnsi="FrankRuehl"/>
          <w:sz w:val="28"/>
          <w:rtl w:val="true"/>
        </w:rPr>
        <w:t>"</w:t>
      </w:r>
      <w:r>
        <w:rPr>
          <w:rStyle w:val="ruller5"/>
          <w:rFonts w:ascii="FrankRuehl" w:hAnsi="FrankRuehl"/>
          <w:sz w:val="28"/>
          <w:sz w:val="28"/>
          <w:rtl w:val="true"/>
        </w:rPr>
        <w:t xml:space="preserve">ח </w:t>
      </w:r>
      <w:r>
        <w:rPr>
          <w:rStyle w:val="ruller5"/>
          <w:rFonts w:cs="FrankRuehl" w:ascii="FrankRuehl" w:hAnsi="FrankRuehl"/>
          <w:sz w:val="28"/>
        </w:rPr>
        <w:t>3075</w:t>
      </w:r>
      <w:r>
        <w:rPr>
          <w:rStyle w:val="ruller5"/>
          <w:rFonts w:cs="FrankRuehl" w:ascii="FrankRuehl" w:hAnsi="FrankRuehl"/>
          <w:sz w:val="28"/>
          <w:rtl w:val="true"/>
        </w:rPr>
        <w:t xml:space="preserve">, </w:t>
      </w:r>
      <w:r>
        <w:rPr>
          <w:rStyle w:val="ruller5"/>
          <w:rFonts w:cs="FrankRuehl" w:ascii="FrankRuehl" w:hAnsi="FrankRuehl"/>
          <w:sz w:val="28"/>
        </w:rPr>
        <w:t>236</w:t>
      </w:r>
      <w:r>
        <w:rPr>
          <w:rFonts w:cs="FrankRuehl" w:ascii="FrankRuehl" w:hAnsi="FrankRuehl"/>
          <w:sz w:val="28"/>
          <w:rtl w:val="true"/>
        </w:rPr>
        <w:t xml:space="preserve">; </w:t>
      </w:r>
      <w:hyperlink r:id="rId21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8153/19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46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20.12.2020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; </w:t>
      </w:r>
      <w:hyperlink r:id="rId21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8299/19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39</w:t>
      </w:r>
      <w:r>
        <w:rPr>
          <w:rFonts w:cs="FrankRuehl" w:ascii="FrankRuehl" w:hAnsi="FrankRuehl"/>
          <w:sz w:val="28"/>
          <w:rtl w:val="true"/>
        </w:rPr>
        <w:t xml:space="preserve"> (‏</w:t>
      </w:r>
      <w:r>
        <w:rPr>
          <w:rFonts w:cs="FrankRuehl" w:ascii="FrankRuehl" w:hAnsi="FrankRuehl"/>
          <w:sz w:val="28"/>
        </w:rPr>
        <w:t>31.5.2020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בעוד ניתן לגזור את העונש המרבי שמופיע בצידה של עבירה מסוימת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כולו כמאסר בפועל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תקופת התנאי של עונש המאסר המותנה מוגבלת לשלוש שנים </w:t>
      </w:r>
      <w:r>
        <w:rPr>
          <w:rFonts w:cs="FrankRuehl" w:ascii="FrankRuehl" w:hAnsi="FrankRuehl"/>
          <w:sz w:val="26"/>
          <w:rtl w:val="true"/>
        </w:rPr>
        <w:t>(</w:t>
      </w:r>
      <w:hyperlink r:id="rId213">
        <w:r>
          <w:rPr>
            <w:rStyle w:val="Hyperlink"/>
            <w:rFonts w:ascii="FrankRuehl" w:hAnsi="FrankRuehl"/>
            <w:sz w:val="26"/>
            <w:sz w:val="26"/>
            <w:rtl w:val="true"/>
          </w:rPr>
          <w:t>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52</w:t>
        </w:r>
        <w:r>
          <w:rPr>
            <w:rStyle w:val="Hyperlink"/>
            <w:rFonts w:cs="FrankRuehl" w:ascii="FrankRuehl" w:hAnsi="FrankRuehl"/>
            <w:sz w:val="26"/>
            <w:rtl w:val="true"/>
          </w:rPr>
          <w:t>(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6"/>
          </w:rPr>
          <w:t>2</w:t>
        </w:r>
        <w:r>
          <w:rPr>
            <w:rStyle w:val="Hyperlink"/>
            <w:rFonts w:cs="FrankRuehl" w:ascii="FrankRuehl" w:hAnsi="FrankRuehl"/>
            <w:sz w:val="26"/>
            <w:rtl w:val="true"/>
          </w:rPr>
          <w:t>)</w:t>
        </w:r>
      </w:hyperlink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</w:t>
      </w:r>
      <w:hyperlink r:id="rId214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נהיר כי עונש מאסר בפועל פוגע בזכויות אדם בסיסיות בעוצמה שאיננה משתווה לפגיעה בהן בהתייחס לעונש המאסר המותנה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עונש</w:t>
      </w:r>
      <w:r>
        <w:rPr>
          <w:rFonts w:ascii="FrankRuehl" w:hAnsi="FrankRuehl"/>
          <w:sz w:val="28"/>
          <w:sz w:val="28"/>
          <w:rtl w:val="true"/>
        </w:rPr>
        <w:t xml:space="preserve"> מאסר על תנאי </w:t>
      </w:r>
      <w:r>
        <w:rPr>
          <w:rFonts w:ascii="FrankRuehl" w:hAnsi="FrankRuehl"/>
          <w:sz w:val="28"/>
          <w:sz w:val="28"/>
          <w:rtl w:val="true"/>
        </w:rPr>
        <w:t>צופה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פני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עתיד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במובן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שהוא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מתבסס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הרתעה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והכוונת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התנהגותו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הפרט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בעוד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שעונש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מאסר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בפועל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בהווה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tl w:val="true"/>
        </w:rPr>
        <w:t>משמעות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hyperlink r:id="rId2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המושתים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משולבים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מובחנו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חידוש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לכול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numPr>
          <w:ilvl w:val="0"/>
          <w:numId w:val="4"/>
        </w:numPr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השלכותיה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מופשט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תורת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אדם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המתעלל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ילדו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? </w:t>
      </w:r>
      <w:r>
        <w:rPr>
          <w:rtl w:val="true"/>
        </w:rPr>
        <w:t>הנכון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מקסימום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וגם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? </w:t>
      </w:r>
      <w:r>
        <w:rPr>
          <w:rtl w:val="true"/>
        </w:rPr>
        <w:t>מהו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שמוענק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? </w:t>
      </w:r>
      <w:r>
        <w:rPr>
          <w:rtl w:val="true"/>
        </w:rPr>
        <w:t>מדינות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מספקות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ודומותיהן</w:t>
      </w:r>
      <w:r>
        <w:rPr>
          <w:rtl w:val="true"/>
        </w:rPr>
        <w:t xml:space="preserve">. </w:t>
      </w:r>
      <w:r>
        <w:rPr>
          <w:rtl w:val="true"/>
        </w:rPr>
        <w:t>מעשיותו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המוצעת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ההיפותטית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וסטרמן</w:t>
      </w:r>
      <w:r>
        <w:rPr>
          <w:rtl w:val="true"/>
        </w:rPr>
        <w:t xml:space="preserve">.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המחשבתיים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הפיזיקאים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המודרניים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מדעיות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</w:t>
      </w:r>
      <w:r>
        <w:rPr>
          <w:rtl w:val="true"/>
        </w:rPr>
        <w:t xml:space="preserve">.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ממחישה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hyperlink r:id="rId2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לרפורמה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ניישם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נגיע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;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ראובן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: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נהיר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חשופה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כהוויית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הדוגמה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הוראות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לקצרו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Calibri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המינימום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להתערבות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שהפרתו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תגרור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מעל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נוהג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מושרש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מגלות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לכבול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שיידרש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להאריכו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ויופר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שמושת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ספרתי</w:t>
      </w:r>
      <w:r>
        <w:rPr>
          <w:rtl w:val="true"/>
        </w:rPr>
        <w:t xml:space="preserve">, </w:t>
      </w:r>
      <w:r>
        <w:rPr>
          <w:rtl w:val="true"/>
        </w:rPr>
        <w:t>הדגש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וקביעת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המשותף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Calibri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ריזי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; </w:t>
      </w:r>
      <w:hyperlink r:id="rId2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(</w:t>
      </w:r>
      <w:r>
        <w:rPr/>
        <w:t>15.3.2007</w:t>
      </w:r>
      <w:r>
        <w:rPr>
          <w:rtl w:val="true"/>
        </w:rPr>
        <w:t xml:space="preserve">)).  </w:t>
      </w:r>
      <w:r>
        <w:rPr>
          <w:rtl w:val="true"/>
        </w:rPr>
        <w:t>המשמעות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המעשית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שבהתייחס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קורלציה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נציג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שיכולות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מועלות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קיצור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הממחישות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המספריים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: </w:t>
      </w:r>
      <w:r>
        <w:rPr>
          <w:rtl w:val="true"/>
        </w:rPr>
        <w:t>מקרה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מושת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Calibri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Calibri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ישנן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הכמותי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בנמצא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2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</w:t>
      </w:r>
      <w:r>
        <w:rPr>
          <w:rtl w:val="true"/>
        </w:rPr>
        <w:t xml:space="preserve">.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, </w:t>
      </w:r>
      <w:r>
        <w:rPr>
          <w:rtl w:val="true"/>
        </w:rPr>
        <w:t>המבטא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נדמה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מהנמקות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בשוליים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יישומה</w:t>
      </w:r>
      <w:r>
        <w:rPr>
          <w:rtl w:val="true"/>
        </w:rPr>
        <w:t xml:space="preserve">, </w:t>
      </w:r>
      <w:r>
        <w:rPr>
          <w:rtl w:val="true"/>
        </w:rPr>
        <w:t>נעבור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4"/>
        </w:numPr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שהוצגו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; </w:t>
      </w:r>
      <w:r>
        <w:rPr>
          <w:rtl w:val="true"/>
        </w:rPr>
        <w:t>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היחסית</w:t>
      </w:r>
      <w:r>
        <w:rPr>
          <w:rtl w:val="true"/>
        </w:rPr>
        <w:t xml:space="preserve">, </w:t>
      </w:r>
      <w:r>
        <w:rPr>
          <w:rtl w:val="true"/>
        </w:rPr>
        <w:t>שהוצגה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הכרונולוגית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ואותה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אימצו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שעמדנו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החיקוקים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מאותן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 xml:space="preserve">הסניגוריה הציבורית הגדירה את עמדתה בתור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הגישה המהותית</w:t>
      </w:r>
      <w:r>
        <w:rPr>
          <w:rFonts w:cs="FrankRuehl" w:ascii="FrankRuehl" w:hAnsi="FrankRuehl"/>
          <w:sz w:val="26"/>
          <w:rtl w:val="true"/>
        </w:rPr>
        <w:t xml:space="preserve">". </w:t>
      </w:r>
      <w:r>
        <w:rPr>
          <w:rFonts w:ascii="FrankRuehl" w:hAnsi="FrankRuehl"/>
          <w:sz w:val="26"/>
          <w:sz w:val="26"/>
          <w:rtl w:val="true"/>
        </w:rPr>
        <w:t>זאת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לאור כוונתה להתייחס 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</w:t>
      </w:r>
      <w:r>
        <w:rPr>
          <w:rFonts w:ascii="FrankRuehl" w:hAnsi="FrankRuehl"/>
          <w:sz w:val="26"/>
          <w:sz w:val="26"/>
          <w:rtl w:val="true"/>
        </w:rPr>
        <w:t xml:space="preserve"> העונש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ואולם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שאלה היא מדוע הדגש המהותי מוביל דווקא לביטול רכיב עונש המאסר בפועל ולא על ביטולו של עונש המאסר המותנה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 xml:space="preserve">השם המתאים בעיניי לגישה זו הוא 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הגישה המקלה</w:t>
      </w:r>
      <w:r>
        <w:rPr>
          <w:rFonts w:cs="FrankRuehl" w:ascii="FrankRuehl" w:hAnsi="FrankRuehl"/>
          <w:sz w:val="26"/>
          <w:rtl w:val="true"/>
        </w:rPr>
        <w:t xml:space="preserve">", </w:t>
      </w:r>
      <w:r>
        <w:rPr>
          <w:rFonts w:ascii="FrankRuehl" w:hAnsi="FrankRuehl"/>
          <w:sz w:val="26"/>
          <w:sz w:val="26"/>
          <w:rtl w:val="true"/>
        </w:rPr>
        <w:t>כי זוהי אכן התוצאה לה היא מביאה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הרי הפחתת עונש המאסר בפועל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מבלי לגעת בעונש המאסר המותנה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ודאי מיטיבה עם הנאשם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ab/>
      </w:r>
      <w:r>
        <w:rPr>
          <w:rFonts w:ascii="FrankRuehl" w:hAnsi="FrankRuehl"/>
          <w:sz w:val="26"/>
          <w:sz w:val="26"/>
          <w:rtl w:val="true"/>
        </w:rPr>
        <w:t>אודה כי שקלתי היטב גישה זו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היתרון הגלום בה הוא ההליכה לקראת הנאשם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בדומה להסדרים משפטיים אחרים הקיימים בדין הפלילי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על פי תפישה זו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נכון יהיה כי העדר ההסדרה החוקית הספציפית לשאלה שבפנינו תפעל לטובת הנאשם ולא לרעתו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גישה זו אף עשויה לקבל אחיזה ב</w:t>
      </w:r>
      <w:r>
        <w:rPr>
          <w:rFonts w:cs="FrankRuehl" w:ascii="FrankRuehl" w:hAnsi="FrankRuehl"/>
          <w:sz w:val="26"/>
          <w:rtl w:val="true"/>
        </w:rPr>
        <w:t>"</w:t>
      </w:r>
      <w:r>
        <w:rPr>
          <w:rFonts w:ascii="FrankRuehl" w:hAnsi="FrankRuehl"/>
          <w:sz w:val="26"/>
          <w:sz w:val="26"/>
          <w:rtl w:val="true"/>
        </w:rPr>
        <w:t>כלל הפרשנות המקלה בפלילים</w:t>
      </w:r>
      <w:r>
        <w:rPr>
          <w:rFonts w:cs="FrankRuehl" w:ascii="FrankRuehl" w:hAnsi="FrankRuehl"/>
          <w:sz w:val="26"/>
          <w:rtl w:val="true"/>
        </w:rPr>
        <w:t xml:space="preserve">" </w:t>
      </w:r>
      <w:r>
        <w:rPr>
          <w:rFonts w:ascii="FrankRuehl" w:hAnsi="FrankRuehl"/>
          <w:sz w:val="26"/>
          <w:sz w:val="26"/>
          <w:rtl w:val="true"/>
        </w:rPr>
        <w:t xml:space="preserve">שנקבע </w:t>
      </w:r>
      <w:hyperlink r:id="rId221">
        <w:r>
          <w:rPr>
            <w:rStyle w:val="Hyperlink"/>
            <w:rFonts w:ascii="FrankRuehl" w:hAnsi="FrankRuehl"/>
            <w:sz w:val="26"/>
            <w:sz w:val="26"/>
            <w:rtl w:val="true"/>
          </w:rPr>
          <w:t>בסעיף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6"/>
          </w:rPr>
          <w:t>34</w:t>
        </w:r>
        <w:r>
          <w:rPr>
            <w:rStyle w:val="Hyperlink"/>
            <w:rFonts w:ascii="FrankRuehl" w:hAnsi="FrankRuehl"/>
            <w:sz w:val="26"/>
            <w:sz w:val="26"/>
            <w:rtl w:val="true"/>
          </w:rPr>
          <w:t>כא</w:t>
        </w:r>
      </w:hyperlink>
      <w:r>
        <w:rPr>
          <w:rFonts w:ascii="FrankRuehl" w:hAnsi="FrankRuehl"/>
          <w:sz w:val="26"/>
          <w:sz w:val="26"/>
          <w:rtl w:val="true"/>
        </w:rPr>
        <w:t xml:space="preserve"> ל</w:t>
      </w:r>
      <w:hyperlink r:id="rId222">
        <w:r>
          <w:rPr>
            <w:rStyle w:val="Hyperlink"/>
            <w:rFonts w:ascii="FrankRuehl" w:hAnsi="FrankRuehl"/>
            <w:color w:val="0000FF"/>
            <w:sz w:val="26"/>
            <w:sz w:val="26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ברם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וכפי שהובהר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לא די בכך</w:t>
      </w:r>
      <w:r>
        <w:rPr>
          <w:rFonts w:cs="FrankRuehl" w:ascii="FrankRuehl" w:hAnsi="FrankRuehl"/>
          <w:sz w:val="26"/>
          <w:rtl w:val="true"/>
        </w:rPr>
        <w:t xml:space="preserve">; </w:t>
      </w:r>
      <w:r>
        <w:rPr>
          <w:rFonts w:ascii="FrankRuehl" w:hAnsi="FrankRuehl"/>
          <w:sz w:val="26"/>
          <w:sz w:val="26"/>
          <w:rtl w:val="true"/>
        </w:rPr>
        <w:t>שכן גם תחתיו אנו עדיין מצווים לבחון את תכליות החוק לאור עקרונות שיטת המשפט הפלילי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למרות שגישה זו מקלה עם הנאשם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וזהו יתרונה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אין זה סוף פסוק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אלא יש להוסיף ולבחון את תכליות הדין</w:t>
      </w:r>
      <w:r>
        <w:rPr>
          <w:rFonts w:cs="FrankRuehl" w:ascii="FrankRuehl" w:hAnsi="FrankRuehl"/>
          <w:sz w:val="26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tl w:val="true"/>
        </w:rPr>
        <w:t xml:space="preserve">. </w:t>
      </w:r>
      <w:r>
        <w:rPr>
          <w:rtl w:val="true"/>
        </w:rPr>
        <w:t>במסגרתה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לראובן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שהרוויח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tl w:val="true"/>
        </w:rPr>
        <w:t xml:space="preserve">. </w:t>
      </w:r>
      <w:r>
        <w:rPr>
          <w:rtl w:val="true"/>
        </w:rPr>
        <w:t>הבהרנו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לרפורמה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ההפוך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שיותר</w:t>
      </w:r>
      <w:r>
        <w:rPr>
          <w:rtl w:val="true"/>
        </w:rPr>
        <w:t xml:space="preserve">. </w:t>
      </w:r>
      <w:r>
        <w:rPr>
          <w:rtl w:val="true"/>
        </w:rPr>
        <w:t>כמצוות</w:t>
      </w:r>
      <w:r>
        <w:rPr>
          <w:rFonts w:eastAsia="Arial TUR" w:cs="Arial TUR"/>
          <w:rtl w:val="true"/>
        </w:rPr>
        <w:t xml:space="preserve"> </w:t>
      </w:r>
      <w:hyperlink r:id="rId2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לתיקון</w:t>
      </w:r>
      <w:r>
        <w:rPr>
          <w:rtl w:val="true"/>
        </w:rPr>
        <w:t xml:space="preserve">, </w:t>
      </w:r>
      <w:r>
        <w:rPr>
          <w:rtl w:val="true"/>
        </w:rPr>
        <w:t>העדפת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נבחן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יתרונה נעוץ בשאיפה לדייק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הגישה הציגה נוסחה אשר התחשבה במשקל הכמותי של עונש המאסר המותנה לעומת עונש המאסר בפועל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ברם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דווקא הניסיון להגיע לתוצאה תחשיבית מדויקת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cs="FrankRuehl" w:ascii="FrankRuehl" w:hAnsi="FrankRuehl"/>
          <w:sz w:val="26"/>
        </w:rPr>
        <w:t>19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חודש אחד ו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17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 xml:space="preserve">יום של מאסר בפועל </w:t>
      </w:r>
      <w:r>
        <w:rPr>
          <w:rFonts w:ascii="FrankRuehl" w:hAnsi="FrankRuehl"/>
          <w:sz w:val="26"/>
          <w:sz w:val="26"/>
          <w:rtl w:val="true"/>
        </w:rPr>
        <w:t>–</w:t>
      </w:r>
      <w:r>
        <w:rPr>
          <w:rFonts w:ascii="FrankRuehl" w:hAnsi="FrankRuehl"/>
          <w:sz w:val="26"/>
          <w:sz w:val="26"/>
          <w:rtl w:val="true"/>
        </w:rPr>
        <w:t xml:space="preserve"> חושף את קשיותה של הגישה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בדרך אגב יוער כי התוצאה אליה מובילה הגישה היחסית תעמיד את יתרת עונשו של המערער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 xml:space="preserve">רכיב עונש המאסר </w:t>
      </w:r>
      <w:r>
        <w:rPr>
          <w:rtl w:val="true"/>
        </w:rPr>
        <w:t>המותנה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על עשרה חודשים ו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13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ימים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אף רכיב זה של העונש סובל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לטעמי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מחישוב שאינו תואם את הכללים לענישה ראויה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ביסודו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כלל הגיליוטינה הוא מבחן פשוט וקל ליישום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כך צריך שתהא החלתו וכך ראוי שתהא התוצאה אליה הוא מוביל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קשה לשער כי המחוקק שאף להביא לגזרי דין הכוללים מניין מדויק של שנים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חודשים וימים בהתאם לנוסחה המוצעת תחת גישה זו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בית המשפט הגוזר את דינו של נאשם אמנם יכול להשית עליו עונש מאסר בפועל הכולל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למשל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cs="FrankRuehl" w:ascii="FrankRuehl" w:hAnsi="FrankRuehl"/>
          <w:sz w:val="26"/>
        </w:rPr>
        <w:t>16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שנה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חמישה חודשים ו</w:t>
      </w:r>
      <w:r>
        <w:rPr>
          <w:rFonts w:cs="FrankRuehl" w:ascii="FrankRuehl" w:hAnsi="FrankRuehl"/>
          <w:sz w:val="26"/>
          <w:rtl w:val="true"/>
        </w:rPr>
        <w:t>-</w:t>
      </w:r>
      <w:r>
        <w:rPr>
          <w:rFonts w:cs="FrankRuehl" w:ascii="FrankRuehl" w:hAnsi="FrankRuehl"/>
          <w:sz w:val="26"/>
        </w:rPr>
        <w:t>20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יום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אם מדובר בעבירה חמורה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אך לא כך נהוג בשיטתנו</w:t>
      </w:r>
      <w:r>
        <w:rPr>
          <w:rFonts w:cs="FrankRuehl" w:ascii="FrankRuehl" w:hAnsi="FrankRuehl"/>
          <w:sz w:val="26"/>
          <w:rtl w:val="true"/>
        </w:rPr>
        <w:t xml:space="preserve">. </w:t>
      </w:r>
      <w:r>
        <w:rPr>
          <w:rFonts w:ascii="FrankRuehl" w:hAnsi="FrankRuehl"/>
          <w:sz w:val="26"/>
          <w:sz w:val="26"/>
          <w:rtl w:val="true"/>
        </w:rPr>
        <w:t>תוצאה שכזו מעבירה את המסר לפיו גזירת העונש היא פעולה תחשיבית מובהקת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וכמובן שלא זה הוא המצב</w:t>
      </w:r>
      <w:r>
        <w:rPr>
          <w:rFonts w:cs="FrankRuehl" w:ascii="FrankRuehl" w:hAnsi="FrankRuehl"/>
          <w:sz w:val="26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ab/>
      </w:r>
      <w:r>
        <w:rPr>
          <w:rtl w:val="true"/>
        </w:rPr>
        <w:t>הדוגמה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בעוצמתה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היחסית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דורשת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tl w:val="true"/>
        </w:rPr>
        <w:t xml:space="preserve">, </w:t>
      </w:r>
      <w:r>
        <w:rPr>
          <w:rtl w:val="true"/>
        </w:rPr>
        <w:t>ייצא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יוטלו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שראובן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יאלץ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אחרון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הכרונולוגית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הוצעה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שופטי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בטעמיה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סדר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תפישה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כעת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ולהפחית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: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ידי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כוח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ייכנס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רק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מושתתת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משרתת</w:t>
      </w:r>
      <w:r>
        <w:rPr>
          <w:rtl w:val="true"/>
        </w:rPr>
        <w:t xml:space="preserve">?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בוחנים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ותכליתו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לבחינה</w:t>
      </w:r>
      <w:r>
        <w:rPr>
          <w:rtl w:val="true"/>
        </w:rPr>
        <w:t xml:space="preserve">.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שנידונו</w:t>
      </w:r>
      <w:r>
        <w:rPr>
          <w:rtl w:val="true"/>
        </w:rPr>
        <w:t xml:space="preserve">, </w:t>
      </w:r>
      <w:r>
        <w:rPr>
          <w:rtl w:val="true"/>
        </w:rPr>
        <w:t>תועדף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מתחזקת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" w:cs="Arial TUR"/>
          <w:rtl w:val="true"/>
        </w:rPr>
        <w:t xml:space="preserve"> </w:t>
      </w:r>
      <w:hyperlink r:id="rId2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המקלה</w:t>
      </w:r>
      <w:r>
        <w:rPr>
          <w:rtl w:val="true"/>
        </w:rPr>
        <w:t xml:space="preserve">.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זוהי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ופשוט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לרוב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  <w:r>
        <w:rPr>
          <w:rFonts w:cs="FrankRuehl" w:ascii="FrankRuehl" w:hAnsi="FrankRuehl"/>
          <w:sz w:val="26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מוצגת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כגישה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ניטרלית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מהמציאות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4"/>
        </w:numPr>
        <w:ind w:hanging="360" w:start="36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תחילה</w:t>
      </w:r>
    </w:p>
    <w:p>
      <w:pPr>
        <w:pStyle w:val="Ruller41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מסקנתי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החיקוקים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ושיקולים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מעשיים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פרשנית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דגש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זה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גזר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המתה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לפי</w:t>
      </w:r>
      <w:r>
        <w:rPr>
          <w:rFonts w:cs="Calibri"/>
          <w:rtl w:val="true"/>
        </w:rPr>
        <w:t xml:space="preserve"> </w:t>
      </w:r>
      <w:hyperlink r:id="rId226">
        <w:r>
          <w:rPr>
            <w:rStyle w:val="Hyperlink"/>
            <w:rtl w:val="true"/>
          </w:rPr>
          <w:t>סעיף</w:t>
        </w:r>
        <w:r>
          <w:rPr>
            <w:rStyle w:val="Hyperlink"/>
            <w:rFonts w:cs="Calibri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hyperlink r:id="rId2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Calibri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הסניגוריה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כאמור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עלינו לפרש את הוראות חקיקה בהתאם ללשונה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תכליתה ועקרונותיה החוקתיים של שיטת המשפט הפלילי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בהיבט המעשי החוסה תחת ריאליזם משפטי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על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בבחינת הגשמת תכליות החוק ביחס לפרשנויות החוק במקרה דנן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שומה עלינו לבחון גם את השפעתן על עקרונות היסוד של הדין הפלילי ואת השלכות הרוחב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החורגת מן המקרה הפרטני של המערער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אשר צפויות לעלות מהעדפת אחת מהן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אין בידי לקבל את העמדה לפיה כלל הפרשנות המצמצמת מחייבנו להכשיר פרשנות לשונית אשר יישומה מובילנו לתוצאות משוללות היגיון משפטי העומדת בסתירה לעקרונות היסוד של השיטה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הגם שהיא מקלה עם נאשמים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אדרבה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דומה כי התיבה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לפי תכליתו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 xml:space="preserve">המצויה בלשון </w:t>
      </w:r>
      <w:hyperlink r:id="rId228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34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כא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נועדה למנוע תרחיש זה בדיוק </w:t>
      </w:r>
      <w:r>
        <w:rPr>
          <w:rFonts w:cs="FrankRuehl" w:ascii="FrankRuehl" w:hAnsi="FrankRuehl"/>
          <w:sz w:val="28"/>
          <w:rtl w:val="true"/>
        </w:rPr>
        <w:t>(</w:t>
      </w:r>
      <w:hyperlink r:id="rId22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דנ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1558/03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 נח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5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547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558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2004</w:t>
      </w:r>
      <w:r>
        <w:rPr>
          <w:rFonts w:cs="FrankRuehl" w:ascii="FrankRuehl" w:hAnsi="FrankRuehl"/>
          <w:sz w:val="28"/>
          <w:rtl w:val="true"/>
        </w:rPr>
        <w:t xml:space="preserve">); </w:t>
      </w:r>
      <w:hyperlink r:id="rId23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8573/96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נא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481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500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1997</w:t>
      </w:r>
      <w:r>
        <w:rPr>
          <w:rFonts w:cs="FrankRuehl" w:ascii="FrankRuehl" w:hAnsi="FrankRuehl"/>
          <w:sz w:val="28"/>
          <w:rtl w:val="true"/>
        </w:rPr>
        <w:t>))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מאימוץ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שרירותית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מקרית</w:t>
      </w:r>
      <w:r>
        <w:rPr>
          <w:rtl w:val="true"/>
        </w:rPr>
        <w:t xml:space="preserve">, </w:t>
      </w:r>
      <w:r>
        <w:rPr>
          <w:rtl w:val="true"/>
        </w:rPr>
        <w:t>ופוגמות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בדינאמיות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ונגזרותיה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מתעצמים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ייחודה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אותותיו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 xml:space="preserve">, </w:t>
      </w:r>
      <w:r>
        <w:rPr>
          <w:rtl w:val="true"/>
        </w:rPr>
        <w:t>נודה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לחלופה</w:t>
      </w:r>
      <w:r>
        <w:rPr>
          <w:rtl w:val="true"/>
        </w:rPr>
        <w:t xml:space="preserve">. </w:t>
      </w:r>
      <w:r>
        <w:rPr>
          <w:rtl w:val="true"/>
        </w:rPr>
        <w:t>הדגש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tl w:val="true"/>
        </w:rPr>
        <w:t xml:space="preserve">.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. </w:t>
      </w:r>
      <w:r>
        <w:rPr>
          <w:rtl w:val="true"/>
        </w:rPr>
        <w:t>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מנמקים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חשיבותו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". </w:t>
      </w:r>
      <w:r>
        <w:rPr>
          <w:rtl w:val="true"/>
        </w:rPr>
        <w:t>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300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הכרונולוגי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יובילו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משולבים</w:t>
      </w:r>
      <w:r>
        <w:rPr>
          <w:rtl w:val="true"/>
        </w:rPr>
        <w:t xml:space="preserve">. </w:t>
      </w:r>
      <w:r>
        <w:rPr>
          <w:rtl w:val="true"/>
        </w:rPr>
        <w:t>החריג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ab/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</w:t>
      </w:r>
      <w:r>
        <w:rPr>
          <w:rtl w:val="true"/>
        </w:rPr>
        <w:t xml:space="preserve">, </w:t>
      </w:r>
      <w:r>
        <w:rPr>
          <w:rtl w:val="true"/>
        </w:rPr>
        <w:t>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. </w:t>
      </w:r>
      <w:r>
        <w:rPr>
          <w:rtl w:val="true"/>
        </w:rPr>
        <w:t>במסגרתה</w:t>
      </w:r>
      <w:r>
        <w:rPr>
          <w:rtl w:val="true"/>
        </w:rPr>
        <w:t xml:space="preserve">, </w:t>
      </w:r>
      <w:r>
        <w:rPr>
          <w:rtl w:val="true"/>
        </w:rPr>
        <w:t>מבוקשת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הידרשות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מינהלית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לקציבת מועד עונש מתוקן</w:t>
      </w:r>
      <w:r>
        <w:rPr>
          <w:rFonts w:cs="FrankRuehl" w:ascii="FrankRuehl" w:hAnsi="FrankRuehl"/>
          <w:sz w:val="26"/>
          <w:rtl w:val="true"/>
        </w:rPr>
        <w:t xml:space="preserve">, </w:t>
      </w:r>
      <w:r>
        <w:rPr>
          <w:rFonts w:ascii="FrankRuehl" w:hAnsi="FrankRuehl"/>
          <w:sz w:val="26"/>
          <w:sz w:val="26"/>
          <w:rtl w:val="true"/>
        </w:rPr>
        <w:t>ללא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הפעלת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שיקול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דעת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ופתיחת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הליכים</w:t>
      </w:r>
      <w:r>
        <w:rPr>
          <w:rFonts w:ascii="FrankRuehl" w:hAnsi="FrankRuehl"/>
          <w:sz w:val="26"/>
          <w:sz w:val="26"/>
          <w:rtl w:val="true"/>
        </w:rPr>
        <w:t xml:space="preserve"> </w:t>
      </w:r>
      <w:r>
        <w:rPr>
          <w:rFonts w:ascii="FrankRuehl" w:hAnsi="FrankRuehl"/>
          <w:sz w:val="26"/>
          <w:sz w:val="26"/>
          <w:rtl w:val="true"/>
        </w:rPr>
        <w:t>מחדש</w:t>
      </w:r>
      <w:r>
        <w:rPr>
          <w:rFonts w:cs="FrankRuehl" w:ascii="FrankRuehl" w:hAnsi="FrankRuehl"/>
          <w:sz w:val="26"/>
          <w:rtl w:val="true"/>
        </w:rPr>
        <w:t>.</w:t>
      </w:r>
      <w:r>
        <w:rPr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כלל הכרעה זה </w:t>
      </w:r>
      <w:r>
        <w:rPr>
          <w:rFonts w:ascii="FrankRuehl" w:hAnsi="FrankRuehl"/>
          <w:sz w:val="28"/>
          <w:sz w:val="28"/>
          <w:rtl w:val="true"/>
        </w:rPr>
        <w:t xml:space="preserve">משחרר את בתי המשפט מן הצורך </w:t>
      </w:r>
      <w:r>
        <w:rPr>
          <w:rFonts w:ascii="FrankRuehl" w:hAnsi="FrankRuehl"/>
          <w:sz w:val="28"/>
          <w:sz w:val="28"/>
          <w:rtl w:val="true"/>
        </w:rPr>
        <w:t>לערוך</w:t>
      </w:r>
      <w:r>
        <w:rPr>
          <w:rFonts w:ascii="FrankRuehl" w:hAnsi="FrankRuehl"/>
          <w:sz w:val="28"/>
          <w:sz w:val="28"/>
          <w:rtl w:val="true"/>
        </w:rPr>
        <w:t xml:space="preserve"> תחשיבים מורכבים </w:t>
      </w:r>
      <w:r>
        <w:rPr>
          <w:rFonts w:ascii="FrankRuehl" w:hAnsi="FrankRuehl"/>
          <w:sz w:val="28"/>
          <w:sz w:val="28"/>
          <w:rtl w:val="true"/>
        </w:rPr>
        <w:t>המביאים ל</w:t>
      </w:r>
      <w:r>
        <w:rPr>
          <w:rFonts w:ascii="FrankRuehl" w:hAnsi="FrankRuehl"/>
          <w:sz w:val="28"/>
          <w:sz w:val="28"/>
          <w:rtl w:val="true"/>
        </w:rPr>
        <w:t>תוצאות לא סבירות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תוך </w:t>
      </w:r>
      <w:r>
        <w:rPr>
          <w:rFonts w:ascii="FrankRuehl" w:hAnsi="FrankRuehl"/>
          <w:sz w:val="28"/>
          <w:sz w:val="28"/>
          <w:rtl w:val="true"/>
        </w:rPr>
        <w:t>יצירת</w:t>
      </w:r>
      <w:r>
        <w:rPr>
          <w:rFonts w:ascii="FrankRuehl" w:hAnsi="FrankRuehl"/>
          <w:sz w:val="28"/>
          <w:sz w:val="28"/>
          <w:rtl w:val="true"/>
        </w:rPr>
        <w:t xml:space="preserve"> הבחנות דקות</w:t>
      </w:r>
      <w:r>
        <w:rPr>
          <w:rFonts w:ascii="FrankRuehl" w:hAnsi="FrankRuehl"/>
          <w:sz w:val="28"/>
          <w:sz w:val="28"/>
          <w:rtl w:val="true"/>
        </w:rPr>
        <w:t xml:space="preserve"> אשר</w:t>
      </w:r>
      <w:r>
        <w:rPr>
          <w:rFonts w:ascii="FrankRuehl" w:hAnsi="FrankRuehl"/>
          <w:sz w:val="28"/>
          <w:sz w:val="28"/>
          <w:rtl w:val="true"/>
        </w:rPr>
        <w:t xml:space="preserve"> לא בהכרח תואמת את הכוונה העומדת מאחורי גזר הדין המקורי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על הצורך להימנע מיצירתן של הבחנות משפטיות מורכבות או קשות ליישום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ראו למשל </w:t>
      </w:r>
      <w:hyperlink r:id="rId23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358/83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לבטוח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מב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844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32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1988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>מנימוקים אלה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הגישה לפיה יקוצר עונש המאסר המותנה תחילה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היא גם זו אשר תואמת בצורה המיטבית את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הגיליוטינה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ולתכלית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שנבחנו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סוף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דבר</w:t>
      </w:r>
    </w:p>
    <w:p>
      <w:pPr>
        <w:pStyle w:val="Normal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11"/>
        <w:numPr>
          <w:ilvl w:val="0"/>
          <w:numId w:val="2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>השאלה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היא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כזו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יסדירה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</w:t>
      </w:r>
      <w:hyperlink r:id="rId2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משבאה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לפתחנו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פי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Calibri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חיקוק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FrankRuehl" w:ascii="FrankRuehl" w:hAnsi="FrankRuehl"/>
          <w:sz w:val="26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4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Century" w:hAnsi="Century"/>
          <w:spacing w:val="10"/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</w:rPr>
      </w:pPr>
      <w:r>
        <w:rPr>
          <w:rFonts w:cs="FrankRuehl" w:ascii="Century" w:hAnsi="Century"/>
          <w:spacing w:val="10"/>
          <w:sz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וסדורה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אסתפק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3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300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.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המקסימאלי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ומעמידו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3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301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.(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4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המצמצמת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מצמצמת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ראשית</w:t>
      </w:r>
      <w:r>
        <w:rPr>
          <w:rFonts w:cs="FrankRuehl" w:ascii="Century" w:hAnsi="Century"/>
          <w:spacing w:val="10"/>
          <w:sz w:val="24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המצמצמת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שנית</w:t>
      </w:r>
      <w:r>
        <w:rPr>
          <w:rFonts w:cs="FrankRuehl" w:ascii="Century" w:hAnsi="Century"/>
          <w:spacing w:val="10"/>
          <w:sz w:val="24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המצמצמת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הרציונל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המינימאלית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5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22.7.2021</w:t>
      </w:r>
      <w:r>
        <w:rPr>
          <w:rtl w:val="true"/>
        </w:rPr>
        <w:t xml:space="preserve">). </w:t>
      </w:r>
      <w:bookmarkEnd w:id="2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20021490</w:t>
      </w:r>
      <w:r>
        <w:rPr>
          <w:sz w:val="16"/>
          <w:rtl w:val="true"/>
        </w:rPr>
        <w:t>_</w:t>
      </w:r>
      <w:r>
        <w:rPr>
          <w:sz w:val="16"/>
        </w:rPr>
        <w:t>Z02.docx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2">
        <w:r>
          <w:rPr>
            <w:rStyle w:val="Hyperlink"/>
            <w:color w:val="000000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54678313-2149/20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4"/>
      <w:footerReference w:type="default" r:id="rId24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2149/20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שלמה מרזן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2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4">
    <w:lvl w:ilvl="0">
      <w:start w:val="1"/>
      <w:numFmt w:val="hebrew1"/>
      <w:lvlText w:val="(%1)"/>
      <w:lvlJc w:val="start"/>
      <w:pPr>
        <w:tabs>
          <w:tab w:val="num" w:pos="0"/>
        </w:tabs>
        <w:ind w:start="360" w:hanging="36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360" w:before="240" w:after="0"/>
      <w:outlineLvl w:val="0"/>
    </w:pPr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verflowPunct w:val="true"/>
      <w:autoSpaceDE w:val="true"/>
      <w:bidi w:val="0"/>
      <w:spacing w:before="280" w:after="280"/>
      <w:textAlignment w:val="auto"/>
      <w:outlineLvl w:val="4"/>
    </w:pPr>
    <w:rPr>
      <w:rFonts w:cs="Times New Roman"/>
      <w:b/>
      <w:bCs/>
      <w:szCs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2"/>
      <w:szCs w:val="22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FrankRuehl" w:hAnsi="FrankRuehl" w:eastAsia="Times New Roman" w:cs="FrankRuehl"/>
      <w:sz w:val="2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6">
    <w:name w:val=" Char Char6"/>
    <w:qFormat/>
    <w:rPr>
      <w:rFonts w:ascii="Calibri Light" w:hAnsi="Calibri Light" w:eastAsia="Times New Roman" w:cs="Times New Roman"/>
      <w:color w:val="2E74B5"/>
      <w:spacing w:val="10"/>
      <w:sz w:val="32"/>
      <w:szCs w:val="32"/>
    </w:rPr>
  </w:style>
  <w:style w:type="character" w:styleId="CharChar5">
    <w:name w:val=" Char Char5"/>
    <w:qFormat/>
    <w:rPr>
      <w:b/>
      <w:bCs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Emphasis">
    <w:name w:val="Emphasis"/>
    <w:qFormat/>
    <w:rPr>
      <w:i/>
      <w:iCs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"/>
    <w:qFormat/>
    <w:rPr/>
  </w:style>
  <w:style w:type="character" w:styleId="BookTitle">
    <w:name w:val="Book Title"/>
    <w:qFormat/>
    <w:rPr/>
  </w:style>
  <w:style w:type="character" w:styleId="1">
    <w:name w:val="סגנון1 תו"/>
    <w:qFormat/>
    <w:rPr>
      <w:rFonts w:ascii="Calibri" w:hAnsi="Calibri" w:eastAsia="Calibri" w:cs="FrankRuehl"/>
      <w:spacing w:val="10"/>
      <w:sz w:val="24"/>
      <w:szCs w:val="28"/>
    </w:rPr>
  </w:style>
  <w:style w:type="character" w:styleId="Style12">
    <w:name w:val="ציטוט בפסק דין תו"/>
    <w:qFormat/>
    <w:rPr>
      <w:rFonts w:ascii="FrankRuehl" w:hAnsi="FrankRuehl" w:eastAsia="Calibri" w:cs="FrankRuehl"/>
      <w:spacing w:val="10"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1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5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02">
    <w:name w:val="p0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11">
    <w:name w:val="סגנון1"/>
    <w:basedOn w:val="Normal"/>
    <w:qFormat/>
    <w:pPr>
      <w:numPr>
        <w:ilvl w:val="0"/>
        <w:numId w:val="2"/>
      </w:numPr>
      <w:spacing w:lineRule="auto" w:line="360"/>
      <w:jc w:val="both"/>
      <w:textAlignment w:val="auto"/>
    </w:pPr>
    <w:rPr>
      <w:rFonts w:ascii="Calibri" w:hAnsi="Calibri" w:eastAsia="Calibri" w:cs="FrankRuehl"/>
      <w:spacing w:val="10"/>
      <w:sz w:val="24"/>
      <w:szCs w:val="28"/>
    </w:rPr>
  </w:style>
  <w:style w:type="paragraph" w:styleId="Style13">
    <w:name w:val="ציטוט בפסק דין"/>
    <w:basedOn w:val="Normal"/>
    <w:qFormat/>
    <w:pPr>
      <w:ind w:hanging="0" w:start="1642" w:end="1282"/>
      <w:jc w:val="both"/>
    </w:pPr>
    <w:rPr>
      <w:rFonts w:ascii="FrankRuehl" w:hAnsi="FrankRuehl" w:eastAsia="Calibri" w:cs="FrankRuehl"/>
      <w:spacing w:val="10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66884" TargetMode="External"/><Relationship Id="rId3" Type="http://schemas.openxmlformats.org/officeDocument/2006/relationships/hyperlink" Target="http://www.nevo.co.il/safrut/book/5505" TargetMode="External"/><Relationship Id="rId4" Type="http://schemas.openxmlformats.org/officeDocument/2006/relationships/hyperlink" Target="http://www.nevo.co.il/safrut/book/5505" TargetMode="External"/><Relationship Id="rId5" Type="http://schemas.openxmlformats.org/officeDocument/2006/relationships/hyperlink" Target="http://www.nevo.co.il/safrut/book/3585" TargetMode="External"/><Relationship Id="rId6" Type="http://schemas.openxmlformats.org/officeDocument/2006/relationships/hyperlink" Target="http://www.nevo.co.il/safrut/book/3442" TargetMode="External"/><Relationship Id="rId7" Type="http://schemas.openxmlformats.org/officeDocument/2006/relationships/hyperlink" Target="http://www.nevo.co.il/safrut/bookgroup/412" TargetMode="External"/><Relationship Id="rId8" Type="http://schemas.openxmlformats.org/officeDocument/2006/relationships/hyperlink" Target="http://www.nevo.co.il/safrut/bookgroup/412" TargetMode="External"/><Relationship Id="rId9" Type="http://schemas.openxmlformats.org/officeDocument/2006/relationships/hyperlink" Target="http://www.nevo.co.il/safrut/bookgroup/2063" TargetMode="External"/><Relationship Id="rId10" Type="http://schemas.openxmlformats.org/officeDocument/2006/relationships/hyperlink" Target="http://www.nevo.co.il/safrut/bookgroup/206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" TargetMode="External"/><Relationship Id="rId13" Type="http://schemas.openxmlformats.org/officeDocument/2006/relationships/hyperlink" Target="http://www.nevo.co.il/law/70301/3" TargetMode="External"/><Relationship Id="rId14" Type="http://schemas.openxmlformats.org/officeDocument/2006/relationships/hyperlink" Target="http://www.nevo.co.il/law/70301/5" TargetMode="External"/><Relationship Id="rId15" Type="http://schemas.openxmlformats.org/officeDocument/2006/relationships/hyperlink" Target="http://www.nevo.co.il/law/70301/5.a" TargetMode="External"/><Relationship Id="rId16" Type="http://schemas.openxmlformats.org/officeDocument/2006/relationships/hyperlink" Target="http://www.nevo.co.il/law/70301/5.b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25.c" TargetMode="External"/><Relationship Id="rId19" Type="http://schemas.openxmlformats.org/officeDocument/2006/relationships/hyperlink" Target="http://www.nevo.co.il/law/70301/34" TargetMode="External"/><Relationship Id="rId20" Type="http://schemas.openxmlformats.org/officeDocument/2006/relationships/hyperlink" Target="http://www.nevo.co.il/law/70301/34h" TargetMode="External"/><Relationship Id="rId21" Type="http://schemas.openxmlformats.org/officeDocument/2006/relationships/hyperlink" Target="http://www.nevo.co.il/law/70301/35.a" TargetMode="External"/><Relationship Id="rId22" Type="http://schemas.openxmlformats.org/officeDocument/2006/relationships/hyperlink" Target="http://www.nevo.co.il/law/70301/52.a" TargetMode="External"/><Relationship Id="rId23" Type="http://schemas.openxmlformats.org/officeDocument/2006/relationships/hyperlink" Target="http://www.nevo.co.il/law/70301/52.b.2" TargetMode="External"/><Relationship Id="rId24" Type="http://schemas.openxmlformats.org/officeDocument/2006/relationships/hyperlink" Target="http://www.nevo.co.il/law/70301/52.c" TargetMode="External"/><Relationship Id="rId25" Type="http://schemas.openxmlformats.org/officeDocument/2006/relationships/hyperlink" Target="http://www.nevo.co.il/law/70301/300" TargetMode="External"/><Relationship Id="rId26" Type="http://schemas.openxmlformats.org/officeDocument/2006/relationships/hyperlink" Target="http://www.nevo.co.il/law/70301/300.a" TargetMode="External"/><Relationship Id="rId27" Type="http://schemas.openxmlformats.org/officeDocument/2006/relationships/hyperlink" Target="http://www.nevo.co.il/law/70301/300a" TargetMode="External"/><Relationship Id="rId28" Type="http://schemas.openxmlformats.org/officeDocument/2006/relationships/hyperlink" Target="http://www.nevo.co.il/law/70301/300a.a" TargetMode="External"/><Relationship Id="rId29" Type="http://schemas.openxmlformats.org/officeDocument/2006/relationships/hyperlink" Target="http://www.nevo.co.il/law/70301/301.b" TargetMode="External"/><Relationship Id="rId30" Type="http://schemas.openxmlformats.org/officeDocument/2006/relationships/hyperlink" Target="http://www.nevo.co.il/law/70301/301a" TargetMode="External"/><Relationship Id="rId31" Type="http://schemas.openxmlformats.org/officeDocument/2006/relationships/hyperlink" Target="http://www.nevo.co.il/law/70301/301a.b.2" TargetMode="External"/><Relationship Id="rId32" Type="http://schemas.openxmlformats.org/officeDocument/2006/relationships/hyperlink" Target="http://www.nevo.co.il/law/70301/301b" TargetMode="External"/><Relationship Id="rId33" Type="http://schemas.openxmlformats.org/officeDocument/2006/relationships/hyperlink" Target="http://www.nevo.co.il/law/70301/301b.2" TargetMode="External"/><Relationship Id="rId34" Type="http://schemas.openxmlformats.org/officeDocument/2006/relationships/hyperlink" Target="http://www.nevo.co.il/law/70301/301b.3" TargetMode="External"/><Relationship Id="rId35" Type="http://schemas.openxmlformats.org/officeDocument/2006/relationships/hyperlink" Target="http://www.nevo.co.il/law/70301/301b.a" TargetMode="External"/><Relationship Id="rId36" Type="http://schemas.openxmlformats.org/officeDocument/2006/relationships/hyperlink" Target="http://www.nevo.co.il/law/70301/301b.b.1" TargetMode="External"/><Relationship Id="rId37" Type="http://schemas.openxmlformats.org/officeDocument/2006/relationships/hyperlink" Target="http://www.nevo.co.il/law/70301/301b.b.2" TargetMode="External"/><Relationship Id="rId38" Type="http://schemas.openxmlformats.org/officeDocument/2006/relationships/hyperlink" Target="http://www.nevo.co.il/law/70301/301c" TargetMode="External"/><Relationship Id="rId39" Type="http://schemas.openxmlformats.org/officeDocument/2006/relationships/hyperlink" Target="http://www.nevo.co.il/law/70301/304" TargetMode="External"/><Relationship Id="rId40" Type="http://schemas.openxmlformats.org/officeDocument/2006/relationships/hyperlink" Target="http://www.nevo.co.il/law/70301/34ka" TargetMode="External"/><Relationship Id="rId41" Type="http://schemas.openxmlformats.org/officeDocument/2006/relationships/hyperlink" Target="http://www.nevo.co.il/law/70301/35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13066884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6728216" TargetMode="External"/><Relationship Id="rId46" Type="http://schemas.openxmlformats.org/officeDocument/2006/relationships/hyperlink" Target="http://www.nevo.co.il/case/25441697" TargetMode="External"/><Relationship Id="rId47" Type="http://schemas.openxmlformats.org/officeDocument/2006/relationships/hyperlink" Target="http://www.nevo.co.il/case/26652207" TargetMode="External"/><Relationship Id="rId48" Type="http://schemas.openxmlformats.org/officeDocument/2006/relationships/hyperlink" Target="http://www.nevo.co.il/case/23877203" TargetMode="External"/><Relationship Id="rId49" Type="http://schemas.openxmlformats.org/officeDocument/2006/relationships/hyperlink" Target="http://www.nevo.co.il/case/24147174" TargetMode="External"/><Relationship Id="rId50" Type="http://schemas.openxmlformats.org/officeDocument/2006/relationships/hyperlink" Target="http://www.nevo.co.il/case/23420882" TargetMode="External"/><Relationship Id="rId51" Type="http://schemas.openxmlformats.org/officeDocument/2006/relationships/hyperlink" Target="http://www.nevo.co.il/law/70301/300a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13066884" TargetMode="External"/><Relationship Id="rId54" Type="http://schemas.openxmlformats.org/officeDocument/2006/relationships/hyperlink" Target="http://www.nevo.co.il/law/70301/25.c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301a.b.2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00a" TargetMode="External"/><Relationship Id="rId59" Type="http://schemas.openxmlformats.org/officeDocument/2006/relationships/hyperlink" Target="http://www.nevo.co.il/law/70301/34ka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34ka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5.b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01.b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70301/25.c" TargetMode="External"/><Relationship Id="rId68" Type="http://schemas.openxmlformats.org/officeDocument/2006/relationships/hyperlink" Target="http://www.nevo.co.il/law/70301/25.c" TargetMode="External"/><Relationship Id="rId69" Type="http://schemas.openxmlformats.org/officeDocument/2006/relationships/hyperlink" Target="http://www.nevo.co.il/law/70301/300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301b.a" TargetMode="External"/><Relationship Id="rId72" Type="http://schemas.openxmlformats.org/officeDocument/2006/relationships/hyperlink" Target="http://www.nevo.co.il/law/70301/301b.2" TargetMode="External"/><Relationship Id="rId73" Type="http://schemas.openxmlformats.org/officeDocument/2006/relationships/hyperlink" Target="http://www.nevo.co.il/law/70301/301b.3" TargetMode="External"/><Relationship Id="rId74" Type="http://schemas.openxmlformats.org/officeDocument/2006/relationships/hyperlink" Target="http://www.nevo.co.il/law/70301/301.b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safrut/bookgroup/2063" TargetMode="External"/><Relationship Id="rId78" Type="http://schemas.openxmlformats.org/officeDocument/2006/relationships/hyperlink" Target="http://www.nevo.co.il/safrut/book/3585" TargetMode="External"/><Relationship Id="rId79" Type="http://schemas.openxmlformats.org/officeDocument/2006/relationships/hyperlink" Target="http://www.nevo.co.il/case/5696849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25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25.c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25.c" TargetMode="External"/><Relationship Id="rId88" Type="http://schemas.openxmlformats.org/officeDocument/2006/relationships/hyperlink" Target="http://www.nevo.co.il/law/70301/300a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5834975" TargetMode="External"/><Relationship Id="rId91" Type="http://schemas.openxmlformats.org/officeDocument/2006/relationships/hyperlink" Target="http://www.nevo.co.il/case/6114657" TargetMode="External"/><Relationship Id="rId92" Type="http://schemas.openxmlformats.org/officeDocument/2006/relationships/hyperlink" Target="http://www.nevo.co.il/law/70301/300a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300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301b" TargetMode="External"/><Relationship Id="rId97" Type="http://schemas.openxmlformats.org/officeDocument/2006/relationships/hyperlink" Target="http://www.nevo.co.il/law/70301/300a" TargetMode="External"/><Relationship Id="rId98" Type="http://schemas.openxmlformats.org/officeDocument/2006/relationships/hyperlink" Target="http://www.nevo.co.il/law/70301" TargetMode="External"/><Relationship Id="rId99" Type="http://schemas.openxmlformats.org/officeDocument/2006/relationships/hyperlink" Target="http://www.nevo.co.il/law/70301/301b" TargetMode="External"/><Relationship Id="rId100" Type="http://schemas.openxmlformats.org/officeDocument/2006/relationships/hyperlink" Target="http://www.nevo.co.il/law/70301/300a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case/13041923" TargetMode="External"/><Relationship Id="rId103" Type="http://schemas.openxmlformats.org/officeDocument/2006/relationships/hyperlink" Target="http://www.nevo.co.il/law/70301/300a" TargetMode="External"/><Relationship Id="rId104" Type="http://schemas.openxmlformats.org/officeDocument/2006/relationships/hyperlink" Target="http://www.nevo.co.il/law/70301/300a" TargetMode="External"/><Relationship Id="rId105" Type="http://schemas.openxmlformats.org/officeDocument/2006/relationships/hyperlink" Target="http://www.nevo.co.il/law/70301/301b.a" TargetMode="External"/><Relationship Id="rId106" Type="http://schemas.openxmlformats.org/officeDocument/2006/relationships/hyperlink" Target="http://www.nevo.co.il/law/70301" TargetMode="External"/><Relationship Id="rId107" Type="http://schemas.openxmlformats.org/officeDocument/2006/relationships/hyperlink" Target="http://www.nevo.co.il/law/70301/301b.b.1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safrut/book/3442" TargetMode="External"/><Relationship Id="rId110" Type="http://schemas.openxmlformats.org/officeDocument/2006/relationships/hyperlink" Target="http://www.nevo.co.il/law/70301/301b" TargetMode="External"/><Relationship Id="rId111" Type="http://schemas.openxmlformats.org/officeDocument/2006/relationships/hyperlink" Target="http://www.nevo.co.il/law/70301" TargetMode="External"/><Relationship Id="rId112" Type="http://schemas.openxmlformats.org/officeDocument/2006/relationships/hyperlink" Target="http://www.nevo.co.il/law/70301/300a" TargetMode="External"/><Relationship Id="rId113" Type="http://schemas.openxmlformats.org/officeDocument/2006/relationships/hyperlink" Target="http://www.nevo.co.il/law/70301/300a" TargetMode="External"/><Relationship Id="rId114" Type="http://schemas.openxmlformats.org/officeDocument/2006/relationships/hyperlink" Target="http://www.nevo.co.il/law/70301/5.b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law/70301/5.b" TargetMode="External"/><Relationship Id="rId118" Type="http://schemas.openxmlformats.org/officeDocument/2006/relationships/hyperlink" Target="http://www.nevo.co.il/law/70301" TargetMode="External"/><Relationship Id="rId119" Type="http://schemas.openxmlformats.org/officeDocument/2006/relationships/hyperlink" Target="http://www.nevo.co.il/law/70301/5.b" TargetMode="External"/><Relationship Id="rId120" Type="http://schemas.openxmlformats.org/officeDocument/2006/relationships/hyperlink" Target="http://www.nevo.co.il/law/70301" TargetMode="External"/><Relationship Id="rId121" Type="http://schemas.openxmlformats.org/officeDocument/2006/relationships/hyperlink" Target="http://www.nevo.co.il/case/25940140" TargetMode="External"/><Relationship Id="rId122" Type="http://schemas.openxmlformats.org/officeDocument/2006/relationships/hyperlink" Target="http://www.nevo.co.il/case/10502269" TargetMode="External"/><Relationship Id="rId123" Type="http://schemas.openxmlformats.org/officeDocument/2006/relationships/hyperlink" Target="http://www.nevo.co.il/case/5689213" TargetMode="External"/><Relationship Id="rId124" Type="http://schemas.openxmlformats.org/officeDocument/2006/relationships/hyperlink" Target="http://www.nevo.co.il/law/70301/5.b" TargetMode="External"/><Relationship Id="rId125" Type="http://schemas.openxmlformats.org/officeDocument/2006/relationships/hyperlink" Target="http://www.nevo.co.il/law/70301/5.b" TargetMode="External"/><Relationship Id="rId126" Type="http://schemas.openxmlformats.org/officeDocument/2006/relationships/hyperlink" Target="http://www.nevo.co.il/law/70301" TargetMode="External"/><Relationship Id="rId127" Type="http://schemas.openxmlformats.org/officeDocument/2006/relationships/hyperlink" Target="http://www.nevo.co.il/law/70301/5.b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safrut/book/5505" TargetMode="External"/><Relationship Id="rId130" Type="http://schemas.openxmlformats.org/officeDocument/2006/relationships/hyperlink" Target="http://www.nevo.co.il/law/70301/5.b" TargetMode="External"/><Relationship Id="rId131" Type="http://schemas.openxmlformats.org/officeDocument/2006/relationships/hyperlink" Target="http://www.nevo.co.il/law/70301/5.b" TargetMode="External"/><Relationship Id="rId132" Type="http://schemas.openxmlformats.org/officeDocument/2006/relationships/hyperlink" Target="http://www.nevo.co.il/law/70301/5.b" TargetMode="External"/><Relationship Id="rId133" Type="http://schemas.openxmlformats.org/officeDocument/2006/relationships/hyperlink" Target="http://www.nevo.co.il/law/70301/5.b" TargetMode="External"/><Relationship Id="rId134" Type="http://schemas.openxmlformats.org/officeDocument/2006/relationships/hyperlink" Target="http://www.nevo.co.il/law/70301/5.b" TargetMode="External"/><Relationship Id="rId135" Type="http://schemas.openxmlformats.org/officeDocument/2006/relationships/hyperlink" Target="http://www.nevo.co.il/law/70301/300a" TargetMode="External"/><Relationship Id="rId136" Type="http://schemas.openxmlformats.org/officeDocument/2006/relationships/hyperlink" Target="http://www.nevo.co.il/law/70301/300" TargetMode="External"/><Relationship Id="rId137" Type="http://schemas.openxmlformats.org/officeDocument/2006/relationships/hyperlink" Target="http://www.nevo.co.il/law/70301/301a" TargetMode="External"/><Relationship Id="rId138" Type="http://schemas.openxmlformats.org/officeDocument/2006/relationships/hyperlink" Target="http://www.nevo.co.il/law/70301/301b" TargetMode="External"/><Relationship Id="rId139" Type="http://schemas.openxmlformats.org/officeDocument/2006/relationships/hyperlink" Target="http://www.nevo.co.il/law/70301/301c" TargetMode="External"/><Relationship Id="rId140" Type="http://schemas.openxmlformats.org/officeDocument/2006/relationships/hyperlink" Target="http://www.nevo.co.il/law/70301/304" TargetMode="External"/><Relationship Id="rId141" Type="http://schemas.openxmlformats.org/officeDocument/2006/relationships/hyperlink" Target="http://www.nevo.co.il/law/70301/300a" TargetMode="External"/><Relationship Id="rId142" Type="http://schemas.openxmlformats.org/officeDocument/2006/relationships/hyperlink" Target="http://www.nevo.co.il/law/70301/300a" TargetMode="External"/><Relationship Id="rId143" Type="http://schemas.openxmlformats.org/officeDocument/2006/relationships/hyperlink" Target="http://www.nevo.co.il/law/70301/5.b" TargetMode="External"/><Relationship Id="rId144" Type="http://schemas.openxmlformats.org/officeDocument/2006/relationships/hyperlink" Target="http://www.nevo.co.il/law/70301" TargetMode="External"/><Relationship Id="rId145" Type="http://schemas.openxmlformats.org/officeDocument/2006/relationships/hyperlink" Target="http://www.nevo.co.il/law/70301/301c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law/70301/300.a" TargetMode="External"/><Relationship Id="rId148" Type="http://schemas.openxmlformats.org/officeDocument/2006/relationships/hyperlink" Target="http://www.nevo.co.il/law/70301/5.b" TargetMode="External"/><Relationship Id="rId149" Type="http://schemas.openxmlformats.org/officeDocument/2006/relationships/hyperlink" Target="http://www.nevo.co.il/law/70301/301c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law/70301/300a" TargetMode="External"/><Relationship Id="rId152" Type="http://schemas.openxmlformats.org/officeDocument/2006/relationships/hyperlink" Target="http://www.nevo.co.il/law/70301/300a" TargetMode="External"/><Relationship Id="rId153" Type="http://schemas.openxmlformats.org/officeDocument/2006/relationships/hyperlink" Target="http://www.nevo.co.il/law/70301/300a" TargetMode="External"/><Relationship Id="rId154" Type="http://schemas.openxmlformats.org/officeDocument/2006/relationships/hyperlink" Target="http://www.nevo.co.il/law/70301/300a" TargetMode="External"/><Relationship Id="rId155" Type="http://schemas.openxmlformats.org/officeDocument/2006/relationships/hyperlink" Target="http://www.nevo.co.il/law/70301/301b" TargetMode="External"/><Relationship Id="rId156" Type="http://schemas.openxmlformats.org/officeDocument/2006/relationships/hyperlink" Target="http://www.nevo.co.il/law/70301/300a" TargetMode="External"/><Relationship Id="rId157" Type="http://schemas.openxmlformats.org/officeDocument/2006/relationships/hyperlink" Target="http://www.nevo.co.il/law/70301/34h" TargetMode="External"/><Relationship Id="rId158" Type="http://schemas.openxmlformats.org/officeDocument/2006/relationships/hyperlink" Target="http://www.nevo.co.il/law/70301/34" TargetMode="External"/><Relationship Id="rId159" Type="http://schemas.openxmlformats.org/officeDocument/2006/relationships/hyperlink" Target="http://www.nevo.co.il/law/70301/300a" TargetMode="External"/><Relationship Id="rId160" Type="http://schemas.openxmlformats.org/officeDocument/2006/relationships/hyperlink" Target="http://www.nevo.co.il/law/70301/5.b" TargetMode="External"/><Relationship Id="rId161" Type="http://schemas.openxmlformats.org/officeDocument/2006/relationships/hyperlink" Target="http://www.nevo.co.il/law/70301/301b" TargetMode="External"/><Relationship Id="rId162" Type="http://schemas.openxmlformats.org/officeDocument/2006/relationships/hyperlink" Target="http://www.nevo.co.il/law/70301/5.b" TargetMode="External"/><Relationship Id="rId163" Type="http://schemas.openxmlformats.org/officeDocument/2006/relationships/hyperlink" Target="http://www.nevo.co.il/law/70301/301b" TargetMode="External"/><Relationship Id="rId164" Type="http://schemas.openxmlformats.org/officeDocument/2006/relationships/hyperlink" Target="http://www.nevo.co.il/law/70301/34ka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case/6015465" TargetMode="External"/><Relationship Id="rId168" Type="http://schemas.openxmlformats.org/officeDocument/2006/relationships/hyperlink" Target="http://www.nevo.co.il/case/5845310" TargetMode="External"/><Relationship Id="rId169" Type="http://schemas.openxmlformats.org/officeDocument/2006/relationships/hyperlink" Target="http://www.nevo.co.il/case/6245391" TargetMode="External"/><Relationship Id="rId170" Type="http://schemas.openxmlformats.org/officeDocument/2006/relationships/hyperlink" Target="http://www.nevo.co.il/safrut/bookgroup/412" TargetMode="External"/><Relationship Id="rId171" Type="http://schemas.openxmlformats.org/officeDocument/2006/relationships/hyperlink" Target="http://www.nevo.co.il/law/70301/34ka" TargetMode="External"/><Relationship Id="rId172" Type="http://schemas.openxmlformats.org/officeDocument/2006/relationships/hyperlink" Target="http://www.nevo.co.il/law/70301/34ka" TargetMode="External"/><Relationship Id="rId173" Type="http://schemas.openxmlformats.org/officeDocument/2006/relationships/hyperlink" Target="http://www.nevo.co.il/law/70301/34ka" TargetMode="External"/><Relationship Id="rId174" Type="http://schemas.openxmlformats.org/officeDocument/2006/relationships/hyperlink" Target="http://www.nevo.co.il/case/5698660" TargetMode="External"/><Relationship Id="rId175" Type="http://schemas.openxmlformats.org/officeDocument/2006/relationships/hyperlink" Target="http://www.nevo.co.il/case/17918227" TargetMode="External"/><Relationship Id="rId176" Type="http://schemas.openxmlformats.org/officeDocument/2006/relationships/hyperlink" Target="http://www.nevo.co.il/case/21474576" TargetMode="External"/><Relationship Id="rId177" Type="http://schemas.openxmlformats.org/officeDocument/2006/relationships/hyperlink" Target="http://www.nevo.co.il/case/10442754" TargetMode="External"/><Relationship Id="rId178" Type="http://schemas.openxmlformats.org/officeDocument/2006/relationships/hyperlink" Target="http://www.nevo.co.il/law/70301/5" TargetMode="External"/><Relationship Id="rId179" Type="http://schemas.openxmlformats.org/officeDocument/2006/relationships/hyperlink" Target="http://www.nevo.co.il/law/70301" TargetMode="External"/><Relationship Id="rId180" Type="http://schemas.openxmlformats.org/officeDocument/2006/relationships/hyperlink" Target="http://www.nevo.co.il/law/70301/3" TargetMode="External"/><Relationship Id="rId181" Type="http://schemas.openxmlformats.org/officeDocument/2006/relationships/hyperlink" Target="http://www.nevo.co.il/law/70301" TargetMode="External"/><Relationship Id="rId182" Type="http://schemas.openxmlformats.org/officeDocument/2006/relationships/hyperlink" Target="http://www.nevo.co.il/law/70301/1" TargetMode="External"/><Relationship Id="rId183" Type="http://schemas.openxmlformats.org/officeDocument/2006/relationships/hyperlink" Target="http://www.nevo.co.il/law/70301" TargetMode="External"/><Relationship Id="rId184" Type="http://schemas.openxmlformats.org/officeDocument/2006/relationships/hyperlink" Target="http://www.nevo.co.il/law/70301/5" TargetMode="External"/><Relationship Id="rId185" Type="http://schemas.openxmlformats.org/officeDocument/2006/relationships/hyperlink" Target="http://www.nevo.co.il/law/70301" TargetMode="External"/><Relationship Id="rId186" Type="http://schemas.openxmlformats.org/officeDocument/2006/relationships/hyperlink" Target="http://www.nevo.co.il/law/70301/5.a" TargetMode="External"/><Relationship Id="rId187" Type="http://schemas.openxmlformats.org/officeDocument/2006/relationships/hyperlink" Target="http://www.nevo.co.il/law/70301/5.b" TargetMode="External"/><Relationship Id="rId188" Type="http://schemas.openxmlformats.org/officeDocument/2006/relationships/hyperlink" Target="http://www.nevo.co.il/law/70301/5" TargetMode="External"/><Relationship Id="rId189" Type="http://schemas.openxmlformats.org/officeDocument/2006/relationships/hyperlink" Target="http://www.nevo.co.il/law/70301" TargetMode="External"/><Relationship Id="rId190" Type="http://schemas.openxmlformats.org/officeDocument/2006/relationships/hyperlink" Target="http://www.nevo.co.il/law/70301/5" TargetMode="External"/><Relationship Id="rId191" Type="http://schemas.openxmlformats.org/officeDocument/2006/relationships/hyperlink" Target="http://www.nevo.co.il/law/70301" TargetMode="External"/><Relationship Id="rId192" Type="http://schemas.openxmlformats.org/officeDocument/2006/relationships/hyperlink" Target="http://www.nevo.co.il/case/17945760" TargetMode="External"/><Relationship Id="rId193" Type="http://schemas.openxmlformats.org/officeDocument/2006/relationships/hyperlink" Target="http://www.nevo.co.il/law/70301/5" TargetMode="External"/><Relationship Id="rId194" Type="http://schemas.openxmlformats.org/officeDocument/2006/relationships/hyperlink" Target="http://www.nevo.co.il/law/70301" TargetMode="External"/><Relationship Id="rId195" Type="http://schemas.openxmlformats.org/officeDocument/2006/relationships/hyperlink" Target="http://www.nevo.co.il/law/70301" TargetMode="External"/><Relationship Id="rId196" Type="http://schemas.openxmlformats.org/officeDocument/2006/relationships/hyperlink" Target="http://www.nevo.co.il/law/70301" TargetMode="External"/><Relationship Id="rId197" Type="http://schemas.openxmlformats.org/officeDocument/2006/relationships/hyperlink" Target="http://www.nevo.co.il/law/70301/5" TargetMode="External"/><Relationship Id="rId198" Type="http://schemas.openxmlformats.org/officeDocument/2006/relationships/hyperlink" Target="http://www.nevo.co.il/law/70301" TargetMode="External"/><Relationship Id="rId199" Type="http://schemas.openxmlformats.org/officeDocument/2006/relationships/hyperlink" Target="http://www.nevo.co.il/law/70301/5" TargetMode="External"/><Relationship Id="rId200" Type="http://schemas.openxmlformats.org/officeDocument/2006/relationships/hyperlink" Target="http://www.nevo.co.il/law/70301" TargetMode="External"/><Relationship Id="rId201" Type="http://schemas.openxmlformats.org/officeDocument/2006/relationships/hyperlink" Target="http://www.nevo.co.il/law/70301" TargetMode="External"/><Relationship Id="rId202" Type="http://schemas.openxmlformats.org/officeDocument/2006/relationships/hyperlink" Target="http://www.nevo.co.il/law/70301/52.a" TargetMode="External"/><Relationship Id="rId203" Type="http://schemas.openxmlformats.org/officeDocument/2006/relationships/hyperlink" Target="http://www.nevo.co.il/law/70301" TargetMode="External"/><Relationship Id="rId204" Type="http://schemas.openxmlformats.org/officeDocument/2006/relationships/hyperlink" Target="http://www.nevo.co.il/law/70301" TargetMode="External"/><Relationship Id="rId205" Type="http://schemas.openxmlformats.org/officeDocument/2006/relationships/hyperlink" Target="http://www.nevo.co.il/case/6032952" TargetMode="External"/><Relationship Id="rId206" Type="http://schemas.openxmlformats.org/officeDocument/2006/relationships/hyperlink" Target="http://www.nevo.co.il/case/5796872" TargetMode="External"/><Relationship Id="rId207" Type="http://schemas.openxmlformats.org/officeDocument/2006/relationships/hyperlink" Target="http://www.nevo.co.il/law/70301/35.a" TargetMode="External"/><Relationship Id="rId208" Type="http://schemas.openxmlformats.org/officeDocument/2006/relationships/hyperlink" Target="http://www.nevo.co.il/law/70301" TargetMode="External"/><Relationship Id="rId209" Type="http://schemas.openxmlformats.org/officeDocument/2006/relationships/hyperlink" Target="http://www.nevo.co.il/law/70301/355" TargetMode="External"/><Relationship Id="rId210" Type="http://schemas.openxmlformats.org/officeDocument/2006/relationships/hyperlink" Target="http://www.nevo.co.il/law/70301" TargetMode="External"/><Relationship Id="rId211" Type="http://schemas.openxmlformats.org/officeDocument/2006/relationships/hyperlink" Target="http://www.nevo.co.il/case/26256014" TargetMode="External"/><Relationship Id="rId212" Type="http://schemas.openxmlformats.org/officeDocument/2006/relationships/hyperlink" Target="http://www.nevo.co.il/case/26272196" TargetMode="External"/><Relationship Id="rId213" Type="http://schemas.openxmlformats.org/officeDocument/2006/relationships/hyperlink" Target="http://www.nevo.co.il/law/70301/52.b.2" TargetMode="External"/><Relationship Id="rId214" Type="http://schemas.openxmlformats.org/officeDocument/2006/relationships/hyperlink" Target="http://www.nevo.co.il/law/70301" TargetMode="External"/><Relationship Id="rId215" Type="http://schemas.openxmlformats.org/officeDocument/2006/relationships/hyperlink" Target="http://www.nevo.co.il/law/70301" TargetMode="External"/><Relationship Id="rId216" Type="http://schemas.openxmlformats.org/officeDocument/2006/relationships/hyperlink" Target="http://www.nevo.co.il/law/70301/300a" TargetMode="External"/><Relationship Id="rId217" Type="http://schemas.openxmlformats.org/officeDocument/2006/relationships/hyperlink" Target="http://www.nevo.co.il/law/70301" TargetMode="External"/><Relationship Id="rId218" Type="http://schemas.openxmlformats.org/officeDocument/2006/relationships/hyperlink" Target="http://www.nevo.co.il/case/6193046" TargetMode="External"/><Relationship Id="rId219" Type="http://schemas.openxmlformats.org/officeDocument/2006/relationships/hyperlink" Target="http://www.nevo.co.il/law/70301/52.c" TargetMode="External"/><Relationship Id="rId220" Type="http://schemas.openxmlformats.org/officeDocument/2006/relationships/hyperlink" Target="http://www.nevo.co.il/law/70301" TargetMode="External"/><Relationship Id="rId221" Type="http://schemas.openxmlformats.org/officeDocument/2006/relationships/hyperlink" Target="http://www.nevo.co.il/law/70301/34ka" TargetMode="External"/><Relationship Id="rId222" Type="http://schemas.openxmlformats.org/officeDocument/2006/relationships/hyperlink" Target="http://www.nevo.co.il/law/70301" TargetMode="External"/><Relationship Id="rId223" Type="http://schemas.openxmlformats.org/officeDocument/2006/relationships/hyperlink" Target="http://www.nevo.co.il/law/70301/34ka" TargetMode="External"/><Relationship Id="rId224" Type="http://schemas.openxmlformats.org/officeDocument/2006/relationships/hyperlink" Target="http://www.nevo.co.il/law/70301/34ka" TargetMode="External"/><Relationship Id="rId225" Type="http://schemas.openxmlformats.org/officeDocument/2006/relationships/hyperlink" Target="http://www.nevo.co.il/law/70301" TargetMode="External"/><Relationship Id="rId226" Type="http://schemas.openxmlformats.org/officeDocument/2006/relationships/hyperlink" Target="http://www.nevo.co.il/law/70301/300a" TargetMode="External"/><Relationship Id="rId227" Type="http://schemas.openxmlformats.org/officeDocument/2006/relationships/hyperlink" Target="http://www.nevo.co.il/law/70301" TargetMode="External"/><Relationship Id="rId228" Type="http://schemas.openxmlformats.org/officeDocument/2006/relationships/hyperlink" Target="http://www.nevo.co.il/law/70301/34ka" TargetMode="External"/><Relationship Id="rId229" Type="http://schemas.openxmlformats.org/officeDocument/2006/relationships/hyperlink" Target="http://www.nevo.co.il/case/5777082" TargetMode="External"/><Relationship Id="rId230" Type="http://schemas.openxmlformats.org/officeDocument/2006/relationships/hyperlink" Target="http://www.nevo.co.il/case/5674009" TargetMode="External"/><Relationship Id="rId231" Type="http://schemas.openxmlformats.org/officeDocument/2006/relationships/hyperlink" Target="http://www.nevo.co.il/law/70301/300a" TargetMode="External"/><Relationship Id="rId232" Type="http://schemas.openxmlformats.org/officeDocument/2006/relationships/hyperlink" Target="http://www.nevo.co.il/law/70301/301a" TargetMode="External"/><Relationship Id="rId233" Type="http://schemas.openxmlformats.org/officeDocument/2006/relationships/hyperlink" Target="http://www.nevo.co.il/law/70301" TargetMode="External"/><Relationship Id="rId234" Type="http://schemas.openxmlformats.org/officeDocument/2006/relationships/hyperlink" Target="http://www.nevo.co.il/case/17920284" TargetMode="External"/><Relationship Id="rId235" Type="http://schemas.openxmlformats.org/officeDocument/2006/relationships/hyperlink" Target="http://www.nevo.co.il/law/70301" TargetMode="External"/><Relationship Id="rId236" Type="http://schemas.openxmlformats.org/officeDocument/2006/relationships/hyperlink" Target="http://www.nevo.co.il/law/70301/300a" TargetMode="External"/><Relationship Id="rId237" Type="http://schemas.openxmlformats.org/officeDocument/2006/relationships/hyperlink" Target="http://www.nevo.co.il/law/70301" TargetMode="External"/><Relationship Id="rId238" Type="http://schemas.openxmlformats.org/officeDocument/2006/relationships/hyperlink" Target="http://www.nevo.co.il/law/70301/301b.b.2" TargetMode="External"/><Relationship Id="rId239" Type="http://schemas.openxmlformats.org/officeDocument/2006/relationships/hyperlink" Target="http://www.nevo.co.il/law/70301" TargetMode="External"/><Relationship Id="rId240" Type="http://schemas.openxmlformats.org/officeDocument/2006/relationships/hyperlink" Target="http://www.nevo.co.il/law/70301/25.c" TargetMode="External"/><Relationship Id="rId241" Type="http://schemas.openxmlformats.org/officeDocument/2006/relationships/hyperlink" Target="http://www.nevo.co.il/law/70301" TargetMode="External"/><Relationship Id="rId242" Type="http://schemas.openxmlformats.org/officeDocument/2006/relationships/hyperlink" Target="https://supreme.court.gov.il/" TargetMode="External"/><Relationship Id="rId243" Type="http://schemas.openxmlformats.org/officeDocument/2006/relationships/hyperlink" Target="http://www.nevo.co.il/advertisements/nevo-100.doc" TargetMode="External"/><Relationship Id="rId244" Type="http://schemas.openxmlformats.org/officeDocument/2006/relationships/header" Target="header1.xml"/><Relationship Id="rId245" Type="http://schemas.openxmlformats.org/officeDocument/2006/relationships/footer" Target="footer1.xml"/><Relationship Id="rId246" Type="http://schemas.openxmlformats.org/officeDocument/2006/relationships/numbering" Target="numbering.xml"/><Relationship Id="rId247" Type="http://schemas.openxmlformats.org/officeDocument/2006/relationships/fontTable" Target="fontTable.xml"/><Relationship Id="rId248" Type="http://schemas.openxmlformats.org/officeDocument/2006/relationships/settings" Target="settings.xml"/><Relationship Id="rId2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2021-07-25T11:19:00Z</dcterms:created>
  <dc:creator>h4</dc:creator>
  <dc:description/>
  <cp:keywords/>
  <dc:language>en-IL</dc:language>
  <cp:lastModifiedBy>orly</cp:lastModifiedBy>
  <cp:lastPrinted>2021-07-22T11:47:00Z</cp:lastPrinted>
  <dcterms:modified xsi:type="dcterms:W3CDTF">2021-07-25T11:19:00Z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שלמה מרזן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412;2063</vt:lpwstr>
  </property>
  <property fmtid="{D5CDD505-2E9C-101B-9397-08002B2CF9AE}" pid="5" name="BOOKLISTTMP1">
    <vt:lpwstr>5505;3585;3442</vt:lpwstr>
  </property>
  <property fmtid="{D5CDD505-2E9C-101B-9397-08002B2CF9AE}" pid="6" name="CASESLISTTMP1">
    <vt:lpwstr>13066884:3;26728216;25441697;26652207;23877203;24147174;23420882;5696849;5834975;6114657;13041923;25940140;10502269;5689213;6015465;5845310;6245391;5698660;17918227;21474576;10442754;17945760;6032952;5796872;26256014;26272196;6193046;5777082;5674009</vt:lpwstr>
  </property>
  <property fmtid="{D5CDD505-2E9C-101B-9397-08002B2CF9AE}" pid="7" name="CASESLISTTMP2">
    <vt:lpwstr>17920284</vt:lpwstr>
  </property>
  <property fmtid="{D5CDD505-2E9C-101B-9397-08002B2CF9AE}" pid="8" name="DATE">
    <vt:lpwstr>20210722</vt:lpwstr>
  </property>
  <property fmtid="{D5CDD505-2E9C-101B-9397-08002B2CF9AE}" pid="9" name="ISABSTRACT">
    <vt:lpwstr>Y</vt:lpwstr>
  </property>
  <property fmtid="{D5CDD505-2E9C-101B-9397-08002B2CF9AE}" pid="10" name="JUDGE">
    <vt:lpwstr>נ' הנדל;י' עמית;ע' גרוסקופף</vt:lpwstr>
  </property>
  <property fmtid="{D5CDD505-2E9C-101B-9397-08002B2CF9AE}" pid="11" name="LAWLISTTMP1">
    <vt:lpwstr>70301/300a.a;025.c:6;301a.b.2;300a:24;34ka:10;005.b:17;301.b:2;301b.a:2;301b.2;301b.3;025;301b:7;301b.b.1;300;301a:2;301c:3;304;300.a;034h;034;005:7;003;001;005.a;052.a;035.a;355;052.b.2;052.c;301b.b.2</vt:lpwstr>
  </property>
  <property fmtid="{D5CDD505-2E9C-101B-9397-08002B2CF9AE}" pid="12" name="LAWYER">
    <vt:lpwstr>אבי וסטרמן;אבי כהן</vt:lpwstr>
  </property>
  <property fmtid="{D5CDD505-2E9C-101B-9397-08002B2CF9AE}" pid="13" name="METAKZER">
    <vt:lpwstr>פאני</vt:lpwstr>
  </property>
  <property fmtid="{D5CDD505-2E9C-101B-9397-08002B2CF9AE}" pid="14" name="NOBOOKNEVO">
    <vt:lpwstr>2258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/>
  </property>
  <property fmtid="{D5CDD505-2E9C-101B-9397-08002B2CF9AE}" pid="19" name="NOSE14">
    <vt:lpwstr/>
  </property>
  <property fmtid="{D5CDD505-2E9C-101B-9397-08002B2CF9AE}" pid="20" name="NOSE15">
    <vt:lpwstr/>
  </property>
  <property fmtid="{D5CDD505-2E9C-101B-9397-08002B2CF9AE}" pid="21" name="NOSE16">
    <vt:lpwstr/>
  </property>
  <property fmtid="{D5CDD505-2E9C-101B-9397-08002B2CF9AE}" pid="22" name="NOSE17">
    <vt:lpwstr/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</vt:lpwstr>
  </property>
  <property fmtid="{D5CDD505-2E9C-101B-9397-08002B2CF9AE}" pid="26" name="NOSE21">
    <vt:lpwstr>ענישה</vt:lpwstr>
  </property>
  <property fmtid="{D5CDD505-2E9C-101B-9397-08002B2CF9AE}" pid="27" name="NOSE210">
    <vt:lpwstr/>
  </property>
  <property fmtid="{D5CDD505-2E9C-101B-9397-08002B2CF9AE}" pid="28" name="NOSE22">
    <vt:lpwstr>ענישה</vt:lpwstr>
  </property>
  <property fmtid="{D5CDD505-2E9C-101B-9397-08002B2CF9AE}" pid="29" name="NOSE23">
    <vt:lpwstr/>
  </property>
  <property fmtid="{D5CDD505-2E9C-101B-9397-08002B2CF9AE}" pid="30" name="NOSE24">
    <vt:lpwstr/>
  </property>
  <property fmtid="{D5CDD505-2E9C-101B-9397-08002B2CF9AE}" pid="31" name="NOSE25">
    <vt:lpwstr/>
  </property>
  <property fmtid="{D5CDD505-2E9C-101B-9397-08002B2CF9AE}" pid="32" name="NOSE26">
    <vt:lpwstr/>
  </property>
  <property fmtid="{D5CDD505-2E9C-101B-9397-08002B2CF9AE}" pid="33" name="NOSE27">
    <vt:lpwstr/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1446;1446</vt:lpwstr>
  </property>
  <property fmtid="{D5CDD505-2E9C-101B-9397-08002B2CF9AE}" pid="37" name="NOSE31">
    <vt:lpwstr>תיקון 113</vt:lpwstr>
  </property>
  <property fmtid="{D5CDD505-2E9C-101B-9397-08002B2CF9AE}" pid="38" name="NOSE310">
    <vt:lpwstr/>
  </property>
  <property fmtid="{D5CDD505-2E9C-101B-9397-08002B2CF9AE}" pid="39" name="NOSE32">
    <vt:lpwstr>דרכי ענישה: מאסר-על-תנאי</vt:lpwstr>
  </property>
  <property fmtid="{D5CDD505-2E9C-101B-9397-08002B2CF9AE}" pid="40" name="NOSE33">
    <vt:lpwstr/>
  </property>
  <property fmtid="{D5CDD505-2E9C-101B-9397-08002B2CF9AE}" pid="41" name="NOSE34">
    <vt:lpwstr/>
  </property>
  <property fmtid="{D5CDD505-2E9C-101B-9397-08002B2CF9AE}" pid="42" name="NOSE35">
    <vt:lpwstr/>
  </property>
  <property fmtid="{D5CDD505-2E9C-101B-9397-08002B2CF9AE}" pid="43" name="NOSE36">
    <vt:lpwstr/>
  </property>
  <property fmtid="{D5CDD505-2E9C-101B-9397-08002B2CF9AE}" pid="44" name="NOSE37">
    <vt:lpwstr/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15240;8960</vt:lpwstr>
  </property>
  <property fmtid="{D5CDD505-2E9C-101B-9397-08002B2CF9AE}" pid="48" name="PADIDATE">
    <vt:lpwstr>20210725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2149</vt:lpwstr>
  </property>
  <property fmtid="{D5CDD505-2E9C-101B-9397-08002B2CF9AE}" pid="52" name="PROCYEAR">
    <vt:lpwstr>20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410120210722</vt:lpwstr>
  </property>
  <property fmtid="{D5CDD505-2E9C-101B-9397-08002B2CF9AE}" pid="56" name="TYPE_N_DATE">
    <vt:lpwstr>41020210722</vt:lpwstr>
  </property>
  <property fmtid="{D5CDD505-2E9C-101B-9397-08002B2CF9AE}" pid="57" name="WORDNUMPAGES">
    <vt:lpwstr>38</vt:lpwstr>
  </property>
</Properties>
</file>