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start="6725" w:end="0"/>
              <w:jc w:val="start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2150/17</w:t>
            </w:r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start="6725"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2173/17</w:t>
            </w:r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start="6725"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2178/17</w:t>
            </w:r>
          </w:p>
        </w:tc>
      </w:tr>
    </w:tbl>
    <w:p>
      <w:pPr>
        <w:pStyle w:val="Normal"/>
        <w:spacing w:lineRule="auto" w:line="480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2150/17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2173/17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2178/17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לנוער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22.1.2017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59290-09-14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שיטרית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בניסן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9.4.2018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2150/17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אלכביר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2173/17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מוך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2178/17</w:t>
            </w:r>
            <w:r>
              <w:rPr>
                <w:rtl w:val="true"/>
              </w:rPr>
              <w:t xml:space="preserve">: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נאסר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נגה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סידי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לנוער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טלי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סמואל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5" w:name="ABSTRACT_START"/>
      <w:bookmarkEnd w:id="5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שלושה ערעורים על גז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מחוזי לנוער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שניתן בעקבות הרשעת המערערים בעבירות אלימות שבוצעו על רקע גזעני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 מוצאם הערבי של המתלוננים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הערעורים נדחו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 המאסר בעבודות שירות שהוטל על 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מגלם איזון ראוי בין גילם של 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ההליכים הטיפוליים והשיקומיים שעברו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ועתידם שעודנו לפניהם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לבין חומרת המעשים בהם הורשעו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העונשים שגזר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אינם על צד החומרה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הם הולמים את המעשים והנסיבות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אלימות על רקע לאומני‏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קטינים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שלושה ערעורים על גז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מחוזי לנוער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בגדרו נגזרו על המערערים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בעקבות הרשעתם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 הודאתם בעובדות כתב אישום מתוקן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 אלימות שבוצעו ממניע גזעני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אך בשל מוצאם הערבי של המתלוננים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 מאסר בעבודות שירות ומאסר על 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חויבו המערערים בתשלום פיצויים למתלוננים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המערער ב</w:t>
      </w:r>
      <w:hyperlink r:id="rId3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2150/17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שהורשע בתקיפה הגורמת חבלה ממשית בנסיבות מחמירות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תקיפה ממניע גזעני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הפרעה לשוטר במילוי תפקידו והעלבת עובד ציבור ממניע גזעני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הוטל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בעבודות שירות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מאסר על תנאי וכן תשלום פיצוי בסך </w:t>
      </w:r>
      <w:r>
        <w:rPr>
          <w:rFonts w:cs="Times New Roman" w:ascii="Times New Roman" w:hAnsi="Times New Roman"/>
          <w:spacing w:val="0"/>
          <w:sz w:val="24"/>
          <w:szCs w:val="26"/>
        </w:rPr>
        <w:t>4,000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המערער ב</w:t>
      </w:r>
      <w:hyperlink r:id="rId4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2173/17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שהורשע בתקיפה ממניע גזעני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הוטל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בעבודות שירות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מאסר על תנאי וכן תשלום פיצוי בסך </w:t>
      </w:r>
      <w:r>
        <w:rPr>
          <w:rFonts w:cs="Times New Roman" w:ascii="Times New Roman" w:hAnsi="Times New Roman"/>
          <w:spacing w:val="0"/>
          <w:sz w:val="24"/>
          <w:szCs w:val="26"/>
        </w:rPr>
        <w:t>2,000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 המערער ב</w:t>
      </w:r>
      <w:hyperlink r:id="rId5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2178/17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שהורשע בתקיפה הגורמת חבלה ממשית בנסיבות מחמירות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הוטל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בעבודות שירות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מאסר על תנאי וכן תשלום פיצוי בסך </w:t>
      </w:r>
      <w:r>
        <w:rPr>
          <w:rFonts w:cs="Times New Roman" w:ascii="Times New Roman" w:hAnsi="Times New Roman"/>
          <w:spacing w:val="0"/>
          <w:sz w:val="24"/>
          <w:szCs w:val="26"/>
        </w:rPr>
        <w:t>4,000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למתלונן 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2,000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 מפנים טענותיהם כלפי הרשעתם וכלפי העונש שהוטל עליהם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מפי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סולברג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הערעורים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הלכה פסוקה היא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ערכאת הערעור אינה גוזרת מחדש את דינו של 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ואינה נוטה להתערב בעונש שנקבע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זולת בנסיבות חריגות שבהן נפלה טעות מהותית בגזר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המקרה דנא אינו בא בגדרם של אותן נסיבות חריגות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המעשים חמורים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והעונש שנגזר הולם אותם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 קבע בעבר ביחס לעבירות אלימות המבוצעות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ידי קטינים על רקע גזעני כי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כאלה חותרות תחת עצם מהותנו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הן כמדינת חוק הן כמדינה יהודית ודמוקרטית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תולדותיה ועל המיעוט הלא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יהודי הגדול בתוכה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את כל משקלן הציבורי הכבד יש להטיל על כתפי המערערים הקטינים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ולכך ניתן ביטוי בביהמ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ויינתן ביטוי גם כאן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אך איני רואה להציע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פטור בלא כלום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במובן של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כן אין מנוס ככלל מהשתת עונש מאסר בפועל בתיקי גזענות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בתוך עמו הוא יושב ועליו האחריות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כשהמדובר בקטינים – כמובן תוך התחשבות בפן האינדיבידואלי ובפן השיקומי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בודאי כך בקטינים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 שקול זה יישמע ברבים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לרבות בבתי הספר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5469/13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תקיפה של זוג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היושב לתומו על ספסל בגינה ציבורית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השמעת אמירות וקללות הנוגעות למוצאם היא חמורה ביותר ומצדיקה הרשעה בדין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סטייה מכלל זה צריכה להיעשות במקרים חריגים ביותר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שאינם מתקיימים 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הדברים מקבלים משנה תוקף ביחס למערער ב</w:t>
      </w:r>
      <w:hyperlink r:id="rId6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2178/17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שנטל חלק פעיל בביצוע העבירות לכל אורך האירוע ואף הורשע בעבירות נוספות של הפרעה לעובד ציבור והעלבתו ממניע גזעני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 המאסר בעבודות שירות שהוטל על 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מגלם איזון ראוי בין גילם של 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ההליכים הטיפוליים והשיקומיים שעברו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ועתידם שעודנו לפניהם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לבין חומרת המעשים בהם הורשעו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העונשים שגזר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אינם על צד החומרה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הם הולמים את המעשים והנסיבות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לכל מערער מן השלושה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 הראוי 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6" w:name="ABSTRACT_END"/>
      <w:bookmarkStart w:id="7" w:name="ABSTRACT_END"/>
      <w:bookmarkEnd w:id="7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8" w:name="PsakDin"/>
            <w:bookmarkStart w:id="9" w:name="BeginProtocol"/>
            <w:bookmarkStart w:id="10" w:name="secretary"/>
            <w:bookmarkEnd w:id="8"/>
            <w:bookmarkEnd w:id="9"/>
            <w:bookmarkEnd w:id="10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spacing w:lineRule="auto" w:line="360"/>
        <w:ind w:end="0"/>
        <w:jc w:val="start"/>
        <w:rPr>
          <w:rFonts w:cs="Miriam"/>
          <w:sz w:val="24"/>
          <w:szCs w:val="24"/>
          <w:u w:val="single"/>
        </w:rPr>
      </w:pPr>
      <w:bookmarkStart w:id="11" w:name="Writer_Name"/>
      <w:bookmarkEnd w:id="11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2" w:name="Start_Write"/>
      <w:bookmarkStart w:id="13" w:name="Start_Write"/>
      <w:bookmarkEnd w:id="13"/>
    </w:p>
    <w:p>
      <w:pPr>
        <w:pStyle w:val="Ruller41"/>
        <w:ind w:end="0"/>
        <w:jc w:val="both"/>
        <w:rPr>
          <w:sz w:val="20"/>
        </w:rPr>
      </w:pPr>
      <w:r>
        <w:rPr/>
        <w:t>1</w:t>
      </w:r>
      <w:r>
        <w:rPr>
          <w:rtl w:val="true"/>
        </w:rPr>
        <w:t xml:space="preserve">.    </w:t>
      </w:r>
      <w:r>
        <w:rPr>
          <w:rtl w:val="true"/>
        </w:rPr>
        <w:t>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בנצרת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שיטרית</w:t>
      </w:r>
      <w:r>
        <w:rPr>
          <w:rtl w:val="true"/>
        </w:rPr>
        <w:t xml:space="preserve">)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59290-09-14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22.1.2017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חויבו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sz w:val="20"/>
        </w:rPr>
      </w:pPr>
      <w:r>
        <w:rPr>
          <w:rFonts w:cs="Century" w:ascii="Century" w:hAnsi="Century"/>
          <w:sz w:val="20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>.</w:t>
        <w:tab/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הודאתם</w:t>
      </w:r>
      <w:r>
        <w:rPr>
          <w:rtl w:val="true"/>
        </w:rPr>
        <w:t xml:space="preserve">, </w:t>
      </w:r>
      <w:r>
        <w:rPr>
          <w:rtl w:val="true"/>
        </w:rPr>
        <w:t>שניתנה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בעובדותיו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2150/17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הורשע בתקיפה הגורמת חבלה ממשית בנסיבות מחמירות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תקיפה ממניע גזעני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הפרעה לשוטר במילוי תפקידו והעלבת עובד ציבור ממניע גזעני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המערער 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2173/17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הורשע בתקיפה ממניע גזעני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והמערער 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2178/17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הורשע בתקיפה הגורמת חבלה ממשית בנסיבות מחמירות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המתלונן והמתלוננת שהו בפארק בנצרת עילית בשעה שהמערערים הגיעו למקום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יחד עם אחרים שזהותם אינה ידועה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והחלו לקרוא לעברם קריאות גזעניות הנוגעות למוצאם הערבי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המערערים פנו אל המתלונן בטענת שווא כי גנב להם מכשיר טלפון סלולרי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ובהמשך חטפו המערער ב</w:t>
      </w:r>
      <w:hyperlink r:id="rId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2150/17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והמערער 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2178/17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 המכשיר הסלולרי של המתלונן תוך שהם חונקים אותו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המתלונן נפל ארצה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והשניים החלו להכות אותו בבעיטות ובמקלות בכל חלקי גופו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כשהם מקללים אותו קללות גזעניות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המתלוננת התחננה שיפסיקו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ובשלב מסוים הצליח המתלונן לברוח מהמקום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אחז המערער 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2173/17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בירכיה של המתלוננת תוך שהוא והמערער 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2178/17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מקללים אותה קללות מיניות וגזעניות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המתלוננת ברחה מהמקום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חברהּ אל המתלונן והשניים הזעיקו את המשטרה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ניידת משטרה הגיעה למקום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המערערים 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2150/17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2178/17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הועלו אליה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במהלך שהותו בניידת קילל המערער 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2178/17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את השוטר אחמד רחייל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רחייל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קללות גזעניות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והשתולל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 שרחייל נאלץ להשתמש בגז פלפל כדי להרגיעו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כתוצאה ממעשי המערערים נגרם למתלונן חתך מדמם מעל לגבת עינו הימנית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בית המשפט המחוזי עמד על מערכת השיקולים הייחודית המופעלת בדיון על הרשעת קטינים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ואשר כוללת איזון בין האינטרס הציבורי בענישה על ביצוע עבירות לבין האינטרס של שיקום קטינים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ציין כי המערערים פגעו במעשיהם בערכים של שלמות הגוף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כבוד האדם וההגנה על שלום הציבור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מסכת האירועים בכללותה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המדגישה את הרקע הגזעני לאירועים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מעמידה את מעשיהם של המערערים באור חמור ביותר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ציין בית המשפט את הנזקים הפיזיים והנפשיים שנגרמו למתלונן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העובדה שמכשיר הטלפון שנלקח ממנו במהלך האירוע לא הושב 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ואת פוטנציאל הנזק הגבוה של עבירות האלימות הללו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מאידך גיסא עמד בית המשפט על גילם הצעיר של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העדרם של דפוסים עברייניים בהתנהגותם ועל ההליך הטיפולי המשמעותי שנטלו בו חלק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גם בחן את תסקירי שירות המבחן לגבי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בהם הומלץ להימנע מהרשעתם ולהטיל עליהם עונשי 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צ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בסיכום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ולנוכח חומרת העבירות ונסיבות ביצוען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 בית המשפט כי יש להרשיע את המערערים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במסגרת הדיון בענישת המערערים קבע בית המשפט המחוזי כי אין להחיל על המערערים את הוראות תיקון </w:t>
      </w:r>
      <w:r>
        <w:rPr>
          <w:rFonts w:cs="Century" w:ascii="Century" w:hAnsi="Century"/>
        </w:rPr>
        <w:t>113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עקרון ההלימה העומד ביסודו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דווקני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לאור גילם הצעיר ועובדת היותם קטינים בעת ביצוע העבירות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שאלו הם נתונים המאפשרים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בהתאם לדין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לבחון את הענישה בפרספקטיבה שיקומית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בתוך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ציין בית המשפט את גילם של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הודאותיהם ונטילת האחריות על מעשיהם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עברם הנקי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ההליכים השיקומיים בהם הם מצויים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וההמלצות החיוביות של שירות המבחן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בעקבות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גזר בית המשפט על המערער 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2150/17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בעבודות שירות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מאסר על תנאי וכן תשלום פיצוי בסך </w:t>
      </w:r>
      <w:r>
        <w:rPr>
          <w:rFonts w:cs="Century" w:ascii="Century" w:hAnsi="Century"/>
        </w:rPr>
        <w:t>4,000</w:t>
      </w:r>
      <w:r>
        <w:rPr>
          <w:rFonts w:cs="Century" w:ascii="Century" w:hAnsi="Century"/>
          <w:rtl w:val="true"/>
        </w:rPr>
        <w:t xml:space="preserve"> ₪ </w:t>
      </w:r>
      <w:r>
        <w:rPr>
          <w:rFonts w:ascii="Century" w:hAnsi="Century" w:cs="Century"/>
          <w:rtl w:val="true"/>
        </w:rPr>
        <w:t>למתלונן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על המערער 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2178/17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גזר בית המשפט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בעבודות שירות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מאסר על תנאי וכן תשלום פיצוי בסך </w:t>
      </w:r>
      <w:r>
        <w:rPr>
          <w:rFonts w:cs="Century" w:ascii="Century" w:hAnsi="Century"/>
        </w:rPr>
        <w:t>4,000</w:t>
      </w:r>
      <w:r>
        <w:rPr>
          <w:rFonts w:cs="Century" w:ascii="Century" w:hAnsi="Century"/>
          <w:rtl w:val="true"/>
        </w:rPr>
        <w:t xml:space="preserve"> ₪ </w:t>
      </w:r>
      <w:r>
        <w:rPr>
          <w:rFonts w:ascii="Century" w:hAnsi="Century" w:cs="Century"/>
          <w:rtl w:val="true"/>
        </w:rPr>
        <w:t>למתלונן 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2,000</w:t>
      </w:r>
      <w:r>
        <w:rPr>
          <w:rFonts w:cs="Century" w:ascii="Century" w:hAnsi="Century"/>
          <w:rtl w:val="true"/>
        </w:rPr>
        <w:t xml:space="preserve"> ₪ </w:t>
      </w:r>
      <w:r>
        <w:rPr>
          <w:rFonts w:ascii="Century" w:hAnsi="Century" w:cs="Century"/>
          <w:rtl w:val="true"/>
        </w:rPr>
        <w:t>למתלוננת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על המערער 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2173/17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גזר בית המשפט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בעבודות שירות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מאסר על תנאי וכן תשלום פיצוי בסך </w:t>
      </w:r>
      <w:r>
        <w:rPr>
          <w:rFonts w:cs="Century" w:ascii="Century" w:hAnsi="Century"/>
        </w:rPr>
        <w:t>2,000</w:t>
      </w:r>
      <w:r>
        <w:rPr>
          <w:rFonts w:cs="Century" w:ascii="Century" w:hAnsi="Century"/>
          <w:rtl w:val="true"/>
        </w:rPr>
        <w:t xml:space="preserve"> ₪ </w:t>
      </w:r>
      <w:r>
        <w:rPr>
          <w:rFonts w:ascii="Century" w:hAnsi="Century" w:cs="Century"/>
          <w:rtl w:val="true"/>
        </w:rPr>
        <w:t>למתלוננת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עיקרי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טענות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הצדדים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בערעור</w:t>
      </w:r>
    </w:p>
    <w:p>
      <w:pPr>
        <w:pStyle w:val="Ruller41"/>
        <w:ind w:end="0"/>
        <w:jc w:val="both"/>
        <w:rPr/>
      </w:pPr>
      <w:r>
        <w:rPr>
          <w:rFonts w:eastAsia="Century" w:cs="Century" w:ascii="Century" w:hAnsi="Century"/>
          <w:rtl w:val="true"/>
        </w:rPr>
        <w:t xml:space="preserve">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שלושת המערערים מפנים טענותיהם כלפי הרשעתם וכלפי העונש שהוטל עליהם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בתוך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טוען המערער 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2178/17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 בית המשפט המחוזי לא נתן משקל מספיק להיותו קטין בעת ביצוע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להליך השיקומי המשמעותי שעבר ולשיתוף הפעולה שלו עם שירות המבחן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טוען מערער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ביצע את העבירות בעת שחווה קשיים משמעותיים בחייו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ואולם הוא עושה מאמצים להחזיר את חייו למסלול נורמטיבי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מאמצים אשר הרשעתו פוגעת בהם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טוען מערער זה כי הרכיב הגזעני בעבירות בהן הורשע אינו משמעותי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לא היה ראוי להחמיר בגינו בעונשו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 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2173/17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מנמק את ערעורו בכך שחלקו היחסי במסכת האירועים היה שולי באופן יחסי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ראוי היה לבית המשפט המחוזי לקבל את עמדת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שהוגשה לבית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ולהימנע מהרשעתו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טוען מערער זה כי עבר הליך טיפולי משמעותי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הוא ממשיך במאמציו לחזור ולקיים אורך חיים תקני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לבסוף הוא טוען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ביצע את העבירה כשהוא בגילופין ובלא תכנון מוקדם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ומכאן שמעשיו אינם מצויים ברף הגבוה של חומרת העבירה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טענותיו של המערער 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2150/17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מתבססות בעיקרן על היותו קטין בעת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תהליך השיקום שעבר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שאיפתו לשוב ולחיות חיים נורמטיביים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טוען מערער זה כי ביצע את המעשים באופן ספונטאני ושלא ממניעים גזעניים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הנזק שנגרם בפועל למתלונן הריהו נמוך ביותר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לבסוף הוא טוען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ראוי לייחס משקל גם לרצונו העז לשרת בצבא בשירות קרבי משמעותי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שירות אשר נמנע ממנו בעקבות ההרשעה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  <w:tab/>
      </w:r>
      <w:r>
        <w:rPr>
          <w:sz w:val="28"/>
          <w:sz w:val="28"/>
          <w:rtl w:val="true"/>
        </w:rPr>
        <w:t>בדיון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9.4.2018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טענה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המדינה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ביותר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בהתחשב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ברקע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הגזעני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לביצוען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גרמו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לפגיעה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במתלוננים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במישור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והנפשי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וזאת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שעולה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מהצהרת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נפגע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שהגיש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לבסוף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טענה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המדינה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שִיקלל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שיקולי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השיקום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בגזירת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הוטל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יחסית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לדבריה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בעצם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הרשעתם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לפגוע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באופן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משמעותי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ביכולת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השיקום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ושילובם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בחברה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כיוון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שהרשעתם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תתיישן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בטרם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יגיעו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25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מכיוון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בהרשעה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למנוע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אפשרויות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תעסוקתיות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דוגמת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קריירת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הריקוד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האמור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לקבל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ההרשעה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sz w:val="28"/>
          <w:rtl w:val="true"/>
        </w:rPr>
        <w:t>.</w:t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נתנו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אֵלו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ואֵלו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והגענו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הלכה פסוקה היא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ערכאת הערעור אינה גוזרת מחדש את דינו של 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ואינה נוטה להתערב בעונש שנקבע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הערכאה הדיונית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זולת בנסיבות חריגות שבהן נפלה טעות מהותית בגזר הדין</w:t>
      </w:r>
      <w:r>
        <w:rPr>
          <w:rFonts w:cs="Century" w:ascii="Century" w:hAnsi="Century"/>
          <w:rtl w:val="true"/>
        </w:rPr>
        <w:t xml:space="preserve">. </w:t>
      </w:r>
      <w:r>
        <w:rPr>
          <w:sz w:val="28"/>
          <w:sz w:val="28"/>
          <w:rtl w:val="true"/>
        </w:rPr>
        <w:t>העניין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שלפנינו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בגדרם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חריגות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המעשים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שנגזר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הולם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אותם</w:t>
      </w:r>
      <w:r>
        <w:rPr>
          <w:sz w:val="28"/>
          <w:rtl w:val="true"/>
        </w:rPr>
        <w:t>.</w:t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end="0"/>
        <w:jc w:val="both"/>
        <w:rPr/>
      </w:pPr>
      <w:r>
        <w:rPr>
          <w:sz w:val="28"/>
        </w:rPr>
        <w:t>11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ביחס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אלימות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המבוצעות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ידי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קטינים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רקע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גזעני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חותרות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מהותנו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כמדינה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יהודית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ודמוקרטית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תולדותיה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המיעוט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הלא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יהודי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הגדול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בתוכה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אכן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משקלן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הציבורי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הכבד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להטיל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הקטינים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ביטוי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ויינתן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ביטוי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להציע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פטור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כלום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במובן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מנוס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מהשתת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בפועל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בתיקי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גזענות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יושב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ועליו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האחריות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כשהמדובר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בקטינים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כמובן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התחשבות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האינדיבידואלי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השיקומי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בודאי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בקטינים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יישמע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ברבים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הספר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sz w:val="28"/>
          <w:rtl w:val="true"/>
        </w:rPr>
        <w:t xml:space="preserve"> (</w:t>
      </w:r>
      <w:hyperlink r:id="rId8">
        <w:r>
          <w:rPr>
            <w:rStyle w:val="Hyperlink"/>
            <w:sz w:val="28"/>
          </w:rPr>
          <w:t>5469/13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יז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13.4.2014</w:t>
      </w:r>
      <w:r>
        <w:rPr>
          <w:sz w:val="28"/>
          <w:rtl w:val="true"/>
        </w:rPr>
        <w:t xml:space="preserve">)). </w:t>
      </w:r>
      <w:r>
        <w:rPr>
          <w:sz w:val="28"/>
          <w:sz w:val="28"/>
          <w:rtl w:val="true"/>
        </w:rPr>
        <w:t>תקיפה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זוג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היושב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לתומו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ספסל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ציבורית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השמעת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וקללות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הנוגעות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למוצאם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ביותר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ומצדיקה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הרשעה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בדין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סטייה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מכלל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צריכה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להיעשות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חריגים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ביותר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שאינם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מתקיימים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בענייננו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הדברים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מקבלים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תוקף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ביחס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sz w:val="28"/>
          <w:rtl w:val="true"/>
        </w:rPr>
        <w:t>ע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פ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2178/17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שנטל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בביצוע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האירוע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נוספות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הפרעה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לעובד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ציבור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והעלבתו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ממניע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גזעני</w:t>
      </w:r>
      <w:r>
        <w:rPr>
          <w:sz w:val="28"/>
          <w:rtl w:val="true"/>
        </w:rPr>
        <w:t>.</w:t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</w:rPr>
        <w:t>12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תסקירי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המבחן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שהונחו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לפנינו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מצביעים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רצון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מצד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להשתלב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בחברה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להמשיך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בחייהם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כסידרם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ולנהל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אורח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תקין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שירות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המבחן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נמנע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מהמלצה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ביחס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לעצם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הרשעת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המליץ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להמיר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לשל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צ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המלצה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התבססה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השאר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התרשמותו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המבחן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זקוקים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להצבת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גבולות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ולטיפול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סמכותי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המוקנים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באמצעות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עבודות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המלצת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המבחן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בענייננו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הגיונית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ומנומקת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היטב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ואולם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לענישת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תכליות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נוספות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התכלית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השיקומית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מלאכת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האיזון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התכליות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העומדות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ביסוד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הפלילי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מוטלת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בענייננו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בעבודות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שהוטל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מגלם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איזון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גילם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ההליכים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הטיפוליים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והשיקומיים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שעברו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ועתידם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שעודנו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לפניהם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חומרת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העונשים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שגזר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החומרה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הולמים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והנסיבות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השלושה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sz w:val="28"/>
          <w:rtl w:val="true"/>
        </w:rPr>
        <w:t xml:space="preserve">. </w:t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</w:rPr>
        <w:t>13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בשולי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הדברים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הביעו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רצונם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במסגרת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המפגשים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המבחן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בכתבי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הטענות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ובדיון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להתגייס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לצבא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משמעותי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אמנם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מסיבותיהם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שלהם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המערערים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לנכון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לתמוך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טענותיהם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במסמכים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המתעדים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הפעולות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שנקטו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מימוש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רצון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ואולם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תקווה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מאמצי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ההשתלבות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בצבא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פרי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לקראת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עתיד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ומיטיב</w:t>
      </w:r>
      <w:r>
        <w:rPr>
          <w:sz w:val="28"/>
          <w:rtl w:val="true"/>
        </w:rPr>
        <w:t>.</w:t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</w:rPr>
        <w:t>14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סוף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דבר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דוחים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הערעורים</w:t>
      </w:r>
      <w:r>
        <w:rPr>
          <w:sz w:val="28"/>
          <w:rtl w:val="true"/>
        </w:rPr>
        <w:t xml:space="preserve">.  </w:t>
      </w:r>
    </w:p>
    <w:p>
      <w:pPr>
        <w:pStyle w:val="Normal"/>
        <w:ind w:end="0"/>
        <w:jc w:val="start"/>
        <w:rPr>
          <w:rFonts w:ascii="Arial TUR;Arial" w:hAnsi="Arial TUR;Arial" w:cs="Arial TUR;Arial"/>
          <w:sz w:val="28"/>
        </w:rPr>
      </w:pPr>
      <w:r>
        <w:rPr>
          <w:rFonts w:cs="Arial TUR;Arial" w:ascii="Arial TUR;Arial" w:hAnsi="Arial TUR;Arial"/>
          <w:sz w:val="28"/>
          <w:rtl w:val="true"/>
        </w:rPr>
      </w:r>
    </w:p>
    <w:p>
      <w:pPr>
        <w:pStyle w:val="Ruller41"/>
        <w:ind w:end="0"/>
        <w:jc w:val="both"/>
        <w:rPr>
          <w:rFonts w:ascii="Arial TUR;Arial" w:hAnsi="Arial TUR;Arial" w:cs="Arial TUR;Arial"/>
          <w:sz w:val="28"/>
        </w:rPr>
      </w:pPr>
      <w:r>
        <w:rPr>
          <w:rFonts w:cs="Arial TUR;Arial"/>
          <w:sz w:val="28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שלושת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יתייצבו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11.6.2018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8:00</w:t>
      </w:r>
      <w:r>
        <w:rPr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המזכירות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14.5.2018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  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spacing w:lineRule="auto" w:line="480"/>
        <w:ind w:end="0"/>
        <w:jc w:val="start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16"/>
        </w:rPr>
      </w:pPr>
      <w:r>
        <w:rPr>
          <w:rFonts w:cs="FrankRuehl" w:ascii="Arial TUR;Arial" w:hAnsi="Arial TUR;Arial"/>
          <w:spacing w:val="10"/>
          <w:sz w:val="22"/>
          <w:szCs w:val="16"/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17021500</w:t>
      </w:r>
      <w:r>
        <w:rPr>
          <w:sz w:val="16"/>
          <w:rtl w:val="true"/>
        </w:rPr>
        <w:t>_</w:t>
      </w:r>
      <w:r>
        <w:rPr>
          <w:sz w:val="16"/>
        </w:rPr>
        <w:t>O05.doc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9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54678313-2150/17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1"/>
      <w:footerReference w:type="default" r:id="rId1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2150/17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069879" TargetMode="External"/><Relationship Id="rId3" Type="http://schemas.openxmlformats.org/officeDocument/2006/relationships/hyperlink" Target="http://www.nevo.co.il/case/22505624" TargetMode="External"/><Relationship Id="rId4" Type="http://schemas.openxmlformats.org/officeDocument/2006/relationships/hyperlink" Target="http://www.nevo.co.il/case/22316724" TargetMode="External"/><Relationship Id="rId5" Type="http://schemas.openxmlformats.org/officeDocument/2006/relationships/hyperlink" Target="http://www.nevo.co.il/case/22505371" TargetMode="External"/><Relationship Id="rId6" Type="http://schemas.openxmlformats.org/officeDocument/2006/relationships/hyperlink" Target="http://www.nevo.co.il/case/22505371" TargetMode="External"/><Relationship Id="rId7" Type="http://schemas.openxmlformats.org/officeDocument/2006/relationships/hyperlink" Target="http://www.nevo.co.il/case/22505624" TargetMode="External"/><Relationship Id="rId8" Type="http://schemas.openxmlformats.org/officeDocument/2006/relationships/hyperlink" Target="http://www.nevo.co.il/case/16900220" TargetMode="External"/><Relationship Id="rId9" Type="http://schemas.openxmlformats.org/officeDocument/2006/relationships/hyperlink" Target="http://www.court.gov.il/" TargetMode="External"/><Relationship Id="rId10" Type="http://schemas.openxmlformats.org/officeDocument/2006/relationships/hyperlink" Target="http://www.nevo.co.il/advertisements/nevo-100.doc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2018-05-15T11:57:00Z</dcterms:created>
  <dc:creator> </dc:creator>
  <dc:description/>
  <cp:keywords/>
  <dc:language>en-IL</dc:language>
  <cp:lastModifiedBy>orly</cp:lastModifiedBy>
  <cp:lastPrinted>2018-05-14T16:15:00Z</cp:lastPrinted>
  <dcterms:modified xsi:type="dcterms:W3CDTF">2018-05-15T11:57:00Z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פלוני;פלוני;פלוני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18069879;16900220</vt:lpwstr>
  </property>
  <property fmtid="{D5CDD505-2E9C-101B-9397-08002B2CF9AE}" pid="9" name="CITY">
    <vt:lpwstr/>
  </property>
  <property fmtid="{D5CDD505-2E9C-101B-9397-08002B2CF9AE}" pid="10" name="DATE">
    <vt:lpwstr>20180514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סולברג;י' אלרון;י' וילנר</vt:lpwstr>
  </property>
  <property fmtid="{D5CDD505-2E9C-101B-9397-08002B2CF9AE}" pid="14" name="LAWYER">
    <vt:lpwstr>נגה בן סידי;שלמה אלכביר;נג'מה הייב אבו מוך;מארון אבו נאסר;טלי סמואל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METAKZER">
    <vt:lpwstr>נעה</vt:lpwstr>
  </property>
  <property fmtid="{D5CDD505-2E9C-101B-9397-08002B2CF9AE}" pid="21" name="NEWPARTA">
    <vt:lpwstr/>
  </property>
  <property fmtid="{D5CDD505-2E9C-101B-9397-08002B2CF9AE}" pid="22" name="NEWPARTB">
    <vt:lpwstr/>
  </property>
  <property fmtid="{D5CDD505-2E9C-101B-9397-08002B2CF9AE}" pid="23" name="NEWPARTC">
    <vt:lpwstr/>
  </property>
  <property fmtid="{D5CDD505-2E9C-101B-9397-08002B2CF9AE}" pid="24" name="NEWPROC">
    <vt:lpwstr/>
  </property>
  <property fmtid="{D5CDD505-2E9C-101B-9397-08002B2CF9AE}" pid="25" name="NOSE11">
    <vt:lpwstr>עונשין</vt:lpwstr>
  </property>
  <property fmtid="{D5CDD505-2E9C-101B-9397-08002B2CF9AE}" pid="26" name="NOSE110">
    <vt:lpwstr/>
  </property>
  <property fmtid="{D5CDD505-2E9C-101B-9397-08002B2CF9AE}" pid="27" name="NOSE12">
    <vt:lpwstr>עונשין</vt:lpwstr>
  </property>
  <property fmtid="{D5CDD505-2E9C-101B-9397-08002B2CF9AE}" pid="28" name="NOSE13">
    <vt:lpwstr/>
  </property>
  <property fmtid="{D5CDD505-2E9C-101B-9397-08002B2CF9AE}" pid="29" name="NOSE14">
    <vt:lpwstr/>
  </property>
  <property fmtid="{D5CDD505-2E9C-101B-9397-08002B2CF9AE}" pid="30" name="NOSE15">
    <vt:lpwstr/>
  </property>
  <property fmtid="{D5CDD505-2E9C-101B-9397-08002B2CF9AE}" pid="31" name="NOSE16">
    <vt:lpwstr/>
  </property>
  <property fmtid="{D5CDD505-2E9C-101B-9397-08002B2CF9AE}" pid="32" name="NOSE17">
    <vt:lpwstr/>
  </property>
  <property fmtid="{D5CDD505-2E9C-101B-9397-08002B2CF9AE}" pid="33" name="NOSE18">
    <vt:lpwstr/>
  </property>
  <property fmtid="{D5CDD505-2E9C-101B-9397-08002B2CF9AE}" pid="34" name="NOSE19">
    <vt:lpwstr/>
  </property>
  <property fmtid="{D5CDD505-2E9C-101B-9397-08002B2CF9AE}" pid="35" name="NOSE1ID">
    <vt:lpwstr>77;77</vt:lpwstr>
  </property>
  <property fmtid="{D5CDD505-2E9C-101B-9397-08002B2CF9AE}" pid="36" name="NOSE21">
    <vt:lpwstr>ענישה</vt:lpwstr>
  </property>
  <property fmtid="{D5CDD505-2E9C-101B-9397-08002B2CF9AE}" pid="37" name="NOSE210">
    <vt:lpwstr/>
  </property>
  <property fmtid="{D5CDD505-2E9C-101B-9397-08002B2CF9AE}" pid="38" name="NOSE22">
    <vt:lpwstr>ענישה</vt:lpwstr>
  </property>
  <property fmtid="{D5CDD505-2E9C-101B-9397-08002B2CF9AE}" pid="39" name="NOSE23">
    <vt:lpwstr/>
  </property>
  <property fmtid="{D5CDD505-2E9C-101B-9397-08002B2CF9AE}" pid="40" name="NOSE24">
    <vt:lpwstr/>
  </property>
  <property fmtid="{D5CDD505-2E9C-101B-9397-08002B2CF9AE}" pid="41" name="NOSE25">
    <vt:lpwstr/>
  </property>
  <property fmtid="{D5CDD505-2E9C-101B-9397-08002B2CF9AE}" pid="42" name="NOSE26">
    <vt:lpwstr/>
  </property>
  <property fmtid="{D5CDD505-2E9C-101B-9397-08002B2CF9AE}" pid="43" name="NOSE27">
    <vt:lpwstr/>
  </property>
  <property fmtid="{D5CDD505-2E9C-101B-9397-08002B2CF9AE}" pid="44" name="NOSE28">
    <vt:lpwstr/>
  </property>
  <property fmtid="{D5CDD505-2E9C-101B-9397-08002B2CF9AE}" pid="45" name="NOSE29">
    <vt:lpwstr/>
  </property>
  <property fmtid="{D5CDD505-2E9C-101B-9397-08002B2CF9AE}" pid="46" name="NOSE2ID">
    <vt:lpwstr>1446;1446</vt:lpwstr>
  </property>
  <property fmtid="{D5CDD505-2E9C-101B-9397-08002B2CF9AE}" pid="47" name="NOSE31">
    <vt:lpwstr>מדיניות ענישה: עבירות אלימות על רקע לאומני‏</vt:lpwstr>
  </property>
  <property fmtid="{D5CDD505-2E9C-101B-9397-08002B2CF9AE}" pid="48" name="NOSE310">
    <vt:lpwstr/>
  </property>
  <property fmtid="{D5CDD505-2E9C-101B-9397-08002B2CF9AE}" pid="49" name="NOSE32">
    <vt:lpwstr>מדיניות ענישה: קטינים</vt:lpwstr>
  </property>
  <property fmtid="{D5CDD505-2E9C-101B-9397-08002B2CF9AE}" pid="50" name="NOSE33">
    <vt:lpwstr/>
  </property>
  <property fmtid="{D5CDD505-2E9C-101B-9397-08002B2CF9AE}" pid="51" name="NOSE34">
    <vt:lpwstr/>
  </property>
  <property fmtid="{D5CDD505-2E9C-101B-9397-08002B2CF9AE}" pid="52" name="NOSE35">
    <vt:lpwstr/>
  </property>
  <property fmtid="{D5CDD505-2E9C-101B-9397-08002B2CF9AE}" pid="53" name="NOSE36">
    <vt:lpwstr/>
  </property>
  <property fmtid="{D5CDD505-2E9C-101B-9397-08002B2CF9AE}" pid="54" name="NOSE37">
    <vt:lpwstr/>
  </property>
  <property fmtid="{D5CDD505-2E9C-101B-9397-08002B2CF9AE}" pid="55" name="NOSE38">
    <vt:lpwstr/>
  </property>
  <property fmtid="{D5CDD505-2E9C-101B-9397-08002B2CF9AE}" pid="56" name="NOSE39">
    <vt:lpwstr/>
  </property>
  <property fmtid="{D5CDD505-2E9C-101B-9397-08002B2CF9AE}" pid="57" name="NOSE3ID">
    <vt:lpwstr>16899;15724</vt:lpwstr>
  </property>
  <property fmtid="{D5CDD505-2E9C-101B-9397-08002B2CF9AE}" pid="58" name="PADIDATE">
    <vt:lpwstr>20180515</vt:lpwstr>
  </property>
  <property fmtid="{D5CDD505-2E9C-101B-9397-08002B2CF9AE}" pid="59" name="PADIMAIL">
    <vt:lpwstr>YES</vt:lpwstr>
  </property>
  <property fmtid="{D5CDD505-2E9C-101B-9397-08002B2CF9AE}" pid="60" name="PAGE">
    <vt:lpwstr/>
  </property>
  <property fmtid="{D5CDD505-2E9C-101B-9397-08002B2CF9AE}" pid="61" name="PART">
    <vt:lpwstr/>
  </property>
  <property fmtid="{D5CDD505-2E9C-101B-9397-08002B2CF9AE}" pid="62" name="PROCESS">
    <vt:lpwstr>עפ;עפ;עפ</vt:lpwstr>
  </property>
  <property fmtid="{D5CDD505-2E9C-101B-9397-08002B2CF9AE}" pid="63" name="PROCNUM">
    <vt:lpwstr>2150;2173;2178</vt:lpwstr>
  </property>
  <property fmtid="{D5CDD505-2E9C-101B-9397-08002B2CF9AE}" pid="64" name="PROCYEAR">
    <vt:lpwstr>17;17;17</vt:lpwstr>
  </property>
  <property fmtid="{D5CDD505-2E9C-101B-9397-08002B2CF9AE}" pid="65" name="PSAKDIN">
    <vt:lpwstr>פסק-דין</vt:lpwstr>
  </property>
  <property fmtid="{D5CDD505-2E9C-101B-9397-08002B2CF9AE}" pid="66" name="TYPE">
    <vt:lpwstr>1</vt:lpwstr>
  </property>
  <property fmtid="{D5CDD505-2E9C-101B-9397-08002B2CF9AE}" pid="67" name="TYPE_ABS_DATE">
    <vt:lpwstr>410120180514</vt:lpwstr>
  </property>
  <property fmtid="{D5CDD505-2E9C-101B-9397-08002B2CF9AE}" pid="68" name="TYPE_N_DATE">
    <vt:lpwstr>41020180514</vt:lpwstr>
  </property>
  <property fmtid="{D5CDD505-2E9C-101B-9397-08002B2CF9AE}" pid="69" name="VOLUME">
    <vt:lpwstr/>
  </property>
  <property fmtid="{D5CDD505-2E9C-101B-9397-08002B2CF9AE}" pid="70" name="WORDNUMPAGES">
    <vt:lpwstr>7</vt:lpwstr>
  </property>
</Properties>
</file>