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/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בשבתו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כבית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משפט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לערעורים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2163/17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2" w:name="FirstAppellant"/>
            <w:bookmarkEnd w:id="2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נתניאל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גברילוב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Miriam"/>
                <w:sz w:val="28"/>
                <w:sz w:val="28"/>
                <w:szCs w:val="24"/>
                <w:rtl w:val="true"/>
              </w:rPr>
              <w:t>ערעור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גזר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דינו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בית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המשפט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תל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אביב</w:t>
            </w:r>
            <w:r>
              <w:rPr>
                <w:rFonts w:cs="Miriam"/>
                <w:sz w:val="28"/>
                <w:szCs w:val="24"/>
                <w:rtl w:val="true"/>
              </w:rPr>
              <w:t>-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יפו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מיום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Cs w:val="24"/>
              </w:rPr>
              <w:t>24.01.2017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Miriam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Miriam"/>
                  <w:color w:val="0000FF"/>
                  <w:sz w:val="28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Miriam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 xml:space="preserve">  </w:t>
              </w:r>
              <w:r>
                <w:rPr>
                  <w:rStyle w:val="Hyperlink"/>
                  <w:rFonts w:cs="Miriam"/>
                  <w:color w:val="0000FF"/>
                  <w:sz w:val="28"/>
                  <w:szCs w:val="24"/>
                  <w:u w:val="single"/>
                </w:rPr>
                <w:t>052031-06-16</w:t>
              </w:r>
            </w:hyperlink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שניתן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Miriam"/>
                <w:sz w:val="28"/>
                <w:szCs w:val="24"/>
                <w:rtl w:val="true"/>
              </w:rPr>
              <w:t>-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ידי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כב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השופט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מ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לוי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p>
      <w:pPr>
        <w:pStyle w:val="Ruller31"/>
        <w:ind w:end="0"/>
        <w:jc w:val="start"/>
        <w:rPr/>
      </w:pPr>
      <w:r>
        <w:rPr>
          <w:rtl w:val="true"/>
        </w:rPr>
        <w:t>תאריך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הישיבה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4.3.2018</w:t>
      </w:r>
      <w:r>
        <w:rPr>
          <w:rtl w:val="true"/>
        </w:rPr>
        <w:t>)</w:t>
      </w:r>
    </w:p>
    <w:p>
      <w:pPr>
        <w:pStyle w:val="Ruller31"/>
        <w:ind w:end="0"/>
        <w:jc w:val="start"/>
        <w:rPr/>
      </w:pPr>
      <w:r>
        <w:rPr>
          <w:rtl w:val="true"/>
        </w:rPr>
      </w:r>
    </w:p>
    <w:p>
      <w:pPr>
        <w:pStyle w:val="Ruller31"/>
        <w:ind w:end="0"/>
        <w:jc w:val="start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:</w:t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נודל</w:t>
      </w:r>
    </w:p>
    <w:p>
      <w:pPr>
        <w:pStyle w:val="Ruller31"/>
        <w:ind w:end="0"/>
        <w:jc w:val="start"/>
        <w:rPr/>
      </w:pPr>
      <w:bookmarkStart w:id="3" w:name="FirstLawyer"/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bookmarkEnd w:id="3"/>
      <w:r>
        <w:rPr>
          <w:rtl w:val="true"/>
        </w:rPr>
        <w:t>ה</w:t>
      </w:r>
      <w:r>
        <w:rPr>
          <w:rtl w:val="true"/>
        </w:rPr>
        <w:t>:</w:t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קולומבוס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4" w:name="LawTable"/>
      <w:bookmarkEnd w:id="4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1973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5" w:name="ABSTRACT_START"/>
      <w:bookmarkStart w:id="6" w:name="LawTable_End"/>
      <w:bookmarkEnd w:id="5"/>
      <w:bookmarkEnd w:id="6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משהוכרז המערער כסוחר סמים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קמה חזקה שבדין הקובעת כי רכוש שנמצא בחזקתו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ייראה כרכוש שהושג בעסקת סמים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הנטל היה על המערער לסתור חזקה זו לפי מאזן ההסתברויות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ומשלא עשה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מתגבשת החזקה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עונשין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ענישה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דרכי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חילוט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דיון פלילי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חילוט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רמת ההוכחה הנדרשת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עונשין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עבירות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סמים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החלטת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מחוזי לחלט רכב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הרשום 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אחר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ומזומנים שנתפסו בחזקת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משהוכרז כסוחר סמים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וזאת בהתאם </w:t>
      </w:r>
      <w:hyperlink r:id="rId8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לסעיפים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36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hyperlink r:id="rId9"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בצירוף </w:t>
      </w:r>
      <w:hyperlink r:id="rId10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31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6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11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פקודת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הסמים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המסוכנים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[</w:t>
      </w:r>
      <w:r>
        <w:rPr>
          <w:rFonts w:ascii="Times New Roman" w:hAnsi="Times New Roman" w:cs="Times New Roman"/>
          <w:spacing w:val="0"/>
          <w:szCs w:val="26"/>
          <w:rtl w:val="true"/>
        </w:rPr>
        <w:t>נוסח חדש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], </w:t>
      </w:r>
      <w:r>
        <w:rPr>
          <w:rFonts w:ascii="Times New Roman" w:hAnsi="Times New Roman" w:cs="Times New Roman"/>
          <w:spacing w:val="0"/>
          <w:szCs w:val="26"/>
          <w:rtl w:val="true"/>
        </w:rPr>
        <w:t>התשל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1973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אלרון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hyperlink r:id="rId12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36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ל</w:t>
      </w:r>
      <w:hyperlink r:id="rId13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פקודת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הסמים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המסוכנים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דן בסמכות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להורות על חילוט רכוש בהליך פלילי בגין עבירות סמים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ובתוך כך קובע בסעיף משנה </w:t>
      </w:r>
      <w:hyperlink r:id="rId14"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 משהוכרז אדם כסוחר סמים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יצווה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בגזר הדין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כי בנוסף לכל עונש יחולט לאוצר המדינה כל רכוש של הנידון שהושג בעבירה של עסקת סמים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אם כן סבר שלא לעשות כן מנימוקים מיוחדים שיפרט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"; </w:t>
      </w:r>
      <w:r>
        <w:rPr>
          <w:rFonts w:ascii="Times New Roman" w:hAnsi="Times New Roman" w:cs="Times New Roman"/>
          <w:spacing w:val="0"/>
          <w:szCs w:val="26"/>
          <w:rtl w:val="true"/>
        </w:rPr>
        <w:t>רבות נכתב על תכליות החילוט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ביניהן תכלית הרתעתית וייעול האכיפה כלפי עבירות סמים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אותן מבקש אמצעי החילוט להגשים באמצעות פגיעה כלכלית במבצעיהן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וזאת מתוך הבנה כי הרווח הכלכלי הצומח מעבירות אלו מהווה מניע מרכזי לביצוען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בהתאם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ולנוכח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הקושי לייחס סכום פלוני לעסקת סמים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עוגנו ב</w:t>
      </w:r>
      <w:hyperlink r:id="rId15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פקודת הסמים המסוכנים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חזקות המעבירות את נטל ההוכחה לעניין מקור הרכוש שחילוטו מתבקש והבעלות עליו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 כתפי אדם שהוכרז כסוחר סמים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במסגרת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קובע </w:t>
      </w:r>
      <w:hyperlink r:id="rId16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31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6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לפקודה כי רכוש של סוחר סמים ייראה כרכוש שהושג בעבירה של עסקת סמים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אם כן הוכיח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האמצעים להשגת הרכוש היו חוקיים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לעניין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ממשיך הסעיף וקובע כי כל רכוש שנמצא בחזקתו או בחשבונו של סוחר סמים ייראה כרכוש שלו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אם כן הוכיח שהרכוש הוא של זולתו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נטל ההוכחה המוטל על כתפי סוחר הסמים להפריך חזקות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הינו ברמה של הטיית מאזן ההסתברויות לטובתו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במקרה דנן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קבע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בעניין הכספים כי לא עלה בידי המערער להפריך את החזקה בדבר מקורם בעסקאות סמים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מאחר שלא הביא ראיות או השמיע עדים שיתמכו בגרסתו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אומנם העובדה כי הכספים נמצאו בשטרות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קטנים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יכולה לכאורה לפעול לטובת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ולחזק גרסתו לפיה מקורם בעבודתו כמתופף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יחד 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העניין ובהיעדר ראיה אחרת העשויה לתמוך בגרסתו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נמצא להתערב בקביעת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לפיה המערער לא עמד בנטל המוטל עליו בעניין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כאמור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טענת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לפיה היה על המשיבה להפריך את גרסתו בדבר מקור הכספים – נדחתה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משהוכרז המערער כסוחר סמים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קמה חזקה שבדין הקובעת כי רכוש שנמצא בחזקתו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ייראה כרכוש שהושג בעסקת סמים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הנטל היה על המערער לסתור חזקה זו לפי מאזן ההסתברויות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ומשלא עשה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מתגבשת החזקה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הרכב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החלטת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הבעלות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נתמכה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הבעלים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הרכב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וחאיב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השכיר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להעדיף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חאיב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ובזיכרון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שהוצג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משהתרשם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להעדיף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שנתמכה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שהוצגה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לנוכח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הבעלות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ברכב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נותרה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החזקה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ברכב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הצליח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לסתור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וממילא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חילוט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הרכב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יסודה</w:t>
      </w:r>
      <w:r>
        <w:rPr>
          <w:rFonts w:cs="FrankRuehl"/>
          <w:sz w:val="24"/>
          <w:szCs w:val="26"/>
          <w:rtl w:val="true"/>
        </w:rPr>
        <w:t>.</w:t>
      </w:r>
      <w:bookmarkStart w:id="7" w:name="ABSTRACT_END"/>
      <w:bookmarkEnd w:id="7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8" w:name="PsakDin"/>
            <w:bookmarkStart w:id="9" w:name="BeginProtocol"/>
            <w:bookmarkStart w:id="10" w:name="secretary"/>
            <w:bookmarkEnd w:id="8"/>
            <w:bookmarkEnd w:id="9"/>
            <w:bookmarkEnd w:id="10"/>
            <w:r>
              <w:rPr>
                <w:rtl w:val="true"/>
              </w:rPr>
              <w:t>פסק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1" w:name="Writer_Name"/>
      <w:bookmarkStart w:id="12" w:name="Writer_Name"/>
      <w:bookmarkEnd w:id="12"/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  <w:u w:val="single"/>
        </w:rPr>
      </w:pPr>
      <w:bookmarkStart w:id="13" w:name="Start_Write"/>
      <w:bookmarkEnd w:id="13"/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אלרון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  <w:u w:val="single"/>
        </w:rPr>
      </w:pP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בתל</w:t>
      </w:r>
      <w:r>
        <w:rPr>
          <w:rtl w:val="true"/>
        </w:rPr>
        <w:t>-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Century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ב</w:t>
      </w:r>
      <w:hyperlink r:id="rId1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52031-06-16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מיום </w:t>
      </w:r>
      <w:r>
        <w:rPr>
          <w:rFonts w:cs="Century" w:ascii="Century" w:hAnsi="Century"/>
        </w:rPr>
        <w:t>24.1.2017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לחלט רכב ומזומנים שנתפסו בחזקת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משהוכרז כסוחר סמים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וזאת בהתאם </w:t>
      </w:r>
      <w:hyperlink r:id="rId1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לסעיפים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36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hyperlink r:id="rId19"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בצירוף </w:t>
      </w:r>
      <w:hyperlink r:id="rId2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cs="Century" w:ascii="Century" w:hAnsi="Century"/>
            <w:color w:val="0000FF"/>
            <w:u w:val="single"/>
          </w:rPr>
          <w:t>6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המסוכנים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נוסח חדש</w:t>
      </w:r>
      <w:r>
        <w:rPr>
          <w:rFonts w:cs="Century" w:ascii="Century" w:hAnsi="Century"/>
          <w:rtl w:val="true"/>
        </w:rPr>
        <w:t xml:space="preserve">],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1973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עובדתי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המערער 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הודאתו במסגרת הסדר טיעון</w:t>
      </w:r>
      <w:r>
        <w:rPr>
          <w:rtl w:val="true"/>
        </w:rPr>
        <w:t xml:space="preserve">, </w:t>
      </w:r>
      <w:r>
        <w:rPr>
          <w:rtl w:val="true"/>
        </w:rPr>
        <w:t>בעבירות של החזקת סם מסוכן שלא לצריכה עצמית</w:t>
      </w:r>
      <w:r>
        <w:rPr>
          <w:rtl w:val="true"/>
        </w:rPr>
        <w:t xml:space="preserve">, </w:t>
      </w:r>
      <w:r>
        <w:rPr>
          <w:rtl w:val="true"/>
        </w:rPr>
        <w:t>סחר בסם מסוכן</w:t>
      </w:r>
      <w:r>
        <w:rPr>
          <w:rtl w:val="true"/>
        </w:rPr>
        <w:t xml:space="preserve">, </w:t>
      </w:r>
      <w:r>
        <w:rPr>
          <w:rtl w:val="true"/>
        </w:rPr>
        <w:t>שיבוש מהלכי משפט</w:t>
      </w:r>
      <w:r>
        <w:rPr>
          <w:rtl w:val="true"/>
        </w:rPr>
        <w:t xml:space="preserve">, </w:t>
      </w:r>
      <w:r>
        <w:rPr>
          <w:rtl w:val="true"/>
        </w:rPr>
        <w:t>הפרעה לשוטר בשעת מילוי תפקידו</w:t>
      </w:r>
      <w:r>
        <w:rPr>
          <w:rtl w:val="true"/>
        </w:rPr>
        <w:t xml:space="preserve">, </w:t>
      </w:r>
      <w:r>
        <w:rPr>
          <w:rtl w:val="true"/>
        </w:rPr>
        <w:t>הדחה בחקירה בנסיבות מחמירות</w:t>
      </w:r>
      <w:r>
        <w:rPr>
          <w:rtl w:val="true"/>
        </w:rPr>
        <w:t xml:space="preserve">, </w:t>
      </w:r>
      <w:r>
        <w:rPr>
          <w:rtl w:val="true"/>
        </w:rPr>
        <w:t>נהיגה ללא רישיון נהיגה ונהיגה ללא ביטוח חובה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בגין עבירות אלה נגזרו על המערער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 בפועל לצד עונשים נלווים</w:t>
      </w:r>
      <w:r>
        <w:rPr>
          <w:rtl w:val="true"/>
        </w:rPr>
        <w:t xml:space="preserve">, </w:t>
      </w:r>
      <w:r>
        <w:rPr>
          <w:rtl w:val="true"/>
        </w:rPr>
        <w:t>שאינם מעניין הערעור דנן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בד בבד עם הגשת כתב האישום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ביקשה המשיבה להכריז על המערער כסוחר סמים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ולחלט רכב מסוג מאזדה </w:t>
      </w:r>
      <w:r>
        <w:rPr>
          <w:rFonts w:cs="Century" w:ascii="Century" w:hAnsi="Century"/>
          <w:sz w:val="22"/>
        </w:rPr>
        <w:t>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מס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 xml:space="preserve">רישוי </w:t>
      </w:r>
      <w:r>
        <w:rPr>
          <w:rFonts w:cs="Century" w:ascii="Century" w:hAnsi="Century"/>
          <w:sz w:val="22"/>
        </w:rPr>
        <w:t>79-917-64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הרכב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שנתפס בחזקתו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אך רשום על שם אחד מוחמד אבו סייף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סייף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>וכן כסף מזומן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שאף הוא נתפס בחזקתו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בסך </w:t>
      </w:r>
      <w:r>
        <w:rPr>
          <w:rFonts w:cs="Century" w:ascii="Century" w:hAnsi="Century"/>
          <w:sz w:val="22"/>
        </w:rPr>
        <w:t>5,040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ח ו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212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דולר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הכספים</w:t>
      </w:r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בדיון בפני בית משפט קמא ובמסגרת הסדר הטיעון</w:t>
      </w:r>
      <w:r>
        <w:rPr>
          <w:rtl w:val="true"/>
        </w:rPr>
        <w:t xml:space="preserve">, </w:t>
      </w:r>
      <w:r>
        <w:rPr>
          <w:rtl w:val="true"/>
        </w:rPr>
        <w:t>הוסכם כי המערער יוכרז כסוחר סמים</w:t>
      </w:r>
      <w:r>
        <w:rPr>
          <w:rtl w:val="true"/>
        </w:rPr>
        <w:t xml:space="preserve">, </w:t>
      </w:r>
      <w:r>
        <w:rPr>
          <w:rtl w:val="true"/>
        </w:rPr>
        <w:t>ולעניין החילוט המבוקש תובאנה ראיות הצדדים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קמא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המחלוקת בין הצדדים נסבה על סוגיית מקור הכספים שחילוטם התבקש</w:t>
      </w:r>
      <w:r>
        <w:rPr>
          <w:rtl w:val="true"/>
        </w:rPr>
        <w:t xml:space="preserve">, </w:t>
      </w:r>
      <w:r>
        <w:rPr>
          <w:rtl w:val="true"/>
        </w:rPr>
        <w:t>ועל סוגיית הבעלות על הרכב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בבית משפט קמא נשמעו עדותם של המערער שלפנינו</w:t>
      </w:r>
      <w:r>
        <w:rPr>
          <w:rtl w:val="true"/>
        </w:rPr>
        <w:t xml:space="preserve">, </w:t>
      </w:r>
      <w:r>
        <w:rPr>
          <w:rtl w:val="true"/>
        </w:rPr>
        <w:t>עדותו של אבו סייף</w:t>
      </w:r>
      <w:r>
        <w:rPr>
          <w:rtl w:val="true"/>
        </w:rPr>
        <w:t xml:space="preserve">, </w:t>
      </w:r>
      <w:r>
        <w:rPr>
          <w:rtl w:val="true"/>
        </w:rPr>
        <w:t xml:space="preserve">אשר על פי הנטען מכר את הרכב למערער וללירן חאיב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חאיב</w:t>
      </w:r>
      <w:r>
        <w:rPr>
          <w:rtl w:val="true"/>
        </w:rPr>
        <w:t xml:space="preserve">), </w:t>
      </w:r>
      <w:r>
        <w:rPr>
          <w:rtl w:val="true"/>
        </w:rPr>
        <w:t>ועדותו של זה האחרון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הוצגו מסמכים</w:t>
      </w:r>
      <w:r>
        <w:rPr>
          <w:rtl w:val="true"/>
        </w:rPr>
        <w:t xml:space="preserve">, </w:t>
      </w:r>
      <w:r>
        <w:rPr>
          <w:rtl w:val="true"/>
        </w:rPr>
        <w:t xml:space="preserve">ובכלל זה זיכרון דברים שבין אבו סייף לחאיב </w:t>
      </w:r>
      <w:r>
        <w:rPr>
          <w:rtl w:val="true"/>
        </w:rPr>
        <w:t>(</w:t>
      </w:r>
      <w:r>
        <w:rPr>
          <w:rtl w:val="true"/>
        </w:rPr>
        <w:t>עליו הוא חתום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>
          <w:rFonts w:ascii="Century" w:hAnsi="Century" w:cs="Century"/>
        </w:rPr>
      </w:pPr>
      <w:r>
        <w:rPr>
          <w:rtl w:val="true"/>
        </w:rPr>
        <w:t xml:space="preserve">המשיבה נסמכה בבקשה לחלט את רכושו של המערער </w:t>
      </w:r>
      <w:r>
        <w:rPr>
          <w:rtl w:val="true"/>
        </w:rPr>
        <w:t>(</w:t>
      </w:r>
      <w:r>
        <w:rPr>
          <w:rtl w:val="true"/>
        </w:rPr>
        <w:t>הרכב והכספים</w:t>
      </w:r>
      <w:r>
        <w:rPr>
          <w:rtl w:val="true"/>
        </w:rPr>
        <w:t xml:space="preserve">) </w:t>
      </w:r>
      <w:r>
        <w:rPr>
          <w:rtl w:val="true"/>
        </w:rPr>
        <w:t xml:space="preserve">על שתי חזקות המעוגנות </w:t>
      </w:r>
      <w:r>
        <w:rPr>
          <w:rFonts w:ascii="Century" w:hAnsi="Century" w:cs="Century"/>
          <w:rtl w:val="true"/>
        </w:rPr>
        <w:t>ב</w:t>
      </w:r>
      <w:hyperlink r:id="rId2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המסוכנים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נוסח חדש</w:t>
      </w:r>
      <w:r>
        <w:rPr>
          <w:rFonts w:cs="Century" w:ascii="Century" w:hAnsi="Century"/>
          <w:rtl w:val="true"/>
        </w:rPr>
        <w:t xml:space="preserve">],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1973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המסוכנים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האחת קובעת כי רכוש של סוחר סמים ייראה כרכוש שהושג בעבירה של עסקת סמים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אם כן הוכיח הלה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האמצעים להשגתו היו חוקיים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השנייה עניינה ברכוש שנמצא בחזקת סוחר סמים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ולפיה רכוש זה ייראה כרכוש שלו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אם כן הוכיח שהרכוש הוא של זולתו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לשיטת המשיבה</w:t>
      </w:r>
      <w:r>
        <w:rPr>
          <w:rtl w:val="true"/>
        </w:rPr>
        <w:t xml:space="preserve">, </w:t>
      </w:r>
      <w:r>
        <w:rPr>
          <w:rtl w:val="true"/>
        </w:rPr>
        <w:t>המערער לא עמד בנטל המוטל עליו לסתור את החזקות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ומשכך יש לראות ברכוש שנתפס בחזקתו כרכוש שהושג בעסקאות סמים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לגישתה</w:t>
      </w:r>
      <w:r>
        <w:rPr>
          <w:rtl w:val="true"/>
        </w:rPr>
        <w:t xml:space="preserve">, </w:t>
      </w:r>
      <w:r>
        <w:rPr>
          <w:rtl w:val="true"/>
        </w:rPr>
        <w:t>הרכב נרכש על</w:t>
      </w:r>
      <w:r>
        <w:rPr>
          <w:rtl w:val="true"/>
        </w:rPr>
        <w:t>-</w:t>
      </w:r>
      <w:r>
        <w:rPr>
          <w:rtl w:val="true"/>
        </w:rPr>
        <w:t>ידי המערער מאבו סייף</w:t>
      </w:r>
      <w:r>
        <w:rPr>
          <w:rtl w:val="true"/>
        </w:rPr>
        <w:t xml:space="preserve">, </w:t>
      </w:r>
      <w:r>
        <w:rPr>
          <w:rtl w:val="true"/>
        </w:rPr>
        <w:t>אולם לא נרשם על שמו מאחר שטרם הועברה מלוא התמורה על</w:t>
      </w:r>
      <w:r>
        <w:rPr>
          <w:rtl w:val="true"/>
        </w:rPr>
        <w:t>-</w:t>
      </w:r>
      <w:r>
        <w:rPr>
          <w:rtl w:val="true"/>
        </w:rPr>
        <w:t>ידו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טען המערער כי לא הוכח שמקור הכספים בעסקאות סמים</w:t>
      </w:r>
      <w:r>
        <w:rPr>
          <w:rtl w:val="true"/>
        </w:rPr>
        <w:t xml:space="preserve">, </w:t>
      </w:r>
      <w:r>
        <w:rPr>
          <w:rtl w:val="true"/>
        </w:rPr>
        <w:t>וציין כי מקורם בעבודתו כמתופף</w:t>
      </w:r>
      <w:r>
        <w:rPr>
          <w:rtl w:val="true"/>
        </w:rPr>
        <w:t xml:space="preserve">, </w:t>
      </w:r>
      <w:r>
        <w:rPr>
          <w:rtl w:val="true"/>
        </w:rPr>
        <w:t>תוך שהוא מפנה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לאמור בהודעותיו במשטרה</w:t>
      </w:r>
      <w:r>
        <w:rPr>
          <w:rtl w:val="true"/>
        </w:rPr>
        <w:t xml:space="preserve">, </w:t>
      </w:r>
      <w:r>
        <w:rPr>
          <w:rtl w:val="true"/>
        </w:rPr>
        <w:t xml:space="preserve">ולעובדה כי הכספים נמצאו בשטרות </w:t>
      </w:r>
      <w:r>
        <w:rPr>
          <w:rtl w:val="true"/>
        </w:rPr>
        <w:t>"</w:t>
      </w:r>
      <w:r>
        <w:rPr>
          <w:rtl w:val="true"/>
        </w:rPr>
        <w:t>קטנים</w:t>
      </w:r>
      <w:r>
        <w:rPr>
          <w:rtl w:val="true"/>
        </w:rPr>
        <w:t xml:space="preserve">",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שלשיטתו</w:t>
      </w:r>
      <w:r>
        <w:rPr>
          <w:rtl w:val="true"/>
        </w:rPr>
        <w:t xml:space="preserve">, </w:t>
      </w:r>
      <w:r>
        <w:rPr>
          <w:rtl w:val="true"/>
        </w:rPr>
        <w:t>מחזק את גרסתו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בעניין הרכב</w:t>
      </w:r>
      <w:r>
        <w:rPr>
          <w:rtl w:val="true"/>
        </w:rPr>
        <w:t xml:space="preserve">, </w:t>
      </w:r>
      <w:r>
        <w:rPr>
          <w:rtl w:val="true"/>
        </w:rPr>
        <w:t>טען המערער כי הושכר לו ואינו בבעלותו</w:t>
      </w:r>
      <w:r>
        <w:rPr>
          <w:rtl w:val="true"/>
        </w:rPr>
        <w:t xml:space="preserve">, </w:t>
      </w:r>
      <w:r>
        <w:rPr>
          <w:rtl w:val="true"/>
        </w:rPr>
        <w:t xml:space="preserve">והסביר כי זיכרון הדברים נערך </w:t>
      </w:r>
      <w:r>
        <w:rPr>
          <w:rtl w:val="true"/>
        </w:rPr>
        <w:t>"</w:t>
      </w:r>
      <w:r>
        <w:rPr>
          <w:rtl w:val="true"/>
        </w:rPr>
        <w:t>למראית עין</w:t>
      </w:r>
      <w:r>
        <w:rPr>
          <w:rtl w:val="true"/>
        </w:rPr>
        <w:t xml:space="preserve">" </w:t>
      </w:r>
      <w:r>
        <w:rPr>
          <w:rtl w:val="true"/>
        </w:rPr>
        <w:t>על מנת להבטיח את אבו סייף מפני נזקים שייגרמו לרכב עת נמצא בשימושם של חאיב והמערער</w:t>
      </w:r>
      <w:r>
        <w:rPr>
          <w:rtl w:val="true"/>
        </w:rPr>
        <w:t xml:space="preserve">. </w:t>
      </w:r>
      <w:r>
        <w:rPr>
          <w:rtl w:val="true"/>
        </w:rPr>
        <w:t>לחלופין טען כי העסקה נערכה בין אבו סייף לחאיב</w:t>
      </w:r>
      <w:r>
        <w:rPr>
          <w:rtl w:val="true"/>
        </w:rPr>
        <w:t xml:space="preserve">, </w:t>
      </w:r>
      <w:r>
        <w:rPr>
          <w:rtl w:val="true"/>
        </w:rPr>
        <w:t>החתום על זיכרון הדברים כאמור</w:t>
      </w:r>
      <w:r>
        <w:rPr>
          <w:rtl w:val="true"/>
        </w:rPr>
        <w:t xml:space="preserve">, </w:t>
      </w:r>
      <w:r>
        <w:rPr>
          <w:rtl w:val="true"/>
        </w:rPr>
        <w:t>כאשר אין לאחרון קשר לעבירות בהן הורשע המערער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בית משפט קמא קבע כי לא עלה בידי המערער לסתור את החזקות המעוגנות ב</w:t>
      </w:r>
      <w:hyperlink r:id="rId2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 לפי מאזן ההסתברויות</w:t>
      </w:r>
      <w:r>
        <w:rPr>
          <w:rtl w:val="true"/>
        </w:rPr>
        <w:t xml:space="preserve">, </w:t>
      </w:r>
      <w:r>
        <w:rPr>
          <w:rtl w:val="true"/>
        </w:rPr>
        <w:t>הן בעניין הכספים והן בעניין הרכב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בהתייחס לכספים</w:t>
      </w:r>
      <w:r>
        <w:rPr>
          <w:rtl w:val="true"/>
        </w:rPr>
        <w:t xml:space="preserve">, </w:t>
      </w:r>
      <w:r>
        <w:rPr>
          <w:rtl w:val="true"/>
        </w:rPr>
        <w:t>ציין בית משפט קמא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חקירתו</w:t>
      </w:r>
      <w:r>
        <w:rPr>
          <w:rtl w:val="true"/>
        </w:rPr>
        <w:t xml:space="preserve">)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מעבודתו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כמתופף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במסמכים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>".</w:t>
      </w:r>
    </w:p>
    <w:p>
      <w:pPr>
        <w:pStyle w:val="Ruller4"/>
        <w:ind w:end="0"/>
        <w:jc w:val="both"/>
        <w:rPr>
          <w:color w:val="FF0000"/>
        </w:rPr>
      </w:pPr>
      <w:r>
        <w:rPr>
          <w:color w:val="FF0000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ומשהוכרז המערער כסוחר סמים</w:t>
      </w:r>
      <w:r>
        <w:rPr>
          <w:rtl w:val="true"/>
        </w:rPr>
        <w:t xml:space="preserve">, </w:t>
      </w:r>
      <w:r>
        <w:rPr>
          <w:rtl w:val="true"/>
        </w:rPr>
        <w:t>לא עלה בידו לסתור את החזקה</w:t>
      </w:r>
      <w:r>
        <w:rPr>
          <w:rtl w:val="true"/>
        </w:rPr>
        <w:t xml:space="preserve">, </w:t>
      </w:r>
      <w:r>
        <w:rPr>
          <w:rtl w:val="true"/>
        </w:rPr>
        <w:t>לפיה מקור הכספים בעסקאות סמים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באשר לרכב</w:t>
      </w:r>
      <w:r>
        <w:rPr>
          <w:rtl w:val="true"/>
        </w:rPr>
        <w:t xml:space="preserve">, </w:t>
      </w:r>
      <w:r>
        <w:rPr>
          <w:rtl w:val="true"/>
        </w:rPr>
        <w:t>מצא בית משפט קמא ליתן אמון בעדותו של אבו סייף</w:t>
      </w:r>
      <w:r>
        <w:rPr>
          <w:rtl w:val="true"/>
        </w:rPr>
        <w:t xml:space="preserve">, </w:t>
      </w:r>
      <w:r>
        <w:rPr>
          <w:rtl w:val="true"/>
        </w:rPr>
        <w:t>לפיה סוכם בינו לבין המערער על מכירת הרכב ולא על השכרתו</w:t>
      </w:r>
      <w:r>
        <w:rPr>
          <w:rtl w:val="true"/>
        </w:rPr>
        <w:t xml:space="preserve">. </w:t>
      </w:r>
      <w:r>
        <w:rPr>
          <w:rtl w:val="true"/>
        </w:rPr>
        <w:t>זאת בשים לב לזיכרון הדברים</w:t>
      </w:r>
      <w:r>
        <w:rPr>
          <w:rtl w:val="true"/>
        </w:rPr>
        <w:t xml:space="preserve">, </w:t>
      </w:r>
      <w:r>
        <w:rPr>
          <w:rtl w:val="true"/>
        </w:rPr>
        <w:t>אשר על אף שחתום על</w:t>
      </w:r>
      <w:r>
        <w:rPr>
          <w:rtl w:val="true"/>
        </w:rPr>
        <w:t>-</w:t>
      </w:r>
      <w:r>
        <w:rPr>
          <w:rtl w:val="true"/>
        </w:rPr>
        <w:t>ידי חאיב</w:t>
      </w:r>
      <w:r>
        <w:rPr>
          <w:rtl w:val="true"/>
        </w:rPr>
        <w:t xml:space="preserve">, </w:t>
      </w:r>
      <w:r>
        <w:rPr>
          <w:rtl w:val="true"/>
        </w:rPr>
        <w:t>צוין כי מכלול הראיות מלמד שהעסקה בוצעה מטעם המערער</w:t>
      </w:r>
      <w:r>
        <w:rPr>
          <w:rtl w:val="true"/>
        </w:rPr>
        <w:t xml:space="preserve">. </w:t>
      </w:r>
      <w:r>
        <w:rPr>
          <w:rtl w:val="true"/>
        </w:rPr>
        <w:t>משקבע בית משפט קמא כי הרכב שייך למערער</w:t>
      </w:r>
      <w:r>
        <w:rPr>
          <w:rtl w:val="true"/>
        </w:rPr>
        <w:t xml:space="preserve">, </w:t>
      </w:r>
      <w:r>
        <w:rPr>
          <w:rtl w:val="true"/>
        </w:rPr>
        <w:t>קמה החזקה לפיה מקורו בעסקאות סמים</w:t>
      </w:r>
      <w:r>
        <w:rPr>
          <w:rtl w:val="true"/>
        </w:rPr>
        <w:t xml:space="preserve">, </w:t>
      </w:r>
      <w:r>
        <w:rPr>
          <w:rtl w:val="true"/>
        </w:rPr>
        <w:t>אותה המערער לא הצליח לסתור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וראיותיו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המחירון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הנקוב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בזיכרון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שלשיטת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מכר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לנוכח האמור</w:t>
      </w:r>
      <w:r>
        <w:rPr>
          <w:rtl w:val="true"/>
        </w:rPr>
        <w:t xml:space="preserve">, </w:t>
      </w:r>
      <w:r>
        <w:rPr>
          <w:rtl w:val="true"/>
        </w:rPr>
        <w:t>ומשהמערער לא הצליח לסתור את החזקות המעוגנות ב</w:t>
      </w:r>
      <w:hyperlink r:id="rId2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, </w:t>
      </w:r>
      <w:r>
        <w:rPr>
          <w:rtl w:val="true"/>
        </w:rPr>
        <w:t>קבע בית משפט קמא כי מקור הכספים והרכב בעסקאות סמים</w:t>
      </w:r>
      <w:r>
        <w:rPr>
          <w:rtl w:val="true"/>
        </w:rPr>
        <w:t xml:space="preserve">, </w:t>
      </w:r>
      <w:r>
        <w:rPr>
          <w:rtl w:val="true"/>
        </w:rPr>
        <w:t>והורה על חילוטם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על חילוט זה הוגש הערעור דנן ונערך דיון בפנינו</w:t>
      </w:r>
      <w:r>
        <w:rPr>
          <w:rtl w:val="true"/>
        </w:rPr>
        <w:t xml:space="preserve">, </w:t>
      </w:r>
      <w:r>
        <w:rPr>
          <w:rtl w:val="true"/>
        </w:rPr>
        <w:t>במסגרתו חזרו הצדדים על טיעוניהם בבית משפט קמא בדבר מקור הכספים ובדבר הבעלות על הרכב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טען המערער כי שגה בית משפט קמא עת קבע כי הלה לא עמד בנטל המוטל עליו להוכיח את מקור הכספים לפי מאזן ההסתברויות</w:t>
      </w:r>
      <w:r>
        <w:rPr>
          <w:rtl w:val="true"/>
        </w:rPr>
        <w:t xml:space="preserve">, </w:t>
      </w:r>
      <w:r>
        <w:rPr>
          <w:rtl w:val="true"/>
        </w:rPr>
        <w:t>בשים לב לעובדה כי המערער היה במעצר</w:t>
      </w:r>
      <w:r>
        <w:rPr>
          <w:rtl w:val="true"/>
        </w:rPr>
        <w:t xml:space="preserve">, </w:t>
      </w:r>
      <w:r>
        <w:rPr>
          <w:rtl w:val="true"/>
        </w:rPr>
        <w:t>ויכולתו להביא ראיות להוכחת גרסתו מוגבלת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לאחר שעיינו בערעור ובנספחיו ושמענו את טיעוני הצדדים</w:t>
      </w:r>
      <w:r>
        <w:rPr>
          <w:rtl w:val="true"/>
        </w:rPr>
        <w:t xml:space="preserve">, </w:t>
      </w:r>
      <w:r>
        <w:rPr>
          <w:rtl w:val="true"/>
        </w:rPr>
        <w:t>באנו לכלל מסקנה כי דין הערעור להידחות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לא בנקל תתערב ערכאת הערעור בקביעותיה העובדתיות של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שבחנה את חומר הראיות והתרשמה באופן בלתי אמצעי מהעדים שבאו בפניה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2127/17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עלוש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נגד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32</w:t>
      </w:r>
      <w:r>
        <w:rPr>
          <w:rtl w:val="true"/>
        </w:rPr>
        <w:t xml:space="preserve"> (</w:t>
      </w:r>
      <w:r>
        <w:rPr/>
        <w:t>28.2.2018</w:t>
      </w:r>
      <w:r>
        <w:rPr>
          <w:rtl w:val="true"/>
        </w:rPr>
        <w:t>)).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לא מצאנו כי המקרה דנן מצדיק התערבות בהכרעותיו העובדתיות של בית משפט קמא בעניין מקור הכספים ובעניין הבעלות על הרכב</w:t>
      </w:r>
      <w:r>
        <w:rPr>
          <w:rtl w:val="true"/>
        </w:rPr>
        <w:t xml:space="preserve">, </w:t>
      </w:r>
      <w:r>
        <w:rPr>
          <w:rtl w:val="true"/>
        </w:rPr>
        <w:t>המבוססות על הערכת מהימנות העדים ועל הראיות שהוצגו בפניו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 ל</w:t>
      </w:r>
      <w:hyperlink r:id="rId2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 דן בסמכות בית המשפט להורות על חילוט רכוש בהליך פלילי בגין עבירות סמים</w:t>
      </w:r>
      <w:r>
        <w:rPr>
          <w:rtl w:val="true"/>
        </w:rPr>
        <w:t xml:space="preserve">, </w:t>
      </w:r>
      <w:r>
        <w:rPr>
          <w:rtl w:val="true"/>
        </w:rPr>
        <w:t xml:space="preserve">ובתוך כך קובע בסעיף משנה </w:t>
      </w:r>
      <w:hyperlink r:id="rId28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כי משהוכרז אדם כסוחר סמים</w:t>
      </w:r>
      <w:r>
        <w:rPr>
          <w:rtl w:val="true"/>
        </w:rPr>
        <w:t xml:space="preserve">, </w:t>
      </w:r>
      <w:r>
        <w:rPr>
          <w:rtl w:val="true"/>
        </w:rPr>
        <w:t xml:space="preserve">יצווה בית המשפט בגזר הדין </w:t>
      </w:r>
      <w:r>
        <w:rPr>
          <w:rtl w:val="true"/>
        </w:rPr>
        <w:t>"</w:t>
      </w:r>
      <w:r>
        <w:rPr>
          <w:rtl w:val="true"/>
        </w:rPr>
        <w:t>כי בנוסף לכל עונש יחולט לאוצר המדינה כל רכוש של הנידון שהושג בעבירה של עסקת סמים</w:t>
      </w:r>
      <w:r>
        <w:rPr>
          <w:rtl w:val="true"/>
        </w:rPr>
        <w:t xml:space="preserve">, </w:t>
      </w:r>
      <w:r>
        <w:rPr>
          <w:rtl w:val="true"/>
        </w:rPr>
        <w:t>אלא אם כן סבר שלא לעשות כן מנימוקים מיוחדים שיפרט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החילוט</w:t>
      </w:r>
      <w:r>
        <w:rPr>
          <w:rtl w:val="true"/>
        </w:rPr>
        <w:t xml:space="preserve">, </w:t>
      </w:r>
      <w:r>
        <w:rPr>
          <w:rtl w:val="true"/>
        </w:rPr>
        <w:t>ביניהן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הרתעתית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וייעול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במבצעיהן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הצומח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>,</w:t>
      </w:r>
      <w:r>
        <w:rPr>
          <w:rFonts w:cs="David" w:ascii="Arimo;Times New Roman" w:hAnsi="Arimo;Times New Roman"/>
          <w:color w:val="333333"/>
          <w:spacing w:val="0"/>
          <w:sz w:val="21"/>
          <w:szCs w:val="21"/>
          <w:rtl w:val="true"/>
        </w:rPr>
        <w:t xml:space="preserve"> </w:t>
      </w:r>
      <w:hyperlink r:id="rId29">
        <w:r>
          <w:rPr>
            <w:rStyle w:val="Hyperlink"/>
            <w:rFonts w:ascii="FrankRuehl" w:hAnsi="FrankRuehl"/>
            <w:b/>
            <w:b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b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b/>
            <w:b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b/>
            <w:color w:val="0000FF"/>
            <w:sz w:val="28"/>
            <w:u w:val="single"/>
          </w:rPr>
          <w:t>4496/04</w:t>
        </w:r>
      </w:hyperlink>
      <w:r>
        <w:rPr>
          <w:rFonts w:cs="FrankRuehl" w:ascii="FrankRuehl" w:hAnsi="FrankRuehl"/>
          <w:b/>
          <w:color w:val="000000"/>
          <w:sz w:val="28"/>
          <w:rtl w:val="true"/>
        </w:rPr>
        <w:t xml:space="preserve">‏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מחג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cs="FrankRuehl" w:ascii="FrankRuehl" w:hAnsi="FrankRuehl"/>
          <w:b/>
          <w:color w:val="000000"/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FrankRuehl" w:hAnsi="FrankRuehl"/>
          <w:b/>
          <w:b/>
          <w:color w:val="000000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b/>
          <w:color w:val="000000"/>
          <w:sz w:val="28"/>
        </w:rPr>
        <w:t>6</w:t>
      </w:r>
      <w:r>
        <w:rPr>
          <w:rFonts w:cs="FrankRuehl" w:ascii="FrankRuehl" w:hAnsi="FrankRuehl"/>
          <w:b/>
          <w:color w:val="000000"/>
          <w:sz w:val="28"/>
          <w:rtl w:val="true"/>
        </w:rPr>
        <w:t xml:space="preserve"> (</w:t>
      </w:r>
      <w:r>
        <w:rPr>
          <w:rFonts w:cs="FrankRuehl" w:ascii="FrankRuehl" w:hAnsi="FrankRuehl"/>
          <w:b/>
          <w:color w:val="000000"/>
          <w:sz w:val="28"/>
        </w:rPr>
        <w:t>11.9.2005</w:t>
      </w:r>
      <w:r>
        <w:rPr>
          <w:rFonts w:cs="FrankRuehl" w:ascii="FrankRuehl" w:hAnsi="FrankRuehl"/>
          <w:b/>
          <w:color w:val="000000"/>
          <w:sz w:val="28"/>
          <w:rtl w:val="true"/>
        </w:rPr>
        <w:t xml:space="preserve">);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170/07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מטיס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19.11.2007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;Arial" w:cs="Arial TUR;Arial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),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-</w:t>
      </w:r>
      <w:r>
        <w:rPr/>
        <w:t>1988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/>
        <w:t>242</w:t>
      </w:r>
      <w:r>
        <w:rPr>
          <w:rtl w:val="true"/>
        </w:rPr>
        <w:t xml:space="preserve">, </w:t>
      </w:r>
      <w:r>
        <w:rPr/>
        <w:t>245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החוק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ולנוכח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", </w:t>
      </w:r>
      <w:r>
        <w:rPr>
          <w:rtl w:val="true"/>
        </w:rPr>
        <w:t>כלשון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עוגנו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3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שחילוטו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שהוכרז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החוק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קובע</w:t>
      </w:r>
      <w:r>
        <w:rPr>
          <w:rFonts w:eastAsia="Arial TUR;Arial" w:cs="Arial TUR;Arial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הוכיח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חוקיים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זולתו</w:t>
      </w:r>
      <w:r>
        <w:rPr>
          <w:rtl w:val="true"/>
        </w:rPr>
        <w:t>.</w:t>
      </w:r>
      <w:bookmarkStart w:id="14" w:name="Rov134"/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  <w:bookmarkEnd w:id="14"/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ההסתברויות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34">
        <w:bookmarkStart w:id="15" w:name="TOP_CASE_NUMBER"/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7475/95</w:t>
        </w:r>
        <w:r>
          <w:rPr>
            <w:rStyle w:val="Hyperlink"/>
            <w:rtl w:val="true"/>
          </w:rPr>
          <w:tab/>
        </w:r>
        <w:r>
          <w:rPr>
            <w:rStyle w:val="Hyperlink"/>
            <w:rFonts w:ascii="Times New Roman" w:hAnsi="Times New Roman" w:cs="Miriam"/>
            <w:spacing w:val="0"/>
            <w:sz w:val="28"/>
            <w:sz w:val="28"/>
            <w:szCs w:val="24"/>
            <w:rtl w:val="true"/>
          </w:rPr>
          <w:t>מדינת</w:t>
        </w:r>
        <w:r>
          <w:rPr>
            <w:rStyle w:val="Hyperlink"/>
            <w:rFonts w:ascii="Times New Roman" w:hAnsi="Times New Roman" w:cs="Times New Roman"/>
            <w:spacing w:val="0"/>
            <w:sz w:val="28"/>
            <w:sz w:val="28"/>
            <w:szCs w:val="24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spacing w:val="0"/>
            <w:sz w:val="28"/>
            <w:sz w:val="28"/>
            <w:szCs w:val="24"/>
            <w:rtl w:val="true"/>
          </w:rPr>
          <w:t>ישראל</w:t>
        </w:r>
        <w:r>
          <w:rPr>
            <w:rStyle w:val="Hyperlink"/>
            <w:rFonts w:ascii="Times New Roman" w:hAnsi="Times New Roman" w:cs="Times New Roman"/>
            <w:spacing w:val="0"/>
            <w:sz w:val="28"/>
            <w:sz w:val="28"/>
            <w:szCs w:val="24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spacing w:val="0"/>
            <w:sz w:val="28"/>
            <w:sz w:val="28"/>
            <w:szCs w:val="24"/>
            <w:rtl w:val="true"/>
          </w:rPr>
          <w:t>נ</w:t>
        </w:r>
        <w:r>
          <w:rPr>
            <w:rStyle w:val="Hyperlink"/>
            <w:rFonts w:cs="Miriam" w:ascii="Times New Roman" w:hAnsi="Times New Roman"/>
            <w:spacing w:val="0"/>
            <w:sz w:val="28"/>
            <w:szCs w:val="24"/>
            <w:rtl w:val="true"/>
          </w:rPr>
          <w:t xml:space="preserve">' </w:t>
        </w:r>
        <w:r>
          <w:rPr>
            <w:rStyle w:val="Hyperlink"/>
            <w:rFonts w:ascii="Times New Roman" w:hAnsi="Times New Roman" w:cs="Miriam"/>
            <w:spacing w:val="0"/>
            <w:sz w:val="28"/>
            <w:sz w:val="28"/>
            <w:szCs w:val="24"/>
            <w:rtl w:val="true"/>
          </w:rPr>
          <w:t>בן</w:t>
        </w:r>
        <w:r>
          <w:rPr>
            <w:rStyle w:val="Hyperlink"/>
            <w:rFonts w:ascii="Times New Roman" w:hAnsi="Times New Roman" w:cs="Times New Roman"/>
            <w:spacing w:val="0"/>
            <w:sz w:val="28"/>
            <w:sz w:val="28"/>
            <w:szCs w:val="24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spacing w:val="0"/>
            <w:sz w:val="28"/>
            <w:sz w:val="28"/>
            <w:szCs w:val="24"/>
            <w:rtl w:val="true"/>
          </w:rPr>
          <w:t>שטרית</w:t>
        </w:r>
        <w:r>
          <w:rPr>
            <w:rStyle w:val="Hyperlink"/>
            <w:rFonts w:ascii="Times New Roman" w:hAnsi="Times New Roman" w:cs="Times New Roman"/>
            <w:spacing w:val="0"/>
            <w:sz w:val="28"/>
            <w:sz w:val="28"/>
            <w:szCs w:val="24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spacing w:val="0"/>
            <w:sz w:val="28"/>
            <w:sz w:val="28"/>
            <w:szCs w:val="24"/>
            <w:rtl w:val="true"/>
          </w:rPr>
          <w:t>ואח</w:t>
        </w:r>
        <w:r>
          <w:rPr>
            <w:rStyle w:val="Hyperlink"/>
            <w:rFonts w:cs="Miriam" w:ascii="Times New Roman" w:hAnsi="Times New Roman"/>
            <w:spacing w:val="0"/>
            <w:sz w:val="28"/>
            <w:szCs w:val="24"/>
            <w:rtl w:val="true"/>
          </w:rPr>
          <w:t>'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''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נב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385</w:t>
      </w:r>
      <w:bookmarkEnd w:id="15"/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</w:rPr>
        <w:t>18.5.1998</w:t>
      </w:r>
      <w:r>
        <w:rPr>
          <w:rFonts w:cs="Times New Roman" w:ascii="Times New Roman" w:hAnsi="Times New Roman"/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קבע בית משפט קמא בעניין הכספים כי לא עלה בידי המערער להפריך את החזקה בדבר מקורם בעסקאות סמים</w:t>
      </w:r>
      <w:r>
        <w:rPr>
          <w:rtl w:val="true"/>
        </w:rPr>
        <w:t xml:space="preserve">, </w:t>
      </w:r>
      <w:r>
        <w:rPr>
          <w:rtl w:val="true"/>
        </w:rPr>
        <w:t>מאחר שלא הביא ראיות או השמיע עדים שיתמכו בגרסתו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אומנם העובדה כי הכספים נמצאו בשטרות </w:t>
      </w:r>
      <w:r>
        <w:rPr>
          <w:rtl w:val="true"/>
        </w:rPr>
        <w:t>"</w:t>
      </w:r>
      <w:r>
        <w:rPr>
          <w:rtl w:val="true"/>
        </w:rPr>
        <w:t>קטנים</w:t>
      </w:r>
      <w:r>
        <w:rPr>
          <w:rtl w:val="true"/>
        </w:rPr>
        <w:t xml:space="preserve">" </w:t>
      </w:r>
      <w:r>
        <w:rPr>
          <w:rtl w:val="true"/>
        </w:rPr>
        <w:t>יכולה לכאורה לפעול לטובת המערער</w:t>
      </w:r>
      <w:r>
        <w:rPr>
          <w:rtl w:val="true"/>
        </w:rPr>
        <w:t xml:space="preserve">, </w:t>
      </w:r>
      <w:r>
        <w:rPr>
          <w:rtl w:val="true"/>
        </w:rPr>
        <w:t>ולחזק את גרסתו לפיה מקורם בעבודתו כמתופף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בנסיבות העניין ובהיעדר ראיה אחרת העשויה לתמוך בגרסתו</w:t>
      </w:r>
      <w:r>
        <w:rPr>
          <w:rtl w:val="true"/>
        </w:rPr>
        <w:t xml:space="preserve">, </w:t>
      </w:r>
      <w:r>
        <w:rPr>
          <w:rtl w:val="true"/>
        </w:rPr>
        <w:t>לא מצאנו להתערב בקביעת בית משפט קמא</w:t>
      </w:r>
      <w:r>
        <w:rPr>
          <w:rtl w:val="true"/>
        </w:rPr>
        <w:t xml:space="preserve">, </w:t>
      </w:r>
      <w:r>
        <w:rPr>
          <w:rtl w:val="true"/>
        </w:rPr>
        <w:t>לפיה המערער לא עמד בנטל המוטל עליו בעניין זה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נבהיר כי אין בידנו לקבל את טענת המערער</w:t>
      </w:r>
      <w:r>
        <w:rPr>
          <w:rtl w:val="true"/>
        </w:rPr>
        <w:t xml:space="preserve">, </w:t>
      </w:r>
      <w:r>
        <w:rPr>
          <w:rtl w:val="true"/>
        </w:rPr>
        <w:t>לפיה היה על המשיבה להפריך את גרסתו בדבר מקור הכספים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משהוכרז המערער כסוחר סמים</w:t>
      </w:r>
      <w:r>
        <w:rPr>
          <w:rtl w:val="true"/>
        </w:rPr>
        <w:t xml:space="preserve">, </w:t>
      </w:r>
      <w:r>
        <w:rPr>
          <w:rtl w:val="true"/>
        </w:rPr>
        <w:t>קמה חזקה שבדין הקובעת כי רכוש שנמצא בחזקתו</w:t>
      </w:r>
      <w:r>
        <w:rPr>
          <w:rtl w:val="true"/>
        </w:rPr>
        <w:t xml:space="preserve">, </w:t>
      </w:r>
      <w:r>
        <w:rPr>
          <w:rtl w:val="true"/>
        </w:rPr>
        <w:t>ייראה כרכוש שהושג בעסקת סמים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הנטל היה על המערער לסתור חזקה זו לפי מאזן ההסתברויות</w:t>
      </w:r>
      <w:r>
        <w:rPr>
          <w:rtl w:val="true"/>
        </w:rPr>
        <w:t xml:space="preserve">, </w:t>
      </w:r>
      <w:r>
        <w:rPr>
          <w:rtl w:val="true"/>
        </w:rPr>
        <w:t>ומשלא עשה כן</w:t>
      </w:r>
      <w:r>
        <w:rPr>
          <w:rtl w:val="true"/>
        </w:rPr>
        <w:t xml:space="preserve">, </w:t>
      </w:r>
      <w:r>
        <w:rPr>
          <w:rtl w:val="true"/>
        </w:rPr>
        <w:t>מתגבשת החזקה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בעניין הרכב</w:t>
      </w:r>
      <w:r>
        <w:rPr>
          <w:rtl w:val="true"/>
        </w:rPr>
        <w:t xml:space="preserve">, </w:t>
      </w:r>
      <w:r>
        <w:rPr>
          <w:rtl w:val="true"/>
        </w:rPr>
        <w:t>החלטת בית משפט קמא בדבר הבעלות עליו נתמכה בעדותו של אבו סייף</w:t>
      </w:r>
      <w:r>
        <w:rPr>
          <w:rtl w:val="true"/>
        </w:rPr>
        <w:t xml:space="preserve">, </w:t>
      </w:r>
      <w:r>
        <w:rPr>
          <w:rtl w:val="true"/>
        </w:rPr>
        <w:t>אותה מצא להעדיף על פני עדותם של המערער ושל חאיב</w:t>
      </w:r>
      <w:r>
        <w:rPr>
          <w:rtl w:val="true"/>
        </w:rPr>
        <w:t xml:space="preserve">, </w:t>
      </w:r>
      <w:r>
        <w:rPr>
          <w:rtl w:val="true"/>
        </w:rPr>
        <w:t>ובזיכרון הדברים שהוצג בפניו</w:t>
      </w:r>
      <w:r>
        <w:rPr>
          <w:rtl w:val="true"/>
        </w:rPr>
        <w:t xml:space="preserve">. </w:t>
      </w:r>
      <w:r>
        <w:rPr>
          <w:rtl w:val="true"/>
        </w:rPr>
        <w:t>משהתרשם בית משפט קמא מהעדים ובחר להעדיף גרסה אחת על פני האחרת</w:t>
      </w:r>
      <w:r>
        <w:rPr>
          <w:rtl w:val="true"/>
        </w:rPr>
        <w:t xml:space="preserve">, </w:t>
      </w:r>
      <w:r>
        <w:rPr>
          <w:rtl w:val="true"/>
        </w:rPr>
        <w:t>שנתמכה גם בראיה שהוצגה בפניו</w:t>
      </w:r>
      <w:r>
        <w:rPr>
          <w:rtl w:val="true"/>
        </w:rPr>
        <w:t xml:space="preserve">, </w:t>
      </w:r>
      <w:r>
        <w:rPr>
          <w:rtl w:val="true"/>
        </w:rPr>
        <w:t>לא מצאנו מקום להתערב בהחלטה זו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לנוכח העובדה כי החלטת בית משפט קמא בדבר הבעלות ברכב נותרה על כנה</w:t>
      </w:r>
      <w:r>
        <w:rPr>
          <w:rtl w:val="true"/>
        </w:rPr>
        <w:t xml:space="preserve">, </w:t>
      </w:r>
      <w:r>
        <w:rPr>
          <w:rtl w:val="true"/>
        </w:rPr>
        <w:t>קמה החזקה</w:t>
      </w:r>
      <w:r>
        <w:rPr>
          <w:rtl w:val="true"/>
        </w:rPr>
        <w:t xml:space="preserve">, </w:t>
      </w:r>
      <w:r>
        <w:rPr>
          <w:rtl w:val="true"/>
        </w:rPr>
        <w:t>לפיה נעשה שימוש ברכב לצורך עסקאות הסמים</w:t>
      </w:r>
      <w:r>
        <w:rPr>
          <w:rtl w:val="true"/>
        </w:rPr>
        <w:t xml:space="preserve">, </w:t>
      </w:r>
      <w:r>
        <w:rPr>
          <w:rtl w:val="true"/>
        </w:rPr>
        <w:t>אותה לא הצליח המערער לסתור</w:t>
      </w:r>
      <w:r>
        <w:rPr>
          <w:rtl w:val="true"/>
        </w:rPr>
        <w:t xml:space="preserve">, </w:t>
      </w:r>
      <w:r>
        <w:rPr>
          <w:rtl w:val="true"/>
        </w:rPr>
        <w:t>וממילא ההחלטה על חילוט הרכב בדין יסודה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משלא עלה בידי המערער לסתור את החזקות הקבועות ב</w:t>
      </w:r>
      <w:hyperlink r:id="rId3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, </w:t>
      </w:r>
      <w:r>
        <w:rPr>
          <w:rtl w:val="true"/>
        </w:rPr>
        <w:t>החלטת בית משפט קמא</w:t>
      </w:r>
      <w:r>
        <w:rPr>
          <w:rtl w:val="true"/>
        </w:rPr>
        <w:t xml:space="preserve">, </w:t>
      </w:r>
      <w:r>
        <w:rPr>
          <w:rtl w:val="true"/>
        </w:rPr>
        <w:t>לפיה מקור הכספים והרכב בעסקאות סמים</w:t>
      </w:r>
      <w:r>
        <w:rPr>
          <w:rtl w:val="true"/>
        </w:rPr>
        <w:t xml:space="preserve">, </w:t>
      </w:r>
      <w:r>
        <w:rPr>
          <w:rtl w:val="true"/>
        </w:rPr>
        <w:t>נותרת על כנה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סוף דבר</w:t>
      </w:r>
      <w:r>
        <w:rPr>
          <w:rtl w:val="true"/>
        </w:rPr>
        <w:t xml:space="preserve">, </w:t>
      </w:r>
      <w:r>
        <w:rPr>
          <w:rtl w:val="true"/>
        </w:rPr>
        <w:t>הערעור נדחה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בניסן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21.3.2018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tabs>
                <w:tab w:val="clear" w:pos="800"/>
                <w:tab w:val="center" w:pos="1313" w:leader="none"/>
              </w:tabs>
              <w:ind w:end="0"/>
              <w:jc w:val="start"/>
              <w:rPr/>
            </w:pPr>
            <w:r>
              <w:rPr>
                <w:rFonts w:cs="Times New Roman" w:ascii="Times New Roman" w:hAnsi="Times New Roman"/>
                <w:color w:val="FFFFFF"/>
                <w:sz w:val="2"/>
                <w:szCs w:val="2"/>
              </w:rPr>
              <w:t>54678313</w:t>
            </w:r>
            <w:r>
              <w:rPr>
                <w:rFonts w:ascii="Times New Roman" w:hAnsi="Times New Roman" w:cs="Times New Roman"/>
                <w:rtl w:val="true"/>
              </w:rPr>
              <w:t>שופט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tabs>
                <w:tab w:val="left" w:pos="500" w:leader="none"/>
                <w:tab w:val="left" w:pos="800" w:leader="none"/>
                <w:tab w:val="center" w:pos="1313" w:leader="none"/>
              </w:tabs>
              <w:ind w:end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rtl w:val="true"/>
              </w:rPr>
              <w:t>שופטת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en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rtl w:val="true"/>
              </w:rPr>
              <w:t>שופט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17021630</w:t>
      </w:r>
      <w:r>
        <w:rPr>
          <w:sz w:val="16"/>
          <w:rtl w:val="true"/>
        </w:rPr>
        <w:t>_</w:t>
      </w:r>
      <w:r>
        <w:rPr>
          <w:sz w:val="16"/>
        </w:rPr>
        <w:t>J02.doc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או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6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54678313-2163/17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8"/>
      <w:footerReference w:type="default" r:id="rId3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Arimo">
    <w:altName w:val="arial"/>
    <w:charset w:val="00" w:characterSet="windows-1252"/>
    <w:family w:val="auto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2163/17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נתניאל גברילוב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big-number">
    <w:name w:val="big-number"/>
    <w:qFormat/>
    <w:rPr/>
  </w:style>
  <w:style w:type="character" w:styleId="default">
    <w:name w:val="default"/>
    <w:qFormat/>
    <w:rPr/>
  </w:style>
  <w:style w:type="character" w:styleId="bracketsclass1">
    <w:name w:val="bracketsclass1"/>
    <w:qFormat/>
    <w:rPr>
      <w:color w:val="2E2E2E"/>
    </w:rPr>
  </w:style>
  <w:style w:type="character" w:styleId="propclass1">
    <w:name w:val="propclass1"/>
    <w:qFormat/>
    <w:rPr>
      <w:color w:val="666666"/>
    </w:rPr>
  </w:style>
  <w:style w:type="character" w:styleId="expressionclass1">
    <w:name w:val="expressionclass1"/>
    <w:qFormat/>
    <w:rPr>
      <w:color w:val="003E67"/>
    </w:rPr>
  </w:style>
  <w:style w:type="character" w:styleId="operatorclass1">
    <w:name w:val="operatorclass1"/>
    <w:qFormat/>
    <w:rPr>
      <w:color w:val="A82A0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p00">
    <w:name w:val="p00"/>
    <w:basedOn w:val="Normal"/>
    <w:qFormat/>
    <w:pPr>
      <w:overflowPunct w:val="true"/>
      <w:autoSpaceDE w:val="true"/>
      <w:bidi w:val="0"/>
      <w:spacing w:before="100" w:after="100"/>
      <w:jc w:val="start"/>
      <w:textAlignment w:val="auto"/>
    </w:pPr>
    <w:rPr>
      <w:rFonts w:cs="Times New Roman"/>
      <w:sz w:val="24"/>
    </w:rPr>
  </w:style>
  <w:style w:type="paragraph" w:styleId="p11">
    <w:name w:val="p11"/>
    <w:basedOn w:val="Normal"/>
    <w:qFormat/>
    <w:pPr>
      <w:overflowPunct w:val="true"/>
      <w:autoSpaceDE w:val="true"/>
      <w:bidi w:val="0"/>
      <w:spacing w:before="100" w:after="100"/>
      <w:jc w:val="start"/>
      <w:textAlignment w:val="auto"/>
    </w:pPr>
    <w:rPr>
      <w:rFonts w:cs="Times New Roman"/>
      <w:sz w:val="24"/>
    </w:rPr>
  </w:style>
  <w:style w:type="paragraph" w:styleId="p22">
    <w:name w:val="p22"/>
    <w:basedOn w:val="Normal"/>
    <w:qFormat/>
    <w:pPr>
      <w:overflowPunct w:val="true"/>
      <w:autoSpaceDE w:val="true"/>
      <w:bidi w:val="0"/>
      <w:spacing w:before="100" w:after="100"/>
      <w:jc w:val="start"/>
      <w:textAlignment w:val="auto"/>
    </w:pPr>
    <w:rPr>
      <w:rFonts w:cs="Times New Roman"/>
      <w:sz w:val="24"/>
    </w:rPr>
  </w:style>
  <w:style w:type="paragraph" w:styleId="p33">
    <w:name w:val="p33"/>
    <w:basedOn w:val="Normal"/>
    <w:qFormat/>
    <w:pPr>
      <w:overflowPunct w:val="true"/>
      <w:autoSpaceDE w:val="true"/>
      <w:bidi w:val="0"/>
      <w:spacing w:before="100" w:after="100"/>
      <w:jc w:val="start"/>
      <w:textAlignment w:val="auto"/>
    </w:pPr>
    <w:rPr>
      <w:rFonts w:cs="Times New Roman"/>
      <w:sz w:val="24"/>
    </w:rPr>
  </w:style>
  <w:style w:type="paragraph" w:styleId="p44">
    <w:name w:val="p44"/>
    <w:basedOn w:val="Normal"/>
    <w:qFormat/>
    <w:pPr>
      <w:overflowPunct w:val="true"/>
      <w:autoSpaceDE w:val="true"/>
      <w:bidi w:val="0"/>
      <w:spacing w:before="100" w:after="100"/>
      <w:jc w:val="start"/>
      <w:textAlignment w:val="auto"/>
    </w:pPr>
    <w:rPr>
      <w:rFonts w:cs="Times New Roman"/>
      <w:sz w:val="24"/>
    </w:rPr>
  </w:style>
  <w:style w:type="paragraph" w:styleId="medium-header">
    <w:name w:val="medium-header"/>
    <w:basedOn w:val="Normal"/>
    <w:qFormat/>
    <w:pPr>
      <w:overflowPunct w:val="true"/>
      <w:autoSpaceDE w:val="true"/>
      <w:bidi w:val="0"/>
      <w:spacing w:before="100" w:after="100"/>
      <w:jc w:val="start"/>
      <w:textAlignment w:val="auto"/>
    </w:pPr>
    <w:rPr>
      <w:rFonts w:cs="Times New Roman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480288" TargetMode="External"/><Relationship Id="rId3" Type="http://schemas.openxmlformats.org/officeDocument/2006/relationships/hyperlink" Target="http://www.nevo.co.il/law/4216" TargetMode="External"/><Relationship Id="rId4" Type="http://schemas.openxmlformats.org/officeDocument/2006/relationships/hyperlink" Target="http://www.nevo.co.il/law/4216/31.6" TargetMode="External"/><Relationship Id="rId5" Type="http://schemas.openxmlformats.org/officeDocument/2006/relationships/hyperlink" Target="http://www.nevo.co.il/law/4216/36a" TargetMode="External"/><Relationship Id="rId6" Type="http://schemas.openxmlformats.org/officeDocument/2006/relationships/hyperlink" Target="http://www.nevo.co.il/law/4216/36a.a" TargetMode="External"/><Relationship Id="rId7" Type="http://schemas.openxmlformats.org/officeDocument/2006/relationships/hyperlink" Target="http://www.nevo.co.il/law/4216/36a.b" TargetMode="External"/><Relationship Id="rId8" Type="http://schemas.openxmlformats.org/officeDocument/2006/relationships/hyperlink" Target="http://www.nevo.co.il/law/4216/36a.a" TargetMode="External"/><Relationship Id="rId9" Type="http://schemas.openxmlformats.org/officeDocument/2006/relationships/hyperlink" Target="http://www.nevo.co.il/law/4216/36a.b" TargetMode="External"/><Relationship Id="rId10" Type="http://schemas.openxmlformats.org/officeDocument/2006/relationships/hyperlink" Target="http://www.nevo.co.il/law/4216/31.6" TargetMode="External"/><Relationship Id="rId11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/36a" TargetMode="External"/><Relationship Id="rId13" Type="http://schemas.openxmlformats.org/officeDocument/2006/relationships/hyperlink" Target="http://www.nevo.co.il/law/4216" TargetMode="External"/><Relationship Id="rId14" Type="http://schemas.openxmlformats.org/officeDocument/2006/relationships/hyperlink" Target="http://www.nevo.co.il/law/4216/36a.b" TargetMode="External"/><Relationship Id="rId15" Type="http://schemas.openxmlformats.org/officeDocument/2006/relationships/hyperlink" Target="http://www.nevo.co.il/law/4216" TargetMode="External"/><Relationship Id="rId16" Type="http://schemas.openxmlformats.org/officeDocument/2006/relationships/hyperlink" Target="http://www.nevo.co.il/law/4216/31.6" TargetMode="External"/><Relationship Id="rId17" Type="http://schemas.openxmlformats.org/officeDocument/2006/relationships/hyperlink" Target="http://www.nevo.co.il/case/21480288" TargetMode="External"/><Relationship Id="rId18" Type="http://schemas.openxmlformats.org/officeDocument/2006/relationships/hyperlink" Target="http://www.nevo.co.il/law/4216/36a.a" TargetMode="External"/><Relationship Id="rId19" Type="http://schemas.openxmlformats.org/officeDocument/2006/relationships/hyperlink" Target="http://www.nevo.co.il/law/4216/36a.b" TargetMode="External"/><Relationship Id="rId20" Type="http://schemas.openxmlformats.org/officeDocument/2006/relationships/hyperlink" Target="http://www.nevo.co.il/law/4216/31.6" TargetMode="External"/><Relationship Id="rId21" Type="http://schemas.openxmlformats.org/officeDocument/2006/relationships/hyperlink" Target="http://www.nevo.co.il/law/4216" TargetMode="External"/><Relationship Id="rId22" Type="http://schemas.openxmlformats.org/officeDocument/2006/relationships/hyperlink" Target="http://www.nevo.co.il/law/4216" TargetMode="External"/><Relationship Id="rId23" Type="http://schemas.openxmlformats.org/officeDocument/2006/relationships/hyperlink" Target="http://www.nevo.co.il/law/4216" TargetMode="External"/><Relationship Id="rId24" Type="http://schemas.openxmlformats.org/officeDocument/2006/relationships/hyperlink" Target="http://www.nevo.co.il/law/4216" TargetMode="External"/><Relationship Id="rId25" Type="http://schemas.openxmlformats.org/officeDocument/2006/relationships/hyperlink" Target="http://www.nevo.co.il/case/22301096" TargetMode="External"/><Relationship Id="rId26" Type="http://schemas.openxmlformats.org/officeDocument/2006/relationships/hyperlink" Target="http://www.nevo.co.il/law/4216/36a" TargetMode="External"/><Relationship Id="rId27" Type="http://schemas.openxmlformats.org/officeDocument/2006/relationships/hyperlink" Target="http://www.nevo.co.il/law/4216" TargetMode="External"/><Relationship Id="rId28" Type="http://schemas.openxmlformats.org/officeDocument/2006/relationships/hyperlink" Target="http://www.nevo.co.il/law/4216/36a.b" TargetMode="External"/><Relationship Id="rId29" Type="http://schemas.openxmlformats.org/officeDocument/2006/relationships/hyperlink" Target="http://www.nevo.co.il/case/5960324" TargetMode="External"/><Relationship Id="rId30" Type="http://schemas.openxmlformats.org/officeDocument/2006/relationships/hyperlink" Target="http://www.nevo.co.il/case/5681787" TargetMode="External"/><Relationship Id="rId31" Type="http://schemas.openxmlformats.org/officeDocument/2006/relationships/hyperlink" Target="http://www.nevo.co.il/law/4216" TargetMode="External"/><Relationship Id="rId32" Type="http://schemas.openxmlformats.org/officeDocument/2006/relationships/hyperlink" Target="http://www.nevo.co.il/law/4216" TargetMode="External"/><Relationship Id="rId33" Type="http://schemas.openxmlformats.org/officeDocument/2006/relationships/hyperlink" Target="http://www.nevo.co.il/law/4216/31.6" TargetMode="External"/><Relationship Id="rId34" Type="http://schemas.openxmlformats.org/officeDocument/2006/relationships/hyperlink" Target="http://www.nevo.co.il/case/6104783" TargetMode="External"/><Relationship Id="rId35" Type="http://schemas.openxmlformats.org/officeDocument/2006/relationships/hyperlink" Target="http://www.nevo.co.il/law/4216" TargetMode="External"/><Relationship Id="rId36" Type="http://schemas.openxmlformats.org/officeDocument/2006/relationships/hyperlink" Target="http://www.court.gov.il/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2018-03-23T19:02:00Z</dcterms:created>
  <dc:creator> </dc:creator>
  <dc:description/>
  <cp:keywords/>
  <dc:language>en-IL</dc:language>
  <cp:lastModifiedBy>orly</cp:lastModifiedBy>
  <cp:lastPrinted>2018-03-20T12:02:00Z</cp:lastPrinted>
  <dcterms:modified xsi:type="dcterms:W3CDTF">2018-03-23T19:02:00Z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נתניאל גברילוב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21480288:2;22301096;5960324;5681787;6104783</vt:lpwstr>
  </property>
  <property fmtid="{D5CDD505-2E9C-101B-9397-08002B2CF9AE}" pid="9" name="CITY">
    <vt:lpwstr/>
  </property>
  <property fmtid="{D5CDD505-2E9C-101B-9397-08002B2CF9AE}" pid="10" name="DATE">
    <vt:lpwstr>20180321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הנדל;ע' ברון;י' אלרון</vt:lpwstr>
  </property>
  <property fmtid="{D5CDD505-2E9C-101B-9397-08002B2CF9AE}" pid="14" name="LAWLISTTMP1">
    <vt:lpwstr>4216/031.6:2;036a;036a.a;036a.b:2</vt:lpwstr>
  </property>
  <property fmtid="{D5CDD505-2E9C-101B-9397-08002B2CF9AE}" pid="15" name="LAWYER">
    <vt:lpwstr>מירי קולומבוס;שי נודל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דיון פלילי</vt:lpwstr>
  </property>
  <property fmtid="{D5CDD505-2E9C-101B-9397-08002B2CF9AE}" pid="29" name="NOSE13">
    <vt:lpwstr>עונשין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77;18;77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חילוט</vt:lpwstr>
  </property>
  <property fmtid="{D5CDD505-2E9C-101B-9397-08002B2CF9AE}" pid="40" name="NOSE23">
    <vt:lpwstr>עבירות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1446;473;1443</vt:lpwstr>
  </property>
  <property fmtid="{D5CDD505-2E9C-101B-9397-08002B2CF9AE}" pid="48" name="NOSE31">
    <vt:lpwstr>דרכי ענישה: חילוט</vt:lpwstr>
  </property>
  <property fmtid="{D5CDD505-2E9C-101B-9397-08002B2CF9AE}" pid="49" name="NOSE310">
    <vt:lpwstr/>
  </property>
  <property fmtid="{D5CDD505-2E9C-101B-9397-08002B2CF9AE}" pid="50" name="NOSE32">
    <vt:lpwstr>רמת ההוכחה הנדרשת</vt:lpwstr>
  </property>
  <property fmtid="{D5CDD505-2E9C-101B-9397-08002B2CF9AE}" pid="51" name="NOSE33">
    <vt:lpwstr>סמים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8957;14887;8878</vt:lpwstr>
  </property>
  <property fmtid="{D5CDD505-2E9C-101B-9397-08002B2CF9AE}" pid="59" name="PADIDATE">
    <vt:lpwstr>20180322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2163</vt:lpwstr>
  </property>
  <property fmtid="{D5CDD505-2E9C-101B-9397-08002B2CF9AE}" pid="65" name="PROCYEAR">
    <vt:lpwstr>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410120180321</vt:lpwstr>
  </property>
  <property fmtid="{D5CDD505-2E9C-101B-9397-08002B2CF9AE}" pid="69" name="TYPE_N_DATE">
    <vt:lpwstr>41020180321</vt:lpwstr>
  </property>
  <property fmtid="{D5CDD505-2E9C-101B-9397-08002B2CF9AE}" pid="70" name="VOLUME">
    <vt:lpwstr/>
  </property>
  <property fmtid="{D5CDD505-2E9C-101B-9397-08002B2CF9AE}" pid="71" name="WORDNUMPAGES">
    <vt:lpwstr>8</vt:lpwstr>
  </property>
</Properties>
</file>