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2166/18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48251-04-17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תלחמי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2" w:type="dxa"/>
        <w:jc w:val="start"/>
        <w:tblInd w:w="-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3"/>
        <w:gridCol w:w="5379"/>
      </w:tblGrid>
      <w:tr>
        <w:trPr/>
        <w:tc>
          <w:tcPr>
            <w:tcW w:w="326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שירות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המבחן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גב</w:t>
            </w:r>
            <w:r>
              <w:rPr>
                <w:sz w:val="28"/>
                <w:rtl w:val="true"/>
              </w:rPr>
              <w:t xml:space="preserve">' </w:t>
            </w:r>
            <w:r>
              <w:rPr>
                <w:sz w:val="28"/>
                <w:sz w:val="28"/>
                <w:rtl w:val="true"/>
              </w:rPr>
              <w:t>ברכה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וייס</w:t>
            </w:r>
          </w:p>
        </w:tc>
      </w:tr>
    </w:tbl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5" w:name="LawTable"/>
      <w:bookmarkStart w:id="6" w:name="PsakDin"/>
      <w:bookmarkStart w:id="7" w:name="BeginProtocol"/>
      <w:bookmarkStart w:id="8" w:name="secretary"/>
      <w:bookmarkStart w:id="9" w:name="LawTable"/>
      <w:bookmarkStart w:id="10" w:name="PsakDin"/>
      <w:bookmarkStart w:id="11" w:name="BeginProtocol"/>
      <w:bookmarkStart w:id="12" w:name="secretary"/>
      <w:bookmarkEnd w:id="9"/>
      <w:bookmarkEnd w:id="10"/>
      <w:bookmarkEnd w:id="11"/>
      <w:bookmarkEnd w:id="12"/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Start w:id="14" w:name="LawTable_End"/>
      <w:bookmarkEnd w:id="13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לקבל את הערעור ולהעמיד את עונש המאסר שהושת על המערער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ירוצו בעבודות שירות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במקום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נוכח עקרון אחדות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ובנוסף על כלל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חלקו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הקטן יחסית של המערער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חייו הקשות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והעדר עבר פלילי מצדיקים התערבות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שיקולי 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לנוער בגדרו נידון המערער ל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למאסר על תנאי ולפיצוי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מכוון נגד רכיב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של הפרשה בהצתה של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חולק כי יוזם האירוע והמבצע העיקרי היה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בכתב האישום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בן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במועד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ואילו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שהיה בן </w:t>
      </w:r>
      <w:r>
        <w:rPr>
          <w:rFonts w:cs="Times New Roman" w:ascii="Times New Roman" w:hAnsi="Times New Roman"/>
          <w:spacing w:val="0"/>
          <w:szCs w:val="26"/>
        </w:rPr>
        <w:t>19.5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במועד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פאסיבי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הטיל על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שירוצו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בעיקר נוכח קטינותו במועד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 ו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לקבל את הערעור ולהעמיד את עונש המאסר שהושת על המערער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ירוצו בעבודות שירות בכפוף לחוות דעת הממונה על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כי כשלעצמו אין עונש המאסר שהושת על המערער מצדיק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הוא נוטה במידה מסוימת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לאור ההלכה לפיה אין דרכה של ערכאת הערעור להתערב בעונש שהוטל על ידי הערכאה הדיונית 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העונש שהוטל חורג באופן משמעותי מרמת הענישה הנוהגת והראויה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אם נפלה טעות 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נראה כי המקרה הנוכחי מצדיק התערבות בשל עקרון אחדות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פסוקה היא כי יש להקפיד על עקרון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 כאשר מדובר בנאשמים באותה 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שמירת מדרג הולם בין העונשים המוטלים על המעורבים באותה פרשה פלילית לפי מידת אשמם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 מעקרון אחידות הענישה עשויה להוות נימוק להקלה בעונשו של מי שהורשע יחד עם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נגזר עליו עונש באופן שלא הולם את מידת מעורבותו באותה פרשה פלילית לעומת מעורבים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חולק כי 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הרוח החיה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היוזם והמבצע העיקרי של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המערער היה שותף פסיבי אשר לא נטל חלק פעיל במעשה ההצתה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ראוי היה לכאורה להתקיים מדרג בין העונשים שיוטלו על המערער והנאשם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שעונשו של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חמור יותר מזה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 היא הפוכה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ההסבר שניתן לפער הענישה הוא בעיקר זה שנאשם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קטין בעת ביצוע העבירה בעוד המערער היה 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היותו של 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 בעת ביצוע העבירה יש בה להצדיק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בה להצדיק את התוצאה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בפער גילאים קטן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שיקול הגיל עומד לכאורה הבדל משמעותי יותר הנוגע לחלקם של השניים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כאמור יוזם האירוע ובפועל הוא נטל תפקיד מרכזי פעיל במעשה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תפקידו המשני והפסיבי של המערער בפרשה כולה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אלה לא הייתה הצדקה לכך שעונשו של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פחות מעונשו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ולכל היותר ניתן לומר ששיקול הקטינות מאזן את חלקו המשמעותי יותר של נאשם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המדינה ביקשה להצדיק את הפער בענישה בכך שנאשם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מגישתו המסויגת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המשקל שיש ליחס לכך הוא מוגבל 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ניתן לכך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לכל היותר הדבר יוביל למסקנה שיש צידוק להשוואת עונשם של השניים למרות חלקו המשמעותי יותר במובהק של נאשם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מוסיף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אלמלא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לגזור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בצעיר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ודפוסים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עברייניים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לראשונה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תפקיד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ופסיבי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כזה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ראשונה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ויחידה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לקחו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זהו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האינטרס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להושיט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ולסייע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ולחזור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הנורמטיבית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לשולחו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ובריח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שאחריתו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ישורנה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דיינו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בשיקול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ind w:end="0"/>
        <w:jc w:val="center"/>
        <w:rPr>
          <w:spacing w:val="0"/>
          <w:sz w:val="32"/>
          <w:szCs w:val="32"/>
        </w:rPr>
      </w:pPr>
      <w:r>
        <w:rPr>
          <w:spacing w:val="0"/>
          <w:sz w:val="32"/>
          <w:szCs w:val="32"/>
          <w:rtl w:val="true"/>
        </w:rPr>
      </w:r>
      <w:bookmarkStart w:id="15" w:name="ABSTRACT_END"/>
      <w:bookmarkStart w:id="16" w:name="ABSTRACT_END"/>
      <w:bookmarkEnd w:id="16"/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PsakDin"/>
      <w:bookmarkStart w:id="18" w:name="Writer_Name"/>
      <w:bookmarkEnd w:id="17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ערעור על גזר דינו מיום </w:t>
      </w:r>
      <w:r>
        <w:rPr/>
        <w:t>1.2.2018</w:t>
      </w:r>
      <w:r>
        <w:rPr>
          <w:rtl w:val="true"/>
        </w:rPr>
        <w:t xml:space="preserve"> </w:t>
      </w:r>
      <w:r>
        <w:rPr>
          <w:rtl w:val="true"/>
        </w:rPr>
        <w:t xml:space="preserve">של בית המשפט המחוזי בחיפה בשבתו כבית משפט לנוער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48251-04-17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בגדרו נידון המערער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בפועל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לתקופה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למאסר על תנאי ולפיצוי המתלונן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הערעור מכוון נגד רכיב המאסר בפועל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בהתאם ל</w:t>
      </w:r>
      <w:r>
        <w:rPr>
          <w:rtl w:val="true"/>
        </w:rPr>
        <w:t xml:space="preserve">עובדות כתב האישום המתוקן </w:t>
      </w:r>
      <w:r>
        <w:rPr>
          <w:rtl w:val="true"/>
        </w:rPr>
        <w:t>שהוגש נגד המערער ונאשם נוסף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וביחד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בין הנאשמים </w:t>
      </w:r>
      <w:r>
        <w:rPr>
          <w:rtl w:val="true"/>
        </w:rPr>
        <w:t>והמתלונן</w:t>
      </w:r>
      <w:r>
        <w:rPr>
          <w:rtl w:val="true"/>
        </w:rPr>
        <w:t xml:space="preserve"> ישנה היכרות מוקדמת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23</w:t>
      </w:r>
      <w:r>
        <w:rPr/>
        <w:t>.</w:t>
      </w:r>
      <w:r>
        <w:rPr/>
        <w:t>4</w:t>
      </w:r>
      <w:r>
        <w:rPr/>
        <w:t>.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בשע</w:t>
      </w:r>
      <w:r>
        <w:rPr>
          <w:rtl w:val="true"/>
        </w:rPr>
        <w:t>ת ערב</w:t>
      </w:r>
      <w:r>
        <w:rPr>
          <w:rtl w:val="true"/>
        </w:rPr>
        <w:t xml:space="preserve"> ביקרו הנאשמים </w:t>
      </w:r>
      <w:r>
        <w:rPr>
          <w:rtl w:val="true"/>
        </w:rPr>
        <w:t>ואדם נוסף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 xml:space="preserve">בביתו של המתלונן </w:t>
      </w:r>
      <w:r>
        <w:rPr>
          <w:rtl w:val="true"/>
        </w:rPr>
        <w:t>ו</w:t>
      </w:r>
      <w:r>
        <w:rPr>
          <w:rtl w:val="true"/>
        </w:rPr>
        <w:t>במהלך הביקור התפתח ויכוח בין המתלונן לבין השלושה</w:t>
      </w:r>
      <w:r>
        <w:rPr>
          <w:rtl w:val="true"/>
        </w:rPr>
        <w:t xml:space="preserve">, </w:t>
      </w:r>
      <w:r>
        <w:rPr>
          <w:rtl w:val="true"/>
        </w:rPr>
        <w:t>בעקבותיו הורה המתלונן לשלושה לעזוב את ביתו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אמר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למתלונן כי 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וכי 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יסבול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בהמשך לכך </w:t>
      </w:r>
      <w:r>
        <w:rPr>
          <w:rtl w:val="true"/>
        </w:rPr>
        <w:t xml:space="preserve">סיכמו </w:t>
      </w:r>
      <w:r>
        <w:rPr>
          <w:rtl w:val="true"/>
        </w:rPr>
        <w:t>השלושה</w:t>
      </w:r>
      <w:r>
        <w:rPr>
          <w:rtl w:val="true"/>
        </w:rPr>
        <w:t xml:space="preserve"> לשרוף את רכבו של המתלונן</w:t>
      </w:r>
      <w:r>
        <w:rPr>
          <w:rtl w:val="true"/>
        </w:rPr>
        <w:t xml:space="preserve">, </w:t>
      </w:r>
      <w:r>
        <w:rPr>
          <w:rtl w:val="true"/>
        </w:rPr>
        <w:t>ולשם כך</w:t>
      </w:r>
      <w:r>
        <w:rPr>
          <w:rtl w:val="true"/>
        </w:rPr>
        <w:t xml:space="preserve"> הצטיידו בבקבוק פלסטיק שהכיל בנזין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01</w:t>
      </w:r>
      <w:r>
        <w:rPr/>
        <w:t>:30</w:t>
      </w:r>
      <w:r>
        <w:rPr>
          <w:rtl w:val="true"/>
        </w:rPr>
        <w:t xml:space="preserve">,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חזרו </w:t>
      </w:r>
      <w:r>
        <w:rPr>
          <w:rtl w:val="true"/>
        </w:rPr>
        <w:t>השלושה לסביבת ביתו</w:t>
      </w:r>
      <w:r>
        <w:rPr>
          <w:rtl w:val="true"/>
        </w:rPr>
        <w:t xml:space="preserve"> של המתלונן</w:t>
      </w:r>
      <w:r>
        <w:rPr>
          <w:rtl w:val="true"/>
        </w:rPr>
        <w:t xml:space="preserve">, </w:t>
      </w:r>
      <w:r>
        <w:rPr>
          <w:rtl w:val="true"/>
        </w:rPr>
        <w:t>כשפניהם מוסתרים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 xml:space="preserve">עמד מאחורי עיקול </w:t>
      </w:r>
      <w:r>
        <w:rPr>
          <w:rtl w:val="true"/>
        </w:rPr>
        <w:t>ה</w:t>
      </w:r>
      <w:r>
        <w:rPr>
          <w:rtl w:val="true"/>
        </w:rPr>
        <w:t>רחוב הסמוך לבית המתלונן על מנת להתריע במידה שיתקרבו למקום עוברי אורח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 xml:space="preserve">ניגשו לרכב עם בקבוק הבנזין </w:t>
      </w:r>
      <w:r>
        <w:rPr>
          <w:rtl w:val="true"/>
        </w:rPr>
        <w:t xml:space="preserve">והציתו את אחד מצמיגי </w:t>
      </w:r>
      <w:r>
        <w:rPr>
          <w:rtl w:val="true"/>
        </w:rPr>
        <w:t>רכב</w:t>
      </w:r>
      <w:r>
        <w:rPr>
          <w:rtl w:val="true"/>
        </w:rPr>
        <w:t>ו של המתלונן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לאחר ההצתה נמלטו </w:t>
      </w:r>
      <w:r>
        <w:rPr>
          <w:rtl w:val="true"/>
        </w:rPr>
        <w:t xml:space="preserve">השלושה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שכנו של המתלונן</w:t>
      </w:r>
      <w:r>
        <w:rPr>
          <w:rtl w:val="true"/>
        </w:rPr>
        <w:t xml:space="preserve">, </w:t>
      </w:r>
      <w:r>
        <w:rPr>
          <w:rtl w:val="true"/>
        </w:rPr>
        <w:t>אשר שמע רעש ממקום ההצתה</w:t>
      </w:r>
      <w:r>
        <w:rPr>
          <w:rtl w:val="true"/>
        </w:rPr>
        <w:t xml:space="preserve">, </w:t>
      </w:r>
      <w:r>
        <w:rPr>
          <w:rtl w:val="true"/>
        </w:rPr>
        <w:t>יצא מביתו וכיבה את האש</w:t>
      </w:r>
      <w:r>
        <w:rPr>
          <w:rtl w:val="true"/>
        </w:rPr>
        <w:t xml:space="preserve">. </w:t>
      </w:r>
      <w:r>
        <w:rPr>
          <w:rtl w:val="true"/>
        </w:rPr>
        <w:t>כתוצאה מההצתה נשרף הגלגל השמאלי האחורי של הרכב ונגרם נזק לחלק האחורי של הרכב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בגין מעשים אלה יוחסה לנאשמים </w:t>
      </w:r>
      <w:r>
        <w:rPr>
          <w:rFonts w:ascii="Century" w:hAnsi="Century" w:cs="Century"/>
          <w:sz w:val="22"/>
          <w:sz w:val="22"/>
          <w:rtl w:val="true"/>
        </w:rPr>
        <w:t>עבירה של 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הנאשמים הודו בעובדות כתב האישום</w:t>
      </w:r>
      <w:r>
        <w:rPr>
          <w:rFonts w:ascii="Century" w:hAnsi="Century" w:cs="Century"/>
          <w:sz w:val="22"/>
          <w:sz w:val="22"/>
          <w:rtl w:val="true"/>
        </w:rPr>
        <w:t xml:space="preserve"> המתוקן</w:t>
      </w:r>
      <w:r>
        <w:rPr>
          <w:rFonts w:ascii="Century" w:hAnsi="Century" w:cs="Century"/>
          <w:sz w:val="22"/>
          <w:sz w:val="22"/>
          <w:rtl w:val="true"/>
        </w:rPr>
        <w:t xml:space="preserve"> במסגרת הסדר</w:t>
      </w:r>
      <w:r>
        <w:rPr>
          <w:rFonts w:ascii="Century" w:hAnsi="Century" w:cs="Century"/>
          <w:sz w:val="22"/>
          <w:sz w:val="22"/>
          <w:rtl w:val="true"/>
        </w:rPr>
        <w:t xml:space="preserve">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והמערער הורשע בעבירה שיוחסה לו כאמור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באשר לנאשם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קבע</w:t>
      </w:r>
      <w:r>
        <w:rPr>
          <w:rFonts w:ascii="Century" w:hAnsi="Century" w:cs="Century"/>
          <w:sz w:val="22"/>
          <w:sz w:val="22"/>
          <w:rtl w:val="true"/>
        </w:rPr>
        <w:t xml:space="preserve"> בית המשפט</w:t>
      </w:r>
      <w:r>
        <w:rPr>
          <w:rFonts w:ascii="Century" w:hAnsi="Century" w:cs="Century"/>
          <w:sz w:val="22"/>
          <w:sz w:val="22"/>
          <w:rtl w:val="true"/>
        </w:rPr>
        <w:t xml:space="preserve"> כי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ascii="Century" w:hAnsi="Century" w:cs="Century"/>
          <w:sz w:val="22"/>
          <w:sz w:val="22"/>
          <w:rtl w:val="true"/>
        </w:rPr>
        <w:t xml:space="preserve"> ביצע את העבירה המיוחסת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מבלי להרשיעו בדין בשלב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היותו קטין בעת ביצוע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בד בבד </w:t>
      </w:r>
      <w:r>
        <w:rPr>
          <w:rFonts w:ascii="Century" w:hAnsi="Century" w:cs="Century"/>
          <w:sz w:val="22"/>
          <w:sz w:val="22"/>
          <w:rtl w:val="true"/>
        </w:rPr>
        <w:t>הורה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</w:t>
      </w:r>
      <w:r>
        <w:rPr>
          <w:rFonts w:ascii="Century" w:hAnsi="Century" w:cs="Century"/>
          <w:sz w:val="22"/>
          <w:sz w:val="22"/>
          <w:rtl w:val="true"/>
        </w:rPr>
        <w:t>על קבלת תסקיר שירות המבחן לנוער בעניינו</w:t>
      </w:r>
      <w:r>
        <w:rPr>
          <w:rFonts w:ascii="Century" w:hAnsi="Century" w:cs="Century"/>
          <w:sz w:val="22"/>
          <w:sz w:val="22"/>
          <w:rtl w:val="true"/>
        </w:rPr>
        <w:t xml:space="preserve"> של </w:t>
      </w:r>
      <w:r>
        <w:rPr>
          <w:rtl w:val="true"/>
        </w:rPr>
        <w:t xml:space="preserve">נאשם </w:t>
      </w:r>
      <w:r>
        <w:rPr/>
        <w:t>2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r>
        <w:rPr>
          <w:rFonts w:ascii="Century" w:hAnsi="Century" w:cs="Century"/>
          <w:sz w:val="22"/>
          <w:sz w:val="22"/>
          <w:rtl w:val="true"/>
        </w:rPr>
        <w:t xml:space="preserve">על קבלת </w:t>
      </w:r>
      <w:r>
        <w:rPr>
          <w:rFonts w:ascii="Century" w:hAnsi="Century" w:cs="Century"/>
          <w:sz w:val="22"/>
          <w:sz w:val="22"/>
          <w:rtl w:val="true"/>
        </w:rPr>
        <w:t xml:space="preserve">תסקיר שרות המבחן בעניינו של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לאחר קבלת תסקיר שרות המבחן לנוער </w:t>
      </w:r>
      <w:r>
        <w:rPr>
          <w:rFonts w:ascii="Century" w:hAnsi="Century" w:cs="Century"/>
          <w:sz w:val="22"/>
          <w:sz w:val="22"/>
          <w:rtl w:val="true"/>
        </w:rPr>
        <w:t xml:space="preserve">הורשע גם </w:t>
      </w:r>
      <w:r>
        <w:rPr>
          <w:rtl w:val="true"/>
        </w:rPr>
        <w:t xml:space="preserve">נאשם </w:t>
      </w:r>
      <w:r>
        <w:rPr/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בעבירת ההצתה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תסקיר שירות המבחן </w:t>
      </w:r>
      <w:r>
        <w:rPr>
          <w:rtl w:val="true"/>
        </w:rPr>
        <w:t>בעניינו של המערער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כי </w:t>
      </w:r>
      <w:r>
        <w:rPr>
          <w:rtl w:val="true"/>
        </w:rPr>
        <w:t>מדובר בצעיר כבן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 xml:space="preserve">רווק </w:t>
      </w:r>
      <w:r>
        <w:rPr>
          <w:rtl w:val="true"/>
        </w:rPr>
        <w:t>ה</w:t>
      </w:r>
      <w:r>
        <w:rPr>
          <w:rtl w:val="true"/>
        </w:rPr>
        <w:t>מתגורר בבית אמו</w:t>
      </w:r>
      <w:r>
        <w:rPr>
          <w:rtl w:val="true"/>
        </w:rPr>
        <w:t xml:space="preserve">, </w:t>
      </w:r>
      <w:r>
        <w:rPr>
          <w:rtl w:val="true"/>
        </w:rPr>
        <w:t>והנתון</w:t>
      </w:r>
      <w:r>
        <w:rPr>
          <w:rtl w:val="true"/>
        </w:rPr>
        <w:t xml:space="preserve"> במעצר בית מלא בשל מעורבותו בתיק </w:t>
      </w:r>
      <w:r>
        <w:rPr>
          <w:rtl w:val="true"/>
        </w:rPr>
        <w:t>הנדון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התסקיר עמד על הנסיבות האישיות הקשות של המערער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tl w:val="true"/>
        </w:rPr>
        <w:t xml:space="preserve"> התחנך בפנימייה</w:t>
      </w:r>
      <w:r>
        <w:rPr>
          <w:rtl w:val="true"/>
        </w:rPr>
        <w:t xml:space="preserve"> בשל</w:t>
      </w:r>
      <w:r>
        <w:rPr>
          <w:rtl w:val="true"/>
        </w:rPr>
        <w:t xml:space="preserve"> מצבה הכלכלי העגום של המשפחה והקשיים עמם התמודדה אמו של </w:t>
      </w:r>
      <w:r>
        <w:rPr>
          <w:rtl w:val="true"/>
        </w:rPr>
        <w:t xml:space="preserve">המערער </w:t>
      </w:r>
      <w:r>
        <w:rPr>
          <w:rtl w:val="true"/>
        </w:rPr>
        <w:t>בגידול שלושת ילדיה</w:t>
      </w:r>
      <w:r>
        <w:rPr>
          <w:rtl w:val="true"/>
        </w:rPr>
        <w:t xml:space="preserve"> לאחר שאב המשפחה עזב וניתק</w:t>
      </w:r>
      <w:r>
        <w:rPr>
          <w:rtl w:val="true"/>
        </w:rPr>
        <w:t xml:space="preserve"> כל קשר עם המשפחה מאז היה </w:t>
      </w:r>
      <w:r>
        <w:rPr>
          <w:rtl w:val="true"/>
        </w:rPr>
        <w:t>המערער</w:t>
      </w:r>
      <w:r>
        <w:rPr>
          <w:rtl w:val="true"/>
        </w:rPr>
        <w:t xml:space="preserve"> פעוט כבן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מזה ארבעה חודשים </w:t>
      </w:r>
      <w:r>
        <w:rPr>
          <w:rtl w:val="true"/>
        </w:rPr>
        <w:t>המערער</w:t>
      </w:r>
      <w:r>
        <w:rPr>
          <w:rtl w:val="true"/>
        </w:rPr>
        <w:t xml:space="preserve"> משתתף בקבוצה טיפולית לעצורי 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מתקשה להתמיד בהגעתו למפגשים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בבואו להעריך את גורמי הסיכוי לשיקום אל מול גורמי הסיכון להישנות התנהגות מפרת חוק בעתיד</w:t>
      </w:r>
      <w:r>
        <w:rPr>
          <w:rtl w:val="true"/>
        </w:rPr>
        <w:t xml:space="preserve">, </w:t>
      </w:r>
      <w:r>
        <w:rPr>
          <w:rtl w:val="true"/>
        </w:rPr>
        <w:t xml:space="preserve">ציין שירות המבחן בעיקר את העובדה </w:t>
      </w:r>
      <w:r>
        <w:rPr>
          <w:rtl w:val="true"/>
        </w:rPr>
        <w:t>שהמערער</w:t>
      </w:r>
      <w:r>
        <w:rPr>
          <w:rtl w:val="true"/>
        </w:rPr>
        <w:t xml:space="preserve"> מבטא רתיעה וקושי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וכן מתקשה לגלות הבנה וצורך להשתלב בהליך שכזה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 שירות המבחן את עברו הנקי של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את רצונו של </w:t>
      </w:r>
      <w:r>
        <w:rPr>
          <w:rtl w:val="true"/>
        </w:rPr>
        <w:t>המערער</w:t>
      </w:r>
      <w:r>
        <w:rPr>
          <w:rtl w:val="true"/>
        </w:rPr>
        <w:t xml:space="preserve"> לסיים במהרה את ההליך המשפטי המתנהל נגדו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בתסקיר משלים שהוגש </w:t>
      </w:r>
      <w:r>
        <w:rPr>
          <w:rtl w:val="true"/>
        </w:rPr>
        <w:t>בעניינו</w:t>
      </w:r>
      <w:r>
        <w:rPr>
          <w:rtl w:val="true"/>
        </w:rPr>
        <w:t xml:space="preserve"> צוין כי </w:t>
      </w:r>
      <w:r>
        <w:rPr>
          <w:rtl w:val="true"/>
        </w:rPr>
        <w:t>המערער</w:t>
      </w:r>
      <w:r>
        <w:rPr>
          <w:rtl w:val="true"/>
        </w:rPr>
        <w:t xml:space="preserve"> עדיין מתקשה לקבל אחריות לביצוע העבירה וטוען כי לא היה שותף לתכנונה</w:t>
      </w:r>
      <w:r>
        <w:rPr>
          <w:rtl w:val="true"/>
        </w:rPr>
        <w:t xml:space="preserve">. </w:t>
      </w:r>
      <w:r>
        <w:rPr>
          <w:rtl w:val="true"/>
        </w:rPr>
        <w:t xml:space="preserve">לעניין זה טען </w:t>
      </w:r>
      <w:r>
        <w:rPr>
          <w:rtl w:val="true"/>
        </w:rPr>
        <w:t>המערער</w:t>
      </w:r>
      <w:r>
        <w:rPr>
          <w:rtl w:val="true"/>
        </w:rPr>
        <w:t xml:space="preserve"> בפני שירות המבחן</w:t>
      </w:r>
      <w:r>
        <w:rPr>
          <w:rtl w:val="true"/>
        </w:rPr>
        <w:t xml:space="preserve">, </w:t>
      </w:r>
      <w:r>
        <w:rPr>
          <w:rtl w:val="true"/>
        </w:rPr>
        <w:t>כי הוא אומנם התלווה לשותפיו לביצוע העבירה וידע על כוונתם להצית את הרכב</w:t>
      </w:r>
      <w:r>
        <w:rPr>
          <w:rtl w:val="true"/>
        </w:rPr>
        <w:t xml:space="preserve">, </w:t>
      </w:r>
      <w:r>
        <w:rPr>
          <w:rtl w:val="true"/>
        </w:rPr>
        <w:t>ואף נתבקש על ידם להשגיח</w:t>
      </w:r>
      <w:r>
        <w:rPr>
          <w:rtl w:val="true"/>
        </w:rPr>
        <w:t xml:space="preserve">, </w:t>
      </w:r>
      <w:r>
        <w:rPr>
          <w:rtl w:val="true"/>
        </w:rPr>
        <w:t>אולם בחווייתו הוא חש כי לא היה שותף לביצוע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בחינת נזקקותו הטיפולית של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 שירות המבחן</w:t>
      </w:r>
      <w:r>
        <w:rPr>
          <w:rtl w:val="true"/>
        </w:rPr>
        <w:t xml:space="preserve"> כי </w:t>
      </w:r>
      <w:r>
        <w:rPr>
          <w:rtl w:val="true"/>
        </w:rPr>
        <w:t>המערער</w:t>
      </w:r>
      <w:r>
        <w:rPr>
          <w:rtl w:val="true"/>
        </w:rPr>
        <w:t xml:space="preserve"> מתקשה לגלות רצון להשתלב בהליך טיפולי ומביע קושי בהתבוננות פנימית מתוך העדר אמון בסיסי באחר</w:t>
      </w:r>
      <w:r>
        <w:rPr>
          <w:rtl w:val="true"/>
        </w:rPr>
        <w:t xml:space="preserve">, </w:t>
      </w:r>
      <w:r>
        <w:rPr>
          <w:rtl w:val="true"/>
        </w:rPr>
        <w:t>דבר שיקשה עליו להפיק תועלת מקשר טיפולי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נוכח האמור נמנע </w:t>
      </w:r>
      <w:r>
        <w:rPr>
          <w:rtl w:val="true"/>
        </w:rPr>
        <w:t xml:space="preserve">שירות המבחן </w:t>
      </w:r>
      <w:r>
        <w:rPr>
          <w:rtl w:val="true"/>
        </w:rPr>
        <w:t xml:space="preserve">ממתן המלצה טיפולית בעניינו של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דינו עמד </w:t>
      </w:r>
      <w:r>
        <w:rPr>
          <w:rtl w:val="true"/>
        </w:rPr>
        <w:t>בית משפט קמא</w:t>
      </w:r>
      <w:r>
        <w:rPr>
          <w:rtl w:val="true"/>
        </w:rPr>
        <w:t xml:space="preserve"> בין היתר על </w:t>
      </w:r>
      <w:r>
        <w:rPr>
          <w:rFonts w:ascii="Century" w:hAnsi="Century" w:cs="Century"/>
          <w:sz w:val="22"/>
          <w:sz w:val="22"/>
          <w:rtl w:val="true"/>
        </w:rPr>
        <w:t>הערך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החברתי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שנפגע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כתוצאה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מביצוע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ההצתה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בטחונו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ושלומו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הציבור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ועל כך ש</w:t>
      </w:r>
      <w:r>
        <w:rPr>
          <w:rFonts w:ascii="Century" w:hAnsi="Century" w:cs="Century"/>
          <w:sz w:val="22"/>
          <w:sz w:val="22"/>
          <w:rtl w:val="true"/>
        </w:rPr>
        <w:t>עבירת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ההצתה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פוגעת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בתחושת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הביטחון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הציבור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tl w:val="true"/>
        </w:rPr>
        <w:t xml:space="preserve"> סקירת הענישה הנוהגת קבע בית המשפט את </w:t>
      </w:r>
      <w:r>
        <w:rPr>
          <w:rFonts w:ascii="Century" w:hAnsi="Century" w:cs="Century"/>
          <w:sz w:val="22"/>
          <w:sz w:val="22"/>
          <w:rtl w:val="true"/>
        </w:rPr>
        <w:t>מתחם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העונש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ההולם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בפועל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וסיף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לחרוג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לגבי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>מתחם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מטעמים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שיקום</w:t>
      </w:r>
      <w:r>
        <w:rPr>
          <w:rFonts w:ascii="Century" w:hAnsi="Century" w:cs="Century"/>
          <w:rtl w:val="true"/>
        </w:rPr>
        <w:t xml:space="preserve"> לאור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התמונה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המצטיירת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מתסקירי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המבחן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לגביו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 xml:space="preserve">הנסיבות הקשורות בביצוע העבירה עמד בית המשפט על </w:t>
      </w:r>
      <w:r>
        <w:rPr>
          <w:rtl w:val="true"/>
        </w:rPr>
        <w:t>"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 </w:t>
      </w:r>
      <w:r>
        <w:rPr>
          <w:rtl w:val="true"/>
        </w:rPr>
        <w:t>בהצתת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>שלא נטל חלק פעיל בהצתה עצמה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סקירת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 בית המשפט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בהזדמנות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חסכה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 </w:t>
      </w:r>
      <w:r>
        <w:rPr>
          <w:rtl w:val="true"/>
        </w:rPr>
        <w:t>היקר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העדת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 xml:space="preserve">כן זקף בית המשפט לזכות המערער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נוכח אלה נגזר דינו של המערער 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24.4.2017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3.5.2017</w:t>
      </w:r>
      <w:r>
        <w:rPr>
          <w:rtl w:val="true"/>
        </w:rPr>
        <w:t xml:space="preserve">), </w:t>
      </w:r>
      <w:r>
        <w:rPr>
          <w:rtl w:val="true"/>
        </w:rPr>
        <w:t xml:space="preserve">מאסר על תנאי ופיצוי המתלונן </w:t>
      </w:r>
      <w:r>
        <w:rPr>
          <w:rtl w:val="true"/>
        </w:rPr>
        <w:t>בסכום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firstLine="720"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overflowPunct w:val="true"/>
        <w:autoSpaceDE w:val="true"/>
        <w:ind w:firstLine="720" w:end="0"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הערעור שהוגש </w:t>
      </w:r>
      <w:r>
        <w:rPr>
          <w:rtl w:val="true"/>
        </w:rPr>
        <w:t>על ידי</w:t>
      </w:r>
      <w:r>
        <w:rPr>
          <w:rtl w:val="true"/>
        </w:rPr>
        <w:t xml:space="preserve"> המערער מכוון כאמור נגד רכיב המאסר בפועל שהושת עליו</w:t>
      </w:r>
      <w:r>
        <w:rPr>
          <w:rtl w:val="true"/>
        </w:rPr>
        <w:t xml:space="preserve">. </w:t>
      </w:r>
      <w:r>
        <w:rPr>
          <w:rtl w:val="true"/>
        </w:rPr>
        <w:t xml:space="preserve">נטען 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יוזם האירוע והוא שאיים על המתלונן טרם ההצתה וכי המערער לא נטל חלק פעיל במעשה ההצתה</w:t>
      </w:r>
      <w:r>
        <w:rPr>
          <w:rtl w:val="true"/>
        </w:rPr>
        <w:t xml:space="preserve">. </w:t>
      </w:r>
      <w:r>
        <w:rPr>
          <w:rtl w:val="true"/>
        </w:rPr>
        <w:t>והנה 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הטיל על המערער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ואילו על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 המבצע העיקרי</w:t>
      </w:r>
      <w:r>
        <w:rPr>
          <w:rtl w:val="true"/>
        </w:rPr>
        <w:t xml:space="preserve">, </w:t>
      </w:r>
      <w:r>
        <w:rPr>
          <w:rtl w:val="true"/>
        </w:rPr>
        <w:t xml:space="preserve">הטיל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שירוצו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אמנם הדבר נומק בכך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קטין בעת ביצוע העבירה אך הפער ביניהם קטן</w:t>
      </w:r>
      <w:r>
        <w:rPr>
          <w:rtl w:val="true"/>
        </w:rPr>
        <w:t xml:space="preserve">, </w:t>
      </w:r>
      <w:r>
        <w:rPr>
          <w:rtl w:val="true"/>
        </w:rPr>
        <w:t xml:space="preserve">שכן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היה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בעוד המערער היה בן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שנים בעת ביצוע העבירה</w:t>
      </w:r>
      <w:r>
        <w:rPr>
          <w:rtl w:val="true"/>
        </w:rPr>
        <w:t xml:space="preserve">. </w:t>
      </w:r>
      <w:r>
        <w:rPr>
          <w:rtl w:val="true"/>
        </w:rPr>
        <w:t>כן נטען כי המערער נעדר עבר פלילי ודפוסים עברייניים</w:t>
      </w:r>
      <w:r>
        <w:rPr>
          <w:rtl w:val="true"/>
        </w:rPr>
        <w:t xml:space="preserve">, </w:t>
      </w:r>
      <w:r>
        <w:rPr>
          <w:rtl w:val="true"/>
        </w:rPr>
        <w:t>היה במעצר שבועיים</w:t>
      </w:r>
      <w:r>
        <w:rPr>
          <w:rtl w:val="true"/>
        </w:rPr>
        <w:t xml:space="preserve">, </w:t>
      </w:r>
      <w:r>
        <w:rPr>
          <w:rtl w:val="true"/>
        </w:rPr>
        <w:t>ולא ביצע עבירות נוספות מאז</w:t>
      </w:r>
      <w:r>
        <w:rPr>
          <w:rtl w:val="true"/>
        </w:rPr>
        <w:t xml:space="preserve">, </w:t>
      </w:r>
      <w:r>
        <w:rPr>
          <w:rtl w:val="true"/>
        </w:rPr>
        <w:t>וכן כי הוא שיתף פעולה עם רשויות החוק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</w:t>
      </w:r>
      <w:r>
        <w:rPr>
          <w:rFonts w:ascii="Century" w:hAnsi="Century" w:cs="Century"/>
          <w:sz w:val="22"/>
          <w:sz w:val="22"/>
          <w:rtl w:val="true"/>
        </w:rPr>
        <w:t>שליחתו למאסר לא תשרת את האינטרס הציבורי ויש בה כדי לפגוע בסיכויי השיקום של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בדיון לפנינו חזר בא כוח המערער על נימוקי ערעורו כמפורט לעיל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טענה באת כוח המדינה כי </w:t>
      </w:r>
      <w:r>
        <w:rPr>
          <w:rtl w:val="true"/>
        </w:rPr>
        <w:t>בית משפט קמא</w:t>
      </w:r>
      <w:r>
        <w:rPr>
          <w:rtl w:val="true"/>
        </w:rPr>
        <w:t xml:space="preserve"> זקף לזכותו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גם את העובדה </w:t>
      </w:r>
      <w:r>
        <w:rPr>
          <w:rFonts w:ascii="Century" w:hAnsi="Century" w:cs="Century"/>
          <w:sz w:val="22"/>
          <w:sz w:val="22"/>
          <w:rtl w:val="true"/>
        </w:rPr>
        <w:t>שנטל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אחריות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מלאה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ושיתף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פעולה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באופן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המבחן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הבעת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אחריות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ונכונות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להשתקם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לאחר עיון אנו סבורים כי יש לקבל את הערעור ולהעמיד את עונש המאסר שהושת על המערער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 ירוצו בעבודות שירות בכפוף לחוות דעת הממונה על 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יתכן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אין עונש המאסר שהושת על המערער מצדיק התערבות ערכאת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אם הוא נוטה במידה מסוימת לחומרה</w:t>
      </w:r>
      <w:r>
        <w:rPr>
          <w:rtl w:val="true"/>
        </w:rPr>
        <w:t xml:space="preserve">, </w:t>
      </w:r>
      <w:r>
        <w:rPr>
          <w:rtl w:val="true"/>
        </w:rPr>
        <w:t xml:space="preserve">וזאת לאור ההלכה הידועה לפיה </w:t>
      </w:r>
      <w:r>
        <w:rPr>
          <w:rFonts w:ascii="Times New Roman" w:hAnsi="Times New Roman" w:cs="Times New Roman"/>
          <w:rtl w:val="true"/>
        </w:rPr>
        <w:t>אין דרכה של ערכאת הערעור להתערב בעונש שהוטל על ידי הערכאה הדיונית אלא במקרים חריגים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tl w:val="true"/>
        </w:rPr>
        <w:t>כאשר העונש שהוטל חורג באופן משמעותי מרמת הענישה הנוהגת והראויה</w:t>
      </w:r>
      <w:r>
        <w:rPr>
          <w:rtl w:val="true"/>
        </w:rPr>
        <w:t xml:space="preserve">, </w:t>
      </w:r>
      <w:r>
        <w:rPr>
          <w:rtl w:val="true"/>
        </w:rPr>
        <w:t>או אם נפלה טעות בולטת בגזר הדין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אולם נראה כי המקרה הנוכחי מצדיק את התערבותנו כפי שיפורט להלן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הלכה פסוקה היא כי יש להקפיד על עקרון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בעיקר כאשר מדובר בנאשמים באותה פרשה</w:t>
      </w:r>
      <w:r>
        <w:rPr>
          <w:rtl w:val="true"/>
        </w:rPr>
        <w:t xml:space="preserve">, </w:t>
      </w:r>
      <w:r>
        <w:rPr>
          <w:rtl w:val="true"/>
        </w:rPr>
        <w:t xml:space="preserve">לרבות שמירת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tl w:val="true"/>
        </w:rPr>
        <w:t xml:space="preserve"> בין העונשים המוטלים על המעורבים באותה פרשה פלילית לפי מידת אשמם</w:t>
      </w:r>
      <w:r>
        <w:rPr>
          <w:rtl w:val="true"/>
        </w:rPr>
        <w:t xml:space="preserve">. </w:t>
      </w:r>
      <w:r>
        <w:rPr>
          <w:rtl w:val="true"/>
        </w:rPr>
        <w:t>סטייה מעקרון אחידות הענישה עשויה להוות נימוק להקלה בעונשו של מי שהורשע יחד עם אחרים</w:t>
      </w:r>
      <w:r>
        <w:rPr>
          <w:rtl w:val="true"/>
        </w:rPr>
        <w:t xml:space="preserve">, </w:t>
      </w:r>
      <w:r>
        <w:rPr>
          <w:rtl w:val="true"/>
        </w:rPr>
        <w:t xml:space="preserve">אך נגזר עליו עונש באופן שלא הולם את מידת מעורבותו באותה פרשה פלילית לעומת מעורבים אחרים </w:t>
      </w:r>
      <w:r>
        <w:rPr>
          <w:rtl w:val="true"/>
        </w:rPr>
        <w:t>-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>
          <w:spacing w:val="6"/>
        </w:rPr>
      </w:pPr>
      <w:r>
        <w:rPr>
          <w:rtl w:val="true"/>
        </w:rPr>
        <w:t>"</w:t>
      </w:r>
      <w:r>
        <w:rPr>
          <w:spacing w:val="6"/>
          <w:rtl w:val="true"/>
        </w:rPr>
        <w:t>עקרון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אחידות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הענישה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עקרון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יסוד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במשפט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הפלילי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אשר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נועד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להבטיח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שוויון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בפני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החוק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ולמנוע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שרירות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בענישה</w:t>
      </w:r>
      <w:r>
        <w:rPr>
          <w:spacing w:val="6"/>
          <w:rtl w:val="true"/>
        </w:rPr>
        <w:t>...</w:t>
      </w:r>
    </w:p>
    <w:p>
      <w:pPr>
        <w:pStyle w:val="Ruller5"/>
        <w:spacing w:lineRule="auto" w:line="276" w:before="0" w:after="240"/>
        <w:ind w:end="1281"/>
        <w:jc w:val="both"/>
        <w:rPr/>
      </w:pPr>
      <w:r>
        <w:rPr>
          <w:spacing w:val="6"/>
          <w:rtl w:val="true"/>
        </w:rPr>
        <w:t>עקרון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מקבל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משנה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חשיבות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כאשר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מדובר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בנאשמים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שונים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המורשעים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בגדרה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אותה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פרשה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במצב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דברים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מצדד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עקרון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אחידות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הענישה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בהטלת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עונשים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דומים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שביצעו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מעשים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דומים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וכן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בשמירה על יחס של שקילות בין מבצעיהם של מעשים הנבדלים זה מזה במניינם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חומרתם או בנסיבותיו האישיות של המבצע</w:t>
      </w:r>
      <w:r>
        <w:rPr>
          <w:rFonts w:cs="Century" w:ascii="Century" w:hAnsi="Century"/>
          <w:rtl w:val="true"/>
        </w:rPr>
        <w:t>" 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חסן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23.9.2014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ab/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900/11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עטאללה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7.12.2011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עספור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8.2.2012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2994/12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זגורי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7350/12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ואזנה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22.2.2015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spacing w:lineRule="auto" w:line="360"/>
        <w:ind w:firstLine="72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חולק על כך כי בהשוואה שבין מידת מעורבותם ואשמם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הרוח החיה</w:t>
      </w:r>
      <w:r>
        <w:rPr>
          <w:rtl w:val="true"/>
        </w:rPr>
        <w:t xml:space="preserve">, </w:t>
      </w:r>
      <w:r>
        <w:rPr>
          <w:rtl w:val="true"/>
        </w:rPr>
        <w:t>היוזם והמבצע העיקרי של העבירה</w:t>
      </w:r>
      <w:r>
        <w:rPr>
          <w:rtl w:val="true"/>
        </w:rPr>
        <w:t xml:space="preserve">, </w:t>
      </w:r>
      <w:r>
        <w:rPr>
          <w:rtl w:val="true"/>
        </w:rPr>
        <w:t>בעוד המערער היה שותף פסיבי אשר לא נטל חלק פעיל במעשה ההצתה עצמו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ראוי היה לכאורה להתקיים מדרג בין העונשים שיוטלו על המערער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באופן שעונשו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יהיה חמור יותר מזה של המערער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התוצאה היא הפוכה כאמור</w:t>
      </w:r>
      <w:r>
        <w:rPr>
          <w:rtl w:val="true"/>
        </w:rPr>
        <w:t xml:space="preserve">, </w:t>
      </w:r>
      <w:r>
        <w:rPr>
          <w:rtl w:val="true"/>
        </w:rPr>
        <w:t xml:space="preserve">כאשר על המערער נגזרו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בעוד 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נגזרו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ההסבר שניתן לפער הענישה הוא בעיקר זה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קטין בעת ביצוע העבירה בעוד המערער היה בגיר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היותו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קטין בעת ביצוע העבירה יש בה להצדיק הקלה בעונשו</w:t>
      </w:r>
      <w:r>
        <w:rPr>
          <w:rtl w:val="true"/>
        </w:rPr>
        <w:t xml:space="preserve">, </w:t>
      </w:r>
      <w:r>
        <w:rPr>
          <w:rtl w:val="true"/>
        </w:rPr>
        <w:t>אך איני סבור שיש בה להצדיק את התוצאה בענייננו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נאשם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היה בן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ו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בעת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היינו קרוב מאוד לגיל בגירות</w:t>
      </w:r>
      <w:r>
        <w:rPr>
          <w:rtl w:val="true"/>
        </w:rPr>
        <w:t xml:space="preserve">, </w:t>
      </w:r>
      <w:r>
        <w:rPr>
          <w:rtl w:val="true"/>
        </w:rPr>
        <w:t xml:space="preserve">בעוד המערער היה צעיר בן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, </w:t>
      </w:r>
      <w:r>
        <w:rPr>
          <w:rtl w:val="true"/>
        </w:rPr>
        <w:t>היינו פער גילאים קטן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 מול שיקול הגיל עומד לכאורה הבדל משמעותי יותר הנוגע לחלקם של המערער ונאשם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בפרשה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הנאשם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היה כאמור יוזם האירוע לאחר ויכוח על רקע אישי שלו עם המתלונן ולאחר שהוא איים על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ובפועל הוא נטל תפקיד מרכזי פעיל במעשה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לעומת תפקידו המשני והפסיבי של המערער בפרשה כולה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בנסיבות אלה איני סבור שהייתה הצדקה לכך שעונשו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יהיה פחות מעונשו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ולכל היותר ניתן לומר ששיקול הקטינות מאזן את חלקו המשמעותי יותר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ושיתף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מגישתו המסויגת של המערער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מסויגת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צידוק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להשוואת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 לטעמי</w:t>
      </w:r>
      <w:r>
        <w:rPr>
          <w:rtl w:val="true"/>
        </w:rPr>
        <w:t xml:space="preserve">, </w:t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גם אלמלא השיקול של אחידות הענישה ספק רב אם היה נכון לגזור על המערער עונש של מאסר בפועל</w:t>
      </w:r>
      <w:r>
        <w:rPr>
          <w:rtl w:val="true"/>
        </w:rPr>
        <w:t xml:space="preserve">. </w:t>
      </w:r>
      <w:r>
        <w:rPr>
          <w:rtl w:val="true"/>
        </w:rPr>
        <w:t>מדובר כאמור בצעיר נעדר עבר פלילי ודפוסים עברייניים</w:t>
      </w:r>
      <w:r>
        <w:rPr>
          <w:rtl w:val="true"/>
        </w:rPr>
        <w:t xml:space="preserve">, </w:t>
      </w:r>
      <w:r>
        <w:rPr>
          <w:rtl w:val="true"/>
        </w:rPr>
        <w:t>אשר לראשונה היה מעורב באירוע פלילי בו נטל תפקיד משני ופסיבי</w:t>
      </w:r>
      <w:r>
        <w:rPr>
          <w:rtl w:val="true"/>
        </w:rPr>
        <w:t xml:space="preserve">. </w:t>
      </w:r>
      <w:r>
        <w:rPr>
          <w:rtl w:val="true"/>
        </w:rPr>
        <w:t>לכך יש להוסיף את נסיבות חייו הקשות</w:t>
      </w:r>
      <w:r>
        <w:rPr>
          <w:rtl w:val="true"/>
        </w:rPr>
        <w:t xml:space="preserve">. </w:t>
      </w:r>
      <w:r>
        <w:rPr>
          <w:rtl w:val="true"/>
        </w:rPr>
        <w:t>במקרה כזה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של עבירה ראשונה ויחידה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וכאשר </w:t>
      </w:r>
      <w:r>
        <w:rPr>
          <w:sz w:val="28"/>
          <w:sz w:val="28"/>
          <w:rtl w:val="true"/>
        </w:rPr>
        <w:t>רב הסיכוי כי המערער למד את לקחו</w:t>
      </w:r>
      <w:r>
        <w:rPr>
          <w:sz w:val="28"/>
          <w:rtl w:val="true"/>
        </w:rPr>
        <w:t xml:space="preserve">, </w:t>
      </w:r>
      <w:r>
        <w:rPr>
          <w:rtl w:val="true"/>
        </w:rPr>
        <w:t xml:space="preserve">זהו גם האינטרס של החברה </w:t>
      </w:r>
      <w:r>
        <w:rPr>
          <w:sz w:val="28"/>
          <w:sz w:val="28"/>
          <w:rtl w:val="true"/>
        </w:rPr>
        <w:t>להושיט למערער יד ולסייע לו לעלות על דרך המלך ולחזור לחיק החברה הנורמטיבית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ולא לשולחו למאסר מאחורי סורג ובריח שאחריתו מי ישורנה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658/01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כהן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11.10.2001</w:t>
      </w:r>
      <w:r>
        <w:rPr>
          <w:sz w:val="28"/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821/16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19.7.2016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9090/00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22.2.2001</w:t>
      </w:r>
      <w:r>
        <w:rPr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דיינו בשיקול של אחידות הענישה כדי להצדיק התערבותנו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אשר על כן אציע לחבריי כי נקבל את הערעור ונעמיד את עונש המאסר בפועל שהושת על המערער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בכפוף לחוות דעת הממונה על עבודות השירות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17.6.2018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; </w:t>
      </w:r>
      <w:r>
        <w:rPr>
          <w:rtl w:val="true"/>
        </w:rPr>
        <w:t>האחידות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>-</w:t>
      </w:r>
      <w:r>
        <w:rPr>
          <w:rtl w:val="true"/>
        </w:rPr>
        <w:t>הקטן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מזוז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17.5.2018</w:t>
      </w:r>
      <w:r>
        <w:rPr>
          <w:rtl w:val="true"/>
        </w:rPr>
        <w:t xml:space="preserve">).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18021660</w:t>
      </w:r>
      <w:r>
        <w:rPr>
          <w:sz w:val="16"/>
          <w:rtl w:val="true"/>
        </w:rPr>
        <w:t>_</w:t>
      </w:r>
      <w:r>
        <w:rPr>
          <w:sz w:val="16"/>
        </w:rPr>
        <w:t>B04.doc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54678313-2166/18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2166/18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case/22556695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3104267" TargetMode="External"/><Relationship Id="rId10" Type="http://schemas.openxmlformats.org/officeDocument/2006/relationships/hyperlink" Target="http://www.nevo.co.il/case/5733798" TargetMode="External"/><Relationship Id="rId11" Type="http://schemas.openxmlformats.org/officeDocument/2006/relationships/hyperlink" Target="http://www.nevo.co.il/case/5703734" TargetMode="External"/><Relationship Id="rId12" Type="http://schemas.openxmlformats.org/officeDocument/2006/relationships/hyperlink" Target="http://www.nevo.co.il/case/5581634" TargetMode="External"/><Relationship Id="rId13" Type="http://schemas.openxmlformats.org/officeDocument/2006/relationships/hyperlink" Target="http://www.nevo.co.il/case/6247752" TargetMode="External"/><Relationship Id="rId14" Type="http://schemas.openxmlformats.org/officeDocument/2006/relationships/hyperlink" Target="http://www.nevo.co.il/case/18654248" TargetMode="External"/><Relationship Id="rId15" Type="http://schemas.openxmlformats.org/officeDocument/2006/relationships/hyperlink" Target="http://www.nevo.co.il/case/5716894" TargetMode="External"/><Relationship Id="rId16" Type="http://schemas.openxmlformats.org/officeDocument/2006/relationships/hyperlink" Target="http://www.nevo.co.il/case/20924175" TargetMode="External"/><Relationship Id="rId17" Type="http://schemas.openxmlformats.org/officeDocument/2006/relationships/hyperlink" Target="http://www.nevo.co.il/case/6144854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2018-05-21T11:43:00Z</dcterms:created>
  <dc:creator> </dc:creator>
  <dc:description/>
  <cp:keywords/>
  <dc:language>en-IL</dc:language>
  <cp:lastModifiedBy>orly</cp:lastModifiedBy>
  <cp:lastPrinted>2018-05-15T15:52:00Z</cp:lastPrinted>
  <dcterms:modified xsi:type="dcterms:W3CDTF">2018-05-21T11:43:00Z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22556695;13104267;5733798;5703734;5581634;6247752;18654248;5716894;20924175;6144854</vt:lpwstr>
  </property>
  <property fmtid="{D5CDD505-2E9C-101B-9397-08002B2CF9AE}" pid="9" name="CITY">
    <vt:lpwstr/>
  </property>
  <property fmtid="{D5CDD505-2E9C-101B-9397-08002B2CF9AE}" pid="10" name="DATE">
    <vt:lpwstr>20180517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מזוז;ע' גרוסקופף</vt:lpwstr>
  </property>
  <property fmtid="{D5CDD505-2E9C-101B-9397-08002B2CF9AE}" pid="14" name="LAWLISTTMP1">
    <vt:lpwstr>70301/448.a;029</vt:lpwstr>
  </property>
  <property fmtid="{D5CDD505-2E9C-101B-9397-08002B2CF9AE}" pid="15" name="LAWYER">
    <vt:lpwstr>שרית רייך אבניאל;מאהר תלחמי;ברכה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אחדות הענישה</vt:lpwstr>
  </property>
  <property fmtid="{D5CDD505-2E9C-101B-9397-08002B2CF9AE}" pid="49" name="NOSE310">
    <vt:lpwstr/>
  </property>
  <property fmtid="{D5CDD505-2E9C-101B-9397-08002B2CF9AE}" pid="50" name="NOSE32">
    <vt:lpwstr>שיקולי ענישה</vt:lpwstr>
  </property>
  <property fmtid="{D5CDD505-2E9C-101B-9397-08002B2CF9AE}" pid="51" name="NOSE33">
    <vt:lpwstr>התערבות ערכאת הערעור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12547;15506;8978</vt:lpwstr>
  </property>
  <property fmtid="{D5CDD505-2E9C-101B-9397-08002B2CF9AE}" pid="59" name="PADIDATE">
    <vt:lpwstr>20180521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2166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410120180517</vt:lpwstr>
  </property>
  <property fmtid="{D5CDD505-2E9C-101B-9397-08002B2CF9AE}" pid="69" name="TYPE_N_DATE">
    <vt:lpwstr>41020180517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