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2186/23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סאלם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עאנם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11125-03-23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14.3.2023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טהה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</w:p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  <w:t>בשם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המערער</w:t>
      </w:r>
      <w:r>
        <w:rPr>
          <w:rFonts w:cs="David"/>
          <w:spacing w:val="0"/>
          <w:rtl w:val="true"/>
        </w:rPr>
        <w:t>:</w:t>
      </w:r>
      <w:r>
        <w:rPr>
          <w:rFonts w:cs="David"/>
          <w:spacing w:val="0"/>
          <w:rtl w:val="true"/>
        </w:rPr>
        <w:tab/>
      </w:r>
      <w:r>
        <w:rPr>
          <w:rFonts w:cs="David"/>
          <w:spacing w:val="0"/>
          <w:rtl w:val="true"/>
        </w:rPr>
        <w:t>עו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ד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אלירן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בלוטמן</w:t>
      </w:r>
    </w:p>
    <w:p>
      <w:pPr>
        <w:pStyle w:val="Ruller31"/>
        <w:ind w:end="0"/>
        <w:jc w:val="start"/>
        <w:rPr>
          <w:rFonts w:cs="David"/>
          <w:spacing w:val="0"/>
        </w:rPr>
      </w:pPr>
      <w:bookmarkStart w:id="3" w:name="FirstLawyer"/>
      <w:r>
        <w:rPr>
          <w:rFonts w:cs="David"/>
          <w:spacing w:val="0"/>
          <w:rtl w:val="true"/>
        </w:rPr>
        <w:t>בשם המשיב</w:t>
      </w:r>
      <w:bookmarkEnd w:id="3"/>
      <w:r>
        <w:rPr>
          <w:rFonts w:cs="David"/>
          <w:spacing w:val="0"/>
          <w:rtl w:val="true"/>
        </w:rPr>
        <w:t>ה</w:t>
      </w:r>
      <w:r>
        <w:rPr>
          <w:rFonts w:cs="David"/>
          <w:spacing w:val="0"/>
          <w:rtl w:val="true"/>
        </w:rPr>
        <w:t>:</w:t>
      </w:r>
      <w:r>
        <w:rPr>
          <w:rFonts w:cs="David"/>
          <w:spacing w:val="0"/>
          <w:rtl w:val="true"/>
        </w:rPr>
        <w:tab/>
      </w:r>
      <w:r>
        <w:rPr>
          <w:rFonts w:cs="David"/>
          <w:spacing w:val="0"/>
          <w:rtl w:val="true"/>
        </w:rPr>
        <w:t>עו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ד איתמר גלבפיש</w:t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באדר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15.03.23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ו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ישכיל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צירופם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בה נדחתה בקשת המערער לעיכוב ביצוע רכיב המאסר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 עליו בגזר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השלום לתעבורה שניתן בעקבות הרשעת המערער בשמונה עבירות של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השופטת 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הבקשה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הוא כי על הנאשם להתחיל לרצות את עונשו מיד לאחר 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עיכוב הביצוע יהיה בנסיבות מיוחדות וחריגות שיש בהן כדי לגבור על האינטרס הציבורי ביעילות המשפט הפלילי ובאכיפה מיידית של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בבואו לבחון התקיימותן של נסיבות מיוחדות וחריגות כאמור על ביהמ”ש להביא בחשבון מספר שיקולים שנקבעו בהלכת שוורץ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העבירה ונסיבות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המאסר שנגזרה על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טיב הערעור וסיכויי הצלחתו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הפלילי של הנאשם והתנהגותו במהלך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והשאלה האם מדובר בערעור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יישום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לענייננו מוביל לקבלת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בן 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 פלילי למעט מעורבותו באירוע המזעזע של התאונה נושא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 כל התקופה הארוכה בה התנהל משפטו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!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נעדר מהדיונים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עלה חשש כי יימלט מאימת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הוטלו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תנאים מגבילים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בכך יש כדי ללמד שהמשיבה לא הייתה סבורה כי נשקף ממנו סיכון כלשהו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דובר בעבירה שבוצעה לפני שנים רבות השיקול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מידיות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איננו שיקול 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ציין בעבר כי חלוף הזמן מאז ביצוע העבירות יכול להטות את הכף לטובת קבלת בקשה לעיכוב ביצוע כאשר כפות המאזניים מעוינות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כאשר הנאשם לא נעצר או נשלח לחלופת מעצר לכל אורך התקופה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 זהו המצב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 הוא עונש חמור וממושך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איננו מערער רק על חומרת העונש אלא גם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לקבוע בשלב זה כי סיכויי הערעור שלו הם גבוהים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לשלול כבר בשלב זה את האפשרות כי המערער ישכיל לשכנע את ערכאת הערעור בטענותיו – ואם יעשה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הדבר עשוי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הסיכוי לכך נמוך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להביא לזיכויו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מובן כי אם יזוכה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שייאלץ קודם לכן לרצות עונש מאסר היא בעייתית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בעייתית תמיד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ובעייתית שבעתיים כאשר מדובר במי שזהו לו המאסר הראשון בחייו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הוא בן 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</w:t>
      </w:r>
      <w:r>
        <w:rPr>
          <w:rFonts w:cs="FrankRuehl"/>
          <w:sz w:val="24"/>
          <w:sz w:val="24"/>
          <w:szCs w:val="26"/>
          <w:rtl w:val="true"/>
        </w:rPr>
        <w:t>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יידחה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צירופם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FrankRuehl"/>
          <w:sz w:val="24"/>
          <w:szCs w:val="26"/>
          <w:rtl w:val="true"/>
        </w:rPr>
        <w:t>.</w:t>
      </w:r>
      <w:bookmarkStart w:id="5" w:name="ABSTRACT_END"/>
      <w:bookmarkEnd w:id="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1" w:name="Writer_Name"/>
      <w:bookmarkStart w:id="12" w:name="Writer_Name"/>
      <w:bookmarkEnd w:id="12"/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bookmarkStart w:id="13" w:name="Start_Write"/>
      <w:bookmarkEnd w:id="13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לפניי ערעור על החלטת בית המשפט המחוזי בבאר שבע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טהה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11125-03-23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14.3.2023</w:t>
      </w:r>
      <w:r>
        <w:rPr>
          <w:rtl w:val="true"/>
        </w:rPr>
        <w:t xml:space="preserve"> </w:t>
      </w:r>
      <w:r>
        <w:rPr>
          <w:rtl w:val="true"/>
        </w:rPr>
        <w:t xml:space="preserve">בה נדחתה בקשת המערער לעיכוב ביצוע רכיב המאסר שהוטל עליו בגזר דינו של בית משפט השלום לתעבורה בבאר שבע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גמ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3124-05-15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12.9.2022</w:t>
      </w:r>
      <w:r>
        <w:rPr>
          <w:rtl w:val="true"/>
        </w:rPr>
        <w:t xml:space="preserve">, </w:t>
      </w:r>
      <w:r>
        <w:rPr>
          <w:rtl w:val="true"/>
        </w:rPr>
        <w:t>לאחר ניהול הליך הוכחות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משפט השלום לתעבורה בבאר שבע את המערער בשמונה עבירות של גרם מוות ברשלנות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 xml:space="preserve">בצירוף עבירה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hyperlink r:id="rId19">
        <w:r>
          <w:rPr>
            <w:rStyle w:val="Hyperlink"/>
            <w:rtl w:val="true"/>
          </w:rPr>
          <w:t>ותקנות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29.1.2023</w:t>
      </w:r>
      <w:r>
        <w:rPr>
          <w:rtl w:val="true"/>
        </w:rPr>
        <w:t xml:space="preserve"> </w:t>
      </w:r>
      <w:r>
        <w:rPr>
          <w:rtl w:val="true"/>
        </w:rPr>
        <w:t>גזר בית משפט השלום לתעבורה את דינו של המערער והשית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שבע שנות 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3.2.2015</w:t>
      </w:r>
      <w:r>
        <w:rPr>
          <w:rtl w:val="true"/>
        </w:rPr>
        <w:t xml:space="preserve"> </w:t>
      </w:r>
      <w:r>
        <w:rPr>
          <w:rtl w:val="true"/>
        </w:rPr>
        <w:t xml:space="preserve">נהג המערער בסמוך לשעה </w:t>
      </w:r>
      <w:r>
        <w:rPr/>
        <w:t>14:25</w:t>
      </w:r>
      <w:r>
        <w:rPr>
          <w:rtl w:val="true"/>
        </w:rPr>
        <w:t xml:space="preserve"> </w:t>
      </w:r>
      <w:r>
        <w:rPr>
          <w:rtl w:val="true"/>
        </w:rPr>
        <w:t xml:space="preserve">בכביש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בין צומת שוקן ללהבים</w:t>
      </w:r>
      <w:r>
        <w:rPr>
          <w:rtl w:val="true"/>
        </w:rPr>
        <w:t xml:space="preserve">, </w:t>
      </w:r>
      <w:r>
        <w:rPr>
          <w:rtl w:val="true"/>
        </w:rPr>
        <w:t xml:space="preserve">ברכב משא תומך מסוג סקניה </w:t>
      </w:r>
      <w:r>
        <w:rPr>
          <w:rtl w:val="true"/>
        </w:rPr>
        <w:t>(</w:t>
      </w:r>
      <w:r>
        <w:rPr>
          <w:rtl w:val="true"/>
        </w:rPr>
        <w:t>משאית</w:t>
      </w:r>
      <w:r>
        <w:rPr>
          <w:rtl w:val="true"/>
        </w:rPr>
        <w:t xml:space="preserve">), </w:t>
      </w:r>
      <w:r>
        <w:rPr>
          <w:rtl w:val="true"/>
        </w:rPr>
        <w:t>אליו היה מחובר נתמך</w:t>
      </w:r>
      <w:r>
        <w:rPr>
          <w:rtl w:val="true"/>
        </w:rPr>
        <w:t xml:space="preserve">. </w:t>
      </w:r>
      <w:r>
        <w:rPr>
          <w:rtl w:val="true"/>
        </w:rPr>
        <w:t>על גבי הנתמך הוביל המערער שני טרקטורים</w:t>
      </w:r>
      <w:r>
        <w:rPr>
          <w:rtl w:val="true"/>
        </w:rPr>
        <w:t xml:space="preserve">, </w:t>
      </w:r>
      <w:r>
        <w:rPr>
          <w:rtl w:val="true"/>
        </w:rPr>
        <w:t xml:space="preserve">שלכל אחד מהם הייתה מחוברת קלטרת </w:t>
      </w:r>
      <w:r>
        <w:rPr>
          <w:rtl w:val="true"/>
        </w:rPr>
        <w:t>(</w:t>
      </w:r>
      <w:r>
        <w:rPr>
          <w:rtl w:val="true"/>
        </w:rPr>
        <w:t>מכונה חקלאית להפיכת קרקע</w:t>
      </w:r>
      <w:r>
        <w:rPr>
          <w:rtl w:val="true"/>
        </w:rPr>
        <w:t xml:space="preserve">). </w:t>
      </w:r>
      <w:r>
        <w:rPr>
          <w:rtl w:val="true"/>
        </w:rPr>
        <w:t>המטען חרג מרוחב המשאית</w:t>
      </w:r>
      <w:r>
        <w:rPr>
          <w:rtl w:val="true"/>
        </w:rPr>
        <w:t xml:space="preserve">. </w:t>
      </w:r>
      <w:r>
        <w:rPr>
          <w:rtl w:val="true"/>
        </w:rPr>
        <w:t>בהגיעו של המערער לקילומטר ה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(</w:t>
      </w:r>
      <w:r>
        <w:rPr>
          <w:rtl w:val="true"/>
        </w:rPr>
        <w:t>קטע כביש מעוקל בו בוצעו עבודות</w:t>
      </w:r>
      <w:r>
        <w:rPr>
          <w:rtl w:val="true"/>
        </w:rPr>
        <w:t xml:space="preserve">) </w:t>
      </w:r>
      <w:r>
        <w:rPr>
          <w:rtl w:val="true"/>
        </w:rPr>
        <w:t xml:space="preserve">פגעה הקלטרת באוטובוס נוסעים אשר הגיע מהנתיב הנגדי </w:t>
      </w:r>
      <w:r>
        <w:rPr>
          <w:rtl w:val="true"/>
        </w:rPr>
        <w:t>(</w:t>
      </w:r>
      <w:r>
        <w:rPr>
          <w:rtl w:val="true"/>
        </w:rPr>
        <w:t>מול כיוון המערער</w:t>
      </w:r>
      <w:r>
        <w:rPr>
          <w:rtl w:val="true"/>
        </w:rPr>
        <w:t xml:space="preserve">). </w:t>
      </w:r>
      <w:r>
        <w:rPr>
          <w:rtl w:val="true"/>
        </w:rPr>
        <w:t>כתוצאה מחדירת הקלטרת לאוטובוס מצאו את מותן שמונה נוסעות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ביחד עם המערער הואשמו בכתב האישום ארבעה נאשמים נוספים</w:t>
      </w:r>
      <w:r>
        <w:rPr>
          <w:rtl w:val="true"/>
        </w:rPr>
        <w:t xml:space="preserve">: </w:t>
      </w:r>
      <w:r>
        <w:rPr>
          <w:rtl w:val="true"/>
        </w:rPr>
        <w:t xml:space="preserve">חברת </w:t>
      </w:r>
      <w:r>
        <w:rPr>
          <w:rtl w:val="true"/>
        </w:rPr>
        <w:t>"</w:t>
      </w:r>
      <w:r>
        <w:rPr>
          <w:rtl w:val="true"/>
        </w:rPr>
        <w:t>עוז מסע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), </w:t>
      </w:r>
      <w:r>
        <w:rPr>
          <w:rtl w:val="true"/>
        </w:rPr>
        <w:t>שבבעלותה ובאחריותה היו המוביל והנתמך נשוא התאונה</w:t>
      </w:r>
      <w:r>
        <w:rPr>
          <w:rtl w:val="true"/>
        </w:rPr>
        <w:t xml:space="preserve">; </w:t>
      </w:r>
      <w:r>
        <w:rPr>
          <w:rtl w:val="true"/>
        </w:rPr>
        <w:t>רפאל כחלון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 החברה</w:t>
      </w:r>
      <w:r>
        <w:rPr>
          <w:rtl w:val="true"/>
        </w:rPr>
        <w:t xml:space="preserve">, </w:t>
      </w:r>
      <w:r>
        <w:rPr>
          <w:rtl w:val="true"/>
        </w:rPr>
        <w:t xml:space="preserve">שהיה ממונה על הנאשמים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ועל המערער</w:t>
      </w:r>
      <w:r>
        <w:rPr>
          <w:rtl w:val="true"/>
        </w:rPr>
        <w:t xml:space="preserve">; </w:t>
      </w:r>
      <w:r>
        <w:rPr>
          <w:rtl w:val="true"/>
        </w:rPr>
        <w:t>אורן אליהו</w:t>
      </w:r>
      <w:r>
        <w:rPr>
          <w:rtl w:val="true"/>
        </w:rPr>
        <w:t xml:space="preserve">, </w:t>
      </w:r>
      <w:r>
        <w:rPr>
          <w:rtl w:val="true"/>
        </w:rPr>
        <w:t>סמנכ</w:t>
      </w:r>
      <w:r>
        <w:rPr>
          <w:rtl w:val="true"/>
        </w:rPr>
        <w:t>"</w:t>
      </w:r>
      <w:r>
        <w:rPr>
          <w:rtl w:val="true"/>
        </w:rPr>
        <w:t>ל תפעול בחברה ונחום גלעד</w:t>
      </w:r>
      <w:r>
        <w:rPr>
          <w:rtl w:val="true"/>
        </w:rPr>
        <w:t xml:space="preserve">, </w:t>
      </w:r>
      <w:r>
        <w:rPr>
          <w:rtl w:val="true"/>
        </w:rPr>
        <w:t>קצין הבטיחות בחברה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6.3.2023</w:t>
      </w:r>
      <w:r>
        <w:rPr>
          <w:rtl w:val="true"/>
        </w:rPr>
        <w:t xml:space="preserve"> </w:t>
      </w:r>
      <w:r>
        <w:rPr>
          <w:rtl w:val="true"/>
        </w:rPr>
        <w:t>הגיש המערער לבית המשפט המחוזי בבאר שבע הודעת ערעור כנגד הכרעת הדין ולחילופין כנגד גזר הדין של בית משפט השלום לתעבורה</w:t>
      </w:r>
      <w:r>
        <w:rPr>
          <w:rtl w:val="true"/>
        </w:rPr>
        <w:t xml:space="preserve">. </w:t>
      </w:r>
      <w:r>
        <w:rPr>
          <w:rtl w:val="true"/>
        </w:rPr>
        <w:t>במסגרת הודעת הערעור ונוכח היקף התיק ומורכבות הטענות</w:t>
      </w:r>
      <w:r>
        <w:rPr>
          <w:rtl w:val="true"/>
        </w:rPr>
        <w:t xml:space="preserve">, </w:t>
      </w:r>
      <w:r>
        <w:rPr>
          <w:rtl w:val="true"/>
        </w:rPr>
        <w:t xml:space="preserve">הוגשה בקשה להגשת נימוקי ערעור מפורטים עד ליום </w:t>
      </w:r>
      <w:r>
        <w:rPr/>
        <w:t>13.5.2023</w:t>
      </w:r>
      <w:r>
        <w:rPr>
          <w:rtl w:val="true"/>
        </w:rPr>
        <w:t xml:space="preserve">. </w:t>
      </w:r>
      <w:r>
        <w:rPr>
          <w:rtl w:val="true"/>
        </w:rPr>
        <w:t>בית המשפט המחוזי נעתר לבקשה והורה על מתן ארכה כמבוקש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 בבד עם הגשת הודעת הערעור הגיש המערער בקשה לעיכוב ביצוע רכיב המאסר בגזר דינו של בית משפט השלום לתעבורה</w:t>
      </w:r>
      <w:r>
        <w:rPr>
          <w:rtl w:val="true"/>
        </w:rPr>
        <w:t xml:space="preserve">. </w:t>
      </w:r>
      <w:r>
        <w:rPr>
          <w:rtl w:val="true"/>
        </w:rPr>
        <w:t>לאור התנגדות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נקבע דיון בבקשה ליום </w:t>
      </w:r>
      <w:r>
        <w:rPr/>
        <w:t>13.3.2023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14.3.2023</w:t>
      </w:r>
      <w:r>
        <w:rPr>
          <w:rtl w:val="true"/>
        </w:rPr>
        <w:t xml:space="preserve"> </w:t>
      </w:r>
      <w:r>
        <w:rPr>
          <w:rtl w:val="true"/>
        </w:rPr>
        <w:t>דחה אותה בית משפט קמא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קבע בית משפט קמא כי בשלב זה אין ביכולתו להעריך את סיכויי הערעור לאשורם</w:t>
      </w:r>
      <w:r>
        <w:rPr>
          <w:rtl w:val="true"/>
        </w:rPr>
        <w:t xml:space="preserve">. </w:t>
      </w:r>
      <w:r>
        <w:rPr>
          <w:rtl w:val="true"/>
        </w:rPr>
        <w:t>עם זאת נקבע כי בפני המערער תעמוד משימה לא קלה לשם הוכחת ערעורו</w:t>
      </w:r>
      <w:r>
        <w:rPr>
          <w:rtl w:val="true"/>
        </w:rPr>
        <w:t xml:space="preserve">. </w:t>
      </w:r>
      <w:r>
        <w:rPr>
          <w:rtl w:val="true"/>
        </w:rPr>
        <w:t>זאת משום שהכרעת הדין של בית משפט השלום לתעבורה מפורטת ומנומקת</w:t>
      </w:r>
      <w:r>
        <w:rPr>
          <w:rtl w:val="true"/>
        </w:rPr>
        <w:t xml:space="preserve">, </w:t>
      </w:r>
      <w:r>
        <w:rPr>
          <w:rtl w:val="true"/>
        </w:rPr>
        <w:t>ומבוססת בעיקרה על הכרעות עובדתיות</w:t>
      </w:r>
      <w:r>
        <w:rPr>
          <w:rtl w:val="true"/>
        </w:rPr>
        <w:t xml:space="preserve">, </w:t>
      </w:r>
      <w:r>
        <w:rPr>
          <w:rtl w:val="true"/>
        </w:rPr>
        <w:t>הערכת ראיות והעדפת גרסה עובדתית אחת על פני אחרת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 כי על פני הדברים לא נראה שנפלה טעות מהותית ובולטת לעין בהערכת המהימנות או כי הערכאה הדיונית אימצה גרסה מופרכת או חסרת היגיון</w:t>
      </w:r>
      <w:r>
        <w:rPr>
          <w:rtl w:val="true"/>
        </w:rPr>
        <w:t xml:space="preserve">. </w:t>
      </w:r>
      <w:r>
        <w:rPr>
          <w:rtl w:val="true"/>
        </w:rPr>
        <w:t>מכאן שלא ניתן לקבוע כי טענות הערעור שומטות את התשתית שבבסיס הכרעתו של בית משפט השלום לתעבורה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משפט קמא הוסיף וקבע כי אין בשיקולים הנוספים עליהם הצביע המערער </w:t>
      </w:r>
      <w:r>
        <w:rPr>
          <w:rtl w:val="true"/>
        </w:rPr>
        <w:t>–</w:t>
      </w:r>
      <w:r>
        <w:rPr>
          <w:rtl w:val="true"/>
        </w:rPr>
        <w:t xml:space="preserve"> חלוף הזמן</w:t>
      </w:r>
      <w:r>
        <w:rPr>
          <w:rtl w:val="true"/>
        </w:rPr>
        <w:t xml:space="preserve">, </w:t>
      </w:r>
      <w:r>
        <w:rPr>
          <w:rtl w:val="true"/>
        </w:rPr>
        <w:t>היעדר מסוכנות</w:t>
      </w:r>
      <w:r>
        <w:rPr>
          <w:rtl w:val="true"/>
        </w:rPr>
        <w:t xml:space="preserve">, </w:t>
      </w:r>
      <w:r>
        <w:rPr>
          <w:rtl w:val="true"/>
        </w:rPr>
        <w:t xml:space="preserve">היעדר חשש להימלטות והתייצבות לכלל הדיונים במשפט </w:t>
      </w:r>
      <w:r>
        <w:rPr>
          <w:rtl w:val="true"/>
        </w:rPr>
        <w:t>–</w:t>
      </w:r>
      <w:r>
        <w:rPr>
          <w:rtl w:val="true"/>
        </w:rPr>
        <w:t xml:space="preserve"> כדי להטות את הכף לטובת עיכוב ביצוע עונש המאסר</w:t>
      </w:r>
      <w:r>
        <w:rPr>
          <w:rtl w:val="true"/>
        </w:rPr>
        <w:t xml:space="preserve">. </w:t>
      </w:r>
      <w:r>
        <w:rPr>
          <w:rtl w:val="true"/>
        </w:rPr>
        <w:t>זאת בשים לב לחומרת המעשים ולתוצאה הקשה והטרגית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כי המערער יתייצב לתחילת ריצוי עונשו ביום </w:t>
      </w:r>
      <w:r>
        <w:rPr/>
        <w:t>15.3.2023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10:00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15.3.2023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המערער טוען כי התנאים לעיכוב ביצוע עונש מאסר שנקבעו 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חומרת העבירה ונסיבות ביצועה</w:t>
      </w:r>
      <w:r>
        <w:rPr>
          <w:rtl w:val="true"/>
        </w:rPr>
        <w:t xml:space="preserve">; </w:t>
      </w:r>
      <w:r>
        <w:rPr>
          <w:rtl w:val="true"/>
        </w:rPr>
        <w:t>אורך תקופת המאסר שהושתה על הנדון</w:t>
      </w:r>
      <w:r>
        <w:rPr>
          <w:rtl w:val="true"/>
        </w:rPr>
        <w:t xml:space="preserve">; </w:t>
      </w:r>
      <w:r>
        <w:rPr>
          <w:rtl w:val="true"/>
        </w:rPr>
        <w:t>טיב הערעור וסיכויי הצלחתו</w:t>
      </w:r>
      <w:r>
        <w:rPr>
          <w:rtl w:val="true"/>
        </w:rPr>
        <w:t xml:space="preserve">; </w:t>
      </w:r>
      <w:r>
        <w:rPr>
          <w:rtl w:val="true"/>
        </w:rPr>
        <w:t>עברו הפלילי של הנדון והתנהגותו במהלך המשפט</w:t>
      </w:r>
      <w:r>
        <w:rPr>
          <w:rtl w:val="true"/>
        </w:rPr>
        <w:t xml:space="preserve">; </w:t>
      </w:r>
      <w:r>
        <w:rPr>
          <w:rtl w:val="true"/>
        </w:rPr>
        <w:t>נסיבותיו האישיות של הנדון</w:t>
      </w:r>
      <w:r>
        <w:rPr>
          <w:rtl w:val="true"/>
        </w:rPr>
        <w:t xml:space="preserve">; </w:t>
      </w:r>
      <w:r>
        <w:rPr>
          <w:rtl w:val="true"/>
        </w:rPr>
        <w:t xml:space="preserve">והיות הערעור על חומרת העונש </w:t>
      </w:r>
      <w:r>
        <w:rPr>
          <w:rtl w:val="true"/>
        </w:rPr>
        <w:t>–</w:t>
      </w:r>
      <w:r>
        <w:rPr>
          <w:rtl w:val="true"/>
        </w:rPr>
        <w:t xml:space="preserve"> מתקיימים בעניינו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 לנסיבותיו הייחודיות של המקרה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נטען כי העבירה בה הורשע המערער </w:t>
      </w:r>
      <w:r>
        <w:rPr>
          <w:rtl w:val="true"/>
        </w:rPr>
        <w:t>–</w:t>
      </w:r>
      <w:r>
        <w:rPr>
          <w:rtl w:val="true"/>
        </w:rPr>
        <w:t xml:space="preserve"> גרימת מוות ברשלנות</w:t>
      </w:r>
      <w:r>
        <w:rPr>
          <w:rtl w:val="true"/>
        </w:rPr>
        <w:t xml:space="preserve">, </w:t>
      </w:r>
      <w:r>
        <w:rPr>
          <w:rtl w:val="true"/>
        </w:rPr>
        <w:t>אינה טומנת בחובה מודעות או כוונה פלילית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מטבעה המסוכנות העולה ממנה אינה זהה לעבירות בעלות יסוד נפשי של מודעות אשר גורמות למותו של אדם</w:t>
      </w:r>
      <w:r>
        <w:rPr>
          <w:rtl w:val="true"/>
        </w:rPr>
        <w:t xml:space="preserve">. </w:t>
      </w:r>
      <w:r>
        <w:rPr>
          <w:rtl w:val="true"/>
        </w:rPr>
        <w:t>זאת מבלי להקל ראש בחומרת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נטען כי אמנם מדובר בתקופה לא קצרה </w:t>
      </w:r>
      <w:r>
        <w:rPr>
          <w:rtl w:val="true"/>
        </w:rPr>
        <w:t>(</w:t>
      </w:r>
      <w:r>
        <w:rPr>
          <w:rtl w:val="true"/>
        </w:rPr>
        <w:t>שבע שנים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לתת ביטוי לכך שמדובר במאסר ראשון</w:t>
      </w:r>
      <w:r>
        <w:rPr>
          <w:rtl w:val="true"/>
        </w:rPr>
        <w:t xml:space="preserve">, </w:t>
      </w:r>
      <w:r>
        <w:rPr>
          <w:rtl w:val="true"/>
        </w:rPr>
        <w:t>ובמערער נטול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סב לשמונה נכדים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נטען כי סיכויי הערעור טובים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 שהערעור מוגש כנגד הכרעת הדין</w:t>
      </w:r>
      <w:r>
        <w:rPr>
          <w:rtl w:val="true"/>
        </w:rPr>
        <w:t xml:space="preserve">, </w:t>
      </w:r>
      <w:r>
        <w:rPr>
          <w:rtl w:val="true"/>
        </w:rPr>
        <w:t>ונסוב סביב קביעותיו של בית משפט השלום לתעבורה אשר שללו כל אחריות הן מצד נהג האוטובוס והן מצד נהג רכב הליווי המשטרתי שנסע לפני המשאית בה נהג המערער</w:t>
      </w:r>
      <w:r>
        <w:rPr>
          <w:rtl w:val="true"/>
        </w:rPr>
        <w:t xml:space="preserve">, </w:t>
      </w:r>
      <w:r>
        <w:rPr>
          <w:rtl w:val="true"/>
        </w:rPr>
        <w:t>כמו גם מנאשמים נוספים שלאור רשלנותם הורשעו באותו התיק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טוען כי רשלנותו של רכב הליווי המשטרתי היא גבוהה </w:t>
      </w:r>
      <w:r>
        <w:rPr>
          <w:rtl w:val="true"/>
        </w:rPr>
        <w:t>–</w:t>
      </w:r>
      <w:r>
        <w:rPr>
          <w:rtl w:val="true"/>
        </w:rPr>
        <w:t xml:space="preserve"> שכן רכב הליווי המשטרתי הקדמי נטש את המערער אשר נותר לנסוע בכביש ללא ליווי קדמי</w:t>
      </w:r>
      <w:r>
        <w:rPr>
          <w:rtl w:val="true"/>
        </w:rPr>
        <w:t xml:space="preserve">. </w:t>
      </w:r>
      <w:r>
        <w:rPr>
          <w:rtl w:val="true"/>
        </w:rPr>
        <w:t xml:space="preserve">רכב הליווי הקדמי היה אמור להתריע ולדאוג לביטחונם של כלי הרכב המגיעים ממול </w:t>
      </w:r>
      <w:r>
        <w:rPr>
          <w:rtl w:val="true"/>
        </w:rPr>
        <w:t>(</w:t>
      </w:r>
      <w:r>
        <w:rPr>
          <w:rtl w:val="true"/>
        </w:rPr>
        <w:t>כמו האוטובוס</w:t>
      </w:r>
      <w:r>
        <w:rPr>
          <w:rtl w:val="true"/>
        </w:rPr>
        <w:t xml:space="preserve">). </w:t>
      </w:r>
      <w:r>
        <w:rPr>
          <w:rtl w:val="true"/>
        </w:rPr>
        <w:t>רשלנות זו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היא חמורה עד כדי ניתוק הקשר הסיבתי בין רשלנות המערער לבין קרות התאונה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הצביע המערער בבקשתו הנוכחית על קביעות של בית משפט השלום לתעבורה שלשיטתו סותרות זו את זו</w:t>
      </w:r>
      <w:r>
        <w:rPr>
          <w:rtl w:val="true"/>
        </w:rPr>
        <w:t xml:space="preserve">. </w:t>
      </w:r>
      <w:r>
        <w:rPr>
          <w:rtl w:val="true"/>
        </w:rPr>
        <w:t>בנוסף הוא טען כי לא ניתן לראותו כרשלן הבלעדי כפי שקבע בית משפט השלום לתעבורה</w:t>
      </w:r>
      <w:r>
        <w:rPr>
          <w:rtl w:val="true"/>
        </w:rPr>
        <w:t xml:space="preserve">. </w:t>
      </w:r>
      <w:r>
        <w:rPr>
          <w:rtl w:val="true"/>
        </w:rPr>
        <w:t>זאת מאחר שבתיק הורשעו ארבעה נאשמים נוספים בעבירות הקשורות לגרימת התאונה באופן ישיר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הסדרי טיעון הוטלו על נאשמים אלה עונשים קלים משמעותית מזה שהוטל על המערער </w:t>
      </w:r>
      <w:r>
        <w:rPr>
          <w:rtl w:val="true"/>
        </w:rPr>
        <w:t>(</w:t>
      </w:r>
      <w:r>
        <w:rPr>
          <w:rtl w:val="true"/>
        </w:rPr>
        <w:t>עונשים של מאסר על תנאי בלבד ותשלום פיצוי למשפחות נפגעות העבירה בו חויבה החברה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 טוען כי במשך כל שמונה השנים שבהן התנהל ההליך לא שהה בתנאים מגבילים ולא נעדר משום דיון</w:t>
      </w:r>
      <w:r>
        <w:rPr>
          <w:rtl w:val="true"/>
        </w:rPr>
        <w:t xml:space="preserve">, </w:t>
      </w:r>
      <w:r>
        <w:rPr>
          <w:rtl w:val="true"/>
        </w:rPr>
        <w:t>לא הוצאו נגדו צווי הבאה ולא עלה כל חשש שיימלט מהדין</w:t>
      </w:r>
      <w:r>
        <w:rPr>
          <w:rtl w:val="true"/>
        </w:rPr>
        <w:t xml:space="preserve">. </w:t>
      </w:r>
      <w:r>
        <w:rPr>
          <w:rtl w:val="true"/>
        </w:rPr>
        <w:t>מכאן ניתן ללמוד כי הוא מכבד את בית המשפט</w:t>
      </w:r>
      <w:r>
        <w:rPr>
          <w:rtl w:val="true"/>
        </w:rPr>
        <w:t xml:space="preserve">, </w:t>
      </w:r>
      <w:r>
        <w:rPr>
          <w:rtl w:val="true"/>
        </w:rPr>
        <w:t>מציית לדין ומקיים את הוראותיו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שהתרשלו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5829/21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קירשנבאום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19.10.2021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19.1.2021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שנזכרה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;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הצלחתו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.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מעוינות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סלימאן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2.2.2023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לאשורם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והמנומקת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)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ובעייתית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צירופם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4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16.3.2023</w:t>
      </w:r>
      <w:r>
        <w:rPr>
          <w:rtl w:val="true"/>
        </w:rPr>
        <w:t xml:space="preserve">). </w:t>
      </w:r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23021860</w:t>
      </w:r>
      <w:r>
        <w:rPr>
          <w:sz w:val="16"/>
          <w:rtl w:val="true"/>
        </w:rPr>
        <w:t>_</w:t>
      </w:r>
      <w:r>
        <w:rPr>
          <w:sz w:val="16"/>
        </w:rPr>
        <w:t>P03.docx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ר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רונן </w:t>
      </w:r>
      <w:r>
        <w:rPr>
          <w:rFonts w:cs="David" w:ascii="David" w:hAnsi="David"/>
          <w:color w:val="000000"/>
          <w:szCs w:val="22"/>
        </w:rPr>
        <w:t>54678313-2186/23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ootlight MT Light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2186/23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סאלם אבו עאנם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Footlight MT Light" w:hAnsi="Footlight MT Light" w:cs="Footlight MT Light"/>
      <w:strike w:val="false"/>
      <w:dstrike w:val="false"/>
      <w:sz w:val="24"/>
      <w:szCs w:val="24"/>
      <w:u w:val="none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459744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6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26" TargetMode="External"/><Relationship Id="rId7" Type="http://schemas.openxmlformats.org/officeDocument/2006/relationships/hyperlink" Target="http://www.nevo.co.il/law/74274" TargetMode="External"/><Relationship Id="rId8" Type="http://schemas.openxmlformats.org/officeDocument/2006/relationships/hyperlink" Target="http://www.nevo.co.il/law/74274/8" TargetMode="External"/><Relationship Id="rId9" Type="http://schemas.openxmlformats.org/officeDocument/2006/relationships/hyperlink" Target="http://www.nevo.co.il/law/74274/85.a" TargetMode="External"/><Relationship Id="rId10" Type="http://schemas.openxmlformats.org/officeDocument/2006/relationships/hyperlink" Target="http://www.nevo.co.il/law/74274/85.c" TargetMode="External"/><Relationship Id="rId11" Type="http://schemas.openxmlformats.org/officeDocument/2006/relationships/hyperlink" Target="http://www.nevo.co.il/law/74274/85.c.4" TargetMode="External"/><Relationship Id="rId12" Type="http://schemas.openxmlformats.org/officeDocument/2006/relationships/hyperlink" Target="http://www.nevo.co.il/law/74274/85.f" TargetMode="External"/><Relationship Id="rId13" Type="http://schemas.openxmlformats.org/officeDocument/2006/relationships/hyperlink" Target="http://www.nevo.co.il/case/29459744" TargetMode="External"/><Relationship Id="rId14" Type="http://schemas.openxmlformats.org/officeDocument/2006/relationships/hyperlink" Target="http://www.nevo.co.il/case/20259918" TargetMode="External"/><Relationship Id="rId15" Type="http://schemas.openxmlformats.org/officeDocument/2006/relationships/hyperlink" Target="http://www.nevo.co.il/law/5227/64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/326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4274/8" TargetMode="External"/><Relationship Id="rId20" Type="http://schemas.openxmlformats.org/officeDocument/2006/relationships/hyperlink" Target="http://www.nevo.co.il/law/74274/85.a" TargetMode="External"/><Relationship Id="rId21" Type="http://schemas.openxmlformats.org/officeDocument/2006/relationships/hyperlink" Target="http://www.nevo.co.il/law/74274/85.c" TargetMode="External"/><Relationship Id="rId22" Type="http://schemas.openxmlformats.org/officeDocument/2006/relationships/hyperlink" Target="http://www.nevo.co.il/law/74274/85.c.4" TargetMode="External"/><Relationship Id="rId23" Type="http://schemas.openxmlformats.org/officeDocument/2006/relationships/hyperlink" Target="http://www.nevo.co.il/law/74274/85.f" TargetMode="External"/><Relationship Id="rId24" Type="http://schemas.openxmlformats.org/officeDocument/2006/relationships/hyperlink" Target="http://www.nevo.co.il/law/74274" TargetMode="External"/><Relationship Id="rId25" Type="http://schemas.openxmlformats.org/officeDocument/2006/relationships/hyperlink" Target="http://www.nevo.co.il/case/5678234" TargetMode="External"/><Relationship Id="rId26" Type="http://schemas.openxmlformats.org/officeDocument/2006/relationships/hyperlink" Target="http://www.nevo.co.il/case/27897504" TargetMode="External"/><Relationship Id="rId27" Type="http://schemas.openxmlformats.org/officeDocument/2006/relationships/hyperlink" Target="http://www.nevo.co.il/case/27309268" TargetMode="External"/><Relationship Id="rId28" Type="http://schemas.openxmlformats.org/officeDocument/2006/relationships/hyperlink" Target="http://www.nevo.co.il/case/29329866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2023-03-19T11:09:00Z</dcterms:created>
  <dc:creator>h4</dc:creator>
  <dc:description/>
  <cp:keywords/>
  <dc:language>en-IL</dc:language>
  <cp:lastModifiedBy>hofit</cp:lastModifiedBy>
  <cp:lastPrinted>2023-03-16T09:47:00Z</cp:lastPrinted>
  <dcterms:modified xsi:type="dcterms:W3CDTF">2023-03-19T11:09:00Z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סאלם אבו עאנם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29459744:2;20259918;5678234;27897504;27309268;29329866</vt:lpwstr>
  </property>
  <property fmtid="{D5CDD505-2E9C-101B-9397-08002B2CF9AE}" pid="9" name="CITY">
    <vt:lpwstr/>
  </property>
  <property fmtid="{D5CDD505-2E9C-101B-9397-08002B2CF9AE}" pid="10" name="DATE">
    <vt:lpwstr>20230316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ר' רונן</vt:lpwstr>
  </property>
  <property fmtid="{D5CDD505-2E9C-101B-9397-08002B2CF9AE}" pid="14" name="LAWLISTTMP1">
    <vt:lpwstr>5227/064</vt:lpwstr>
  </property>
  <property fmtid="{D5CDD505-2E9C-101B-9397-08002B2CF9AE}" pid="15" name="LAWLISTTMP2">
    <vt:lpwstr>70301/326</vt:lpwstr>
  </property>
  <property fmtid="{D5CDD505-2E9C-101B-9397-08002B2CF9AE}" pid="16" name="LAWLISTTMP3">
    <vt:lpwstr>74274/008;085.a;085.c;085.c.4;085.f</vt:lpwstr>
  </property>
  <property fmtid="{D5CDD505-2E9C-101B-9397-08002B2CF9AE}" pid="17" name="LAWYER">
    <vt:lpwstr>איתמר גלבפיש;אלירן בלוטמן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18;18</vt:lpwstr>
  </property>
  <property fmtid="{D5CDD505-2E9C-101B-9397-08002B2CF9AE}" pid="39" name="NOSE21">
    <vt:lpwstr>עונש</vt:lpwstr>
  </property>
  <property fmtid="{D5CDD505-2E9C-101B-9397-08002B2CF9AE}" pid="40" name="NOSE210">
    <vt:lpwstr/>
  </property>
  <property fmtid="{D5CDD505-2E9C-101B-9397-08002B2CF9AE}" pid="41" name="NOSE22">
    <vt:lpwstr>גזר-דין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498;452</vt:lpwstr>
  </property>
  <property fmtid="{D5CDD505-2E9C-101B-9397-08002B2CF9AE}" pid="50" name="NOSE31">
    <vt:lpwstr>עיכוב ביצוע</vt:lpwstr>
  </property>
  <property fmtid="{D5CDD505-2E9C-101B-9397-08002B2CF9AE}" pid="51" name="NOSE310">
    <vt:lpwstr/>
  </property>
  <property fmtid="{D5CDD505-2E9C-101B-9397-08002B2CF9AE}" pid="52" name="NOSE32">
    <vt:lpwstr>עיכוב ביצוע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3813;3587</vt:lpwstr>
  </property>
  <property fmtid="{D5CDD505-2E9C-101B-9397-08002B2CF9AE}" pid="61" name="PADIDATE">
    <vt:lpwstr>20230319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2186</vt:lpwstr>
  </property>
  <property fmtid="{D5CDD505-2E9C-101B-9397-08002B2CF9AE}" pid="67" name="PROCYEAR">
    <vt:lpwstr>23</vt:lpwstr>
  </property>
  <property fmtid="{D5CDD505-2E9C-101B-9397-08002B2CF9AE}" pid="68" name="PSAKDIN">
    <vt:lpwstr>החלטה</vt:lpwstr>
  </property>
  <property fmtid="{D5CDD505-2E9C-101B-9397-08002B2CF9AE}" pid="69" name="TYPE">
    <vt:lpwstr>1</vt:lpwstr>
  </property>
  <property fmtid="{D5CDD505-2E9C-101B-9397-08002B2CF9AE}" pid="70" name="TYPE_ABS_DATE">
    <vt:lpwstr>410020230316</vt:lpwstr>
  </property>
  <property fmtid="{D5CDD505-2E9C-101B-9397-08002B2CF9AE}" pid="71" name="TYPE_N_DATE">
    <vt:lpwstr>41020230316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