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2189/23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8"/>
          <w:szCs w:val="22"/>
        </w:rPr>
      </w:pPr>
      <w:r>
        <w:rPr>
          <w:rFonts w:cs="Miriam"/>
          <w:b/>
          <w:bCs/>
          <w:sz w:val="18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70988-12-19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3.7.2022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30.1.2023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פריבס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29.11.2023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אדטו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וייזל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יוסף אלרון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המשפט הפלילי – על צומת דרכים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סלים 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ובראן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מוחמד 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ותד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גד ברזילי 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דורית פרידמ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839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יואב דותן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ביקורת שיפוטית על שיקול דעת מינהלי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57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בבצוע עבירות מין חמורות באחות אשתו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בהיותה בת </w:t>
      </w:r>
      <w:r>
        <w:rPr>
          <w:rFonts w:cs="Times New Roman" w:ascii="Times New Roman" w:hAnsi="Times New Roman"/>
          <w:spacing w:val="0"/>
          <w:szCs w:val="26"/>
        </w:rPr>
        <w:t>10-8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לערך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והוטל עליו עונש של </w:t>
      </w:r>
      <w:r>
        <w:rPr>
          <w:rFonts w:cs="Times New Roman" w:ascii="Times New Roman" w:hAnsi="Times New Roman"/>
          <w:spacing w:val="0"/>
          <w:szCs w:val="26"/>
        </w:rPr>
        <w:t>6.5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ותשלום פיצוי למתלוננת בסך </w:t>
      </w:r>
      <w:r>
        <w:rPr>
          <w:rFonts w:cs="Times New Roman" w:ascii="Times New Roman" w:hAnsi="Times New Roman"/>
          <w:spacing w:val="0"/>
          <w:szCs w:val="26"/>
        </w:rPr>
        <w:t>120,000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בהכרעה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יצוין כי במסגרת הדיון מתייחס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בפן העקרוני 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57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אשר תכליתו נועדה למנוע מצבים כבעניינו בהם משך </w:t>
      </w:r>
      <w:r>
        <w:rPr>
          <w:rFonts w:ascii="Times New Roman" w:hAnsi="Times New Roman" w:cs="Times New Roman"/>
          <w:spacing w:val="0"/>
          <w:szCs w:val="26"/>
          <w:rtl w:val="true"/>
        </w:rPr>
        <w:t>החקירה והטיפול בהליך הפלילי מתארך ומתארך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בקטין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 – שיהוי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דינו וגזר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ביצע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בשנים </w:t>
      </w:r>
      <w:r>
        <w:rPr>
          <w:rFonts w:cs="Times New Roman" w:ascii="Times New Roman" w:hAnsi="Times New Roman"/>
          <w:spacing w:val="0"/>
          <w:szCs w:val="26"/>
        </w:rPr>
        <w:t>2006-2008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עבירות מין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אחותה הקטנה של אשתו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בהיותה בת </w:t>
      </w:r>
      <w:r>
        <w:rPr>
          <w:rFonts w:cs="Times New Roman" w:ascii="Times New Roman" w:hAnsi="Times New Roman"/>
          <w:spacing w:val="0"/>
          <w:szCs w:val="26"/>
        </w:rPr>
        <w:t>10-8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לערך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הורשע ב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של מעשה סדום בקטינה בת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אינוס בת משפחה שהיא 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ומעשים מגונים בקטינה בת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ביחס לאחד האישומים של מעשה מגונה הוא </w:t>
      </w:r>
      <w:r>
        <w:rPr>
          <w:rFonts w:ascii="Times New Roman" w:hAnsi="Times New Roman" w:cs="Times New Roman"/>
          <w:spacing w:val="0"/>
          <w:szCs w:val="26"/>
          <w:rtl w:val="true"/>
        </w:rPr>
        <w:t>זוכה ברוב דעות 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העונש ההולם בעניינו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בגדרי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הובאו בחשבון חומרת מעשיו והנזק שנגרם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נשקלו 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וחלוף הזמן – הן ממועד ביצוע המעשים ועד להגשת התלונה במשטרה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עת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הייתה בת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ממועד התלונה ועד להגשת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על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להיות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קרוב לצד הנמוך במתחם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שנגזר עליו עונש של </w:t>
      </w:r>
      <w:r>
        <w:rPr>
          <w:rFonts w:cs="Times New Roman" w:ascii="Times New Roman" w:hAnsi="Times New Roman"/>
          <w:spacing w:val="0"/>
          <w:szCs w:val="26"/>
        </w:rPr>
        <w:t>6.5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על תנאי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120,000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שעומד </w:t>
      </w:r>
      <w:r>
        <w:rPr>
          <w:rFonts w:ascii="Times New Roman" w:hAnsi="Times New Roman" w:cs="Times New Roman"/>
          <w:spacing w:val="0"/>
          <w:szCs w:val="26"/>
          <w:rtl w:val="true"/>
        </w:rPr>
        <w:t>בהכחשתו הגורפת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 על הרשעתו ולחילופין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חלק נכבד מטענות המערער מופנה כלפי 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עובדה ומהימנות אשר כידוע ערכאת הערעור אינה נוטה להתערב בה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בפרט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בהתרשמותה של הערכאה הדיונית מעדותה של נפגעת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הילך בפסק דינו בזהירות והגיע למסקנה כי המערער אכן ביצע את המעשים שיוחסו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זהירותו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ייתכן שזהירות 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הוליכה לזיכוי המערער מ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אחד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</w:t>
      </w:r>
      <w:r>
        <w:rPr>
          <w:rFonts w:ascii="Times New Roman" w:hAnsi="Times New Roman" w:cs="Times New Roman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מקובלת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העדפתו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גרסתה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זו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מפורטת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מדודה וכוללת תיאורים תחושתיים המלמדים כי מעשיו הקשים של המערער נצרבו בזיכרונה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שלא בכדי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הגיע למסקנה כי היא אינה בודה את הדברים מליבה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האירועים גובו על ידי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שמלמד על המהימנות והאותנטיות של 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התייחסה לאיום שהשמיע המערער לפיו הוא יהרוג את הוריה אם תספר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מהימנותה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נלמדת גם מעצם זה שלא ביקשה להעצים את האירועים או לטעון שאירעו כששהתה עם המערער בגפה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 לעדותה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נמצאה ב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עדויותיהן של קרובות משפחתה בדבר חשיפת האירועים בפניהן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מעדויותיהן עולה מצבה הנפשי הקשה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עת חשפה את קרות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>דוע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מצבו הנפשי של נפגע העבירה מהווה חיזוק העולה כדי ראייה מסייעת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אף לציין כי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חשפה לראשונה את האירועים זמן לא רב לאחר התרחשותם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כשהייתה צעירה למדי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קיימים כטענת המערער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דיוקים בגרסתה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–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הדבר משנה מ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מסקנה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 מהימנותה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כאשר עסקינן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להן השלכות ייחודיות על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לסטיות כאלו ואחרות בגרסתה כדי לשלול את מהימנותה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אימת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הגרעין הקשה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האירועים והתמונה הראייתית הכוללת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מוליכים למסקנה כי הנאשם ביצע את המעשים שיוחסו לו מעבר לספק סביר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שנמצא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לכך י</w:t>
      </w:r>
      <w:r>
        <w:rPr>
          <w:rFonts w:ascii="Times New Roman" w:hAnsi="Times New Roman" w:cs="Times New Roman"/>
          <w:spacing w:val="0"/>
          <w:szCs w:val="26"/>
          <w:rtl w:val="true"/>
        </w:rPr>
        <w:t>ש להוסיף כי לא זו בלבד שגרסתה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נמצאה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כי גרסתו של המערער נמצאה בלתי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שנקבע זה מכבר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טענה לקיומה של עלילת שווא להיות ממשית והגיונית – אך לא כך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לאמירת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העימות כי תטיח בו הכל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זה נכון וגם אם זה לא נכון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צוין בין היתר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לקשייה של נפגעת עבירת מין בעודה 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לדקדק עמה ביחס לכל מטבע לשון שבחרה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כשהיא מתארת את שנאמר לה על ידי צדדים שלישיים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 עסקינן במצב שבו היא ניצבת למול זה שפגע בה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 שבהחלט ניתן להבין את דבריה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ההקשר שבו נאמרו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ככאלה המכוונים כלפי התגובה שלה תזכה עקב הגשת התלונה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להבדיל מאמיתות תוכן הדברים עצמם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הבנה זו מקבלת חיזוק מכך שהדברים נאמרו בפתח העימות וביוזמתה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ויודגש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התמונה הכוללת היא שקובעת לעניין קביעת המהימנות של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ובהיבט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אמירתה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משנה מהמסקנה כי גרסתה 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מבוססת ומהימנה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עוד בין היתר נדחתה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טענת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הנוגעת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הבאתה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לעדות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שהייתה נשואה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שהתה בבית עת אירע המקרה שבו החדיר את איבר מינו לפיה של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טענה 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שקולה לטענת 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הלכה מושרשת היא כי המדינה אינה מחויבת בהבאת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הראיה המקסימלית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די לה בקיומן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מספקות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שבכוחן להוכיח את אשמת הנאשם מעבר לספק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 שהמשיבה הסתפקה בהבאת העדים שהביאה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יכול היה להעיד מטעמו כל עד שיחפוץ אם היה סבור כי יש בכך כדי להוות תימוכין לגרסתו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עשה כן בפני הערכאה הדיונית – אין לו להלין אלא על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יוצא אפוא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העלאת הטענה בשלב זה על ידי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 הנוכחי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אינו הסנגור שייצגו בהליך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למעשה טענת כשל בייצוג המופנית כלפי האופן שבו ניהל הסנגור הקודם את הגנת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שנקבע לא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לטענות כשל בייצוג יש להיזקק במשורה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 תתקבלנה במקרים חריגים בלבד שניתן להצביע בהם על עיוות דין שנגרם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 לקיומו של עיוות דין הוא מבחן סיבתי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תוצאתי שבגדרו יש להוכיח כי אלמלא הכשל הנטען – אפשר שתוצאת ההליך הייתה 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הוכיח כי בהעדתה של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כדי לשנות מהמסקנה אליה הגיע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– ודאי שלא באופן העומד ברף הנדרש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בטענות כשל בייצוג קיים מעין תנאי סף לפיו על הטוען להן להציג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עמדת הסנגור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שבאמצעותה יוכל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לאמוד את נכונות 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הוצגה כלל עמדתו של הסנגור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בכך כדי להוביל לדחיית 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לטענת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חקירה והטיפול בתיק עובר להגשת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ארכו מעבר לזמן שמתיר </w:t>
      </w:r>
      <w:hyperlink r:id="rId1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57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ומבלי שניתן לכך אישור בזמן 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טענה זו הועלתה לראשונה במסגרת הערעור ודי בכך כדי לדחותה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ראוי לציין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חלוף הזמן הובא בחשבון כנסיבה מקילה בגזירת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במישור העקרוני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צויין כי בהתאם ל</w:t>
      </w:r>
      <w:hyperlink r:id="rId2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57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הגשתו של כתב אישום מותנית בכך שמשך הליכי החקירה וההעמדה לדין יתאם את התקופות שתיקבענה לשם כך בנהלים וההנחיות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לחרוג מתקופות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נדרשת הסכמת היועץ המשפטי לממשלה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שנכנס לתוקפו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נועד להביא לקיצור משכם של הליכי החקירה והטיפול בתיק הקודמים להגשת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בדברי ההסבר צוין כי יש 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כדי להפחית עד כמה שניתן את הפגיעה במי שמתנהלת נגדו 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לדברים אלה ניתן להוסיף כי יש במנגנון שנקבע </w:t>
      </w:r>
      <w:hyperlink r:id="rId2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57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לשפר את מצבם של נפגעי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 חקירה ממושכים אינם מיטיבים עמם כלל וכלל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יש לומר כי הסעיף מעניק תמריץ לרשויות החקירה לפעול במהירות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שיקדם את יעילותן וממילא את האינטרס הציבורי הגלום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 ההנחיות והנהלים שעמדו בתוקף במועד הגשת כתב האישום נגד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אירעה בעניינו חריגה של מספר חודשים מפרק הזמן המותר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ביחס לחקירתו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ביחס למשך טיפול התביעה בתיק עד להעמדתו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המשיבה סיפקה סיבות מסיבות שונות לחריגות האמורות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נטען כי ניתן לחריגה אישור בדיעבד מטעם היועצת המשפטית לממשלה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hyperlink r:id="rId2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57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נכנס לתוקף רק כחודשיים וחצי לפני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הנהלים שהיו בתוקף במועד הגשת כתב האישום עודכנו באופן משמעותי אחרי שנצבר ניסיון בתחום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בהתחשב בסיבות שהועלו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סבור כי התנהלות המשיבה רחוקה מלהיות משביעת רצון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בלשון המעטה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תכליתו של </w:t>
      </w:r>
      <w:hyperlink r:id="rId2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57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נועדה למנוע בדיוק מצבים מעין אלה שבהם משך החקירה והטיפול בהליך הפלילי מתארך ומתארך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 אישור בדיעבד על ידי היועצת המשפטית לממשלה חוטא במידה רבה לתכלית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בהתחשב בחשש כי היועצת תתקשה להתעלם מהעובדה שהתיק נוהל מתחילתו ועד סופו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מוטב יהיה אפוא לו פגמים מעין אלה לא יישנו – כך דורש הדין וכך דורשות זכויותיהם של חשודים ונחקרים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נדחה הערעור המופנה כנגד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העונש וגובה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ניצל את הקשר והאמון שנוצר בינו לבין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בהיותה קטינה רכה בשנים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וכל זאת לשם סיפוק מאווייו ותו 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זקף לזכות המערער את השיקול בדבר חלוף הזמן – אך אין בכוחו של שיקול זה להטות את הכף לעבר ענישה מקלה עוד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עוצמתם של שיקולי ההלימה המתעוררים במקרה דנן – אינה מאפשרת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את האמור בתסקיר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יש לציין את הקושי הטמון במיצוי הדין עם מבצעיהם של עבירות מין בקטינות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כל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ביחס לחומרת העונש אינן מגלות עילה להתערבות בגזר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לסוגיית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אין להתערב בשיקול דעתה של הערכאה הדיונית בקביעת שיעורם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במקרים יוצאי דופן בהם ניכרת חריגה קיצונית משיעור הפיצוי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 אמת מידה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ולנוכח הנזק שנגרם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שיעור הפיצויים שפסק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אינו מצדיק התערבות במסקנתו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לסיום מדגיש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אימת שתופעה זו של עבירות מין שמבוצעות בקטינים בתוך התא המשפחתי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עודנה שוררת בחברתנו – שומה על בתי המשפט לנקוט ביד קשה ובענישה 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בתקווה שאלה תסייענה במיגור תופעה בזויה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בהקשר זה מוסיפה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שהטיל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גם מתחם העונש שנקבע בעניינו – רחוקים מלשקף את מדיניות הענישה המחמירה הנהוגה בכגון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המערער הינו מקל באופן 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לא בקירוב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חומרת מעשיו 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בהתחשב בחלוף הזמן ובקשיים בהתנהלות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ברי הוא כי אין לשעות לערעור בדבר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70988-12-19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מהימים </w:t>
      </w:r>
      <w:r>
        <w:rPr/>
        <w:t>3.7.2022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30.1.2023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במועדים הרלוונטיים</w:t>
      </w:r>
      <w:r>
        <w:rPr>
          <w:rtl w:val="true"/>
        </w:rPr>
        <w:t xml:space="preserve">, </w:t>
      </w:r>
      <w:r>
        <w:rPr>
          <w:rtl w:val="true"/>
        </w:rPr>
        <w:t>המערער היה נשוי ל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אחותה הגדולה של המשיבה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>המונה ארבעה אירועים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ביצע בין השנים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מספר עבירות מין ב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בהיותה בת </w:t>
      </w:r>
      <w:r>
        <w:rPr>
          <w:rFonts w:cs="Century" w:ascii="Century" w:hAnsi="Century"/>
          <w:sz w:val="22"/>
        </w:rPr>
        <w:t>10-8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לערך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המאורע </w:t>
      </w:r>
      <w:r>
        <w:rPr>
          <w:rFonts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 התרחש כאשר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שהתה בביתו של המערער</w:t>
      </w:r>
      <w:r>
        <w:rPr>
          <w:rtl w:val="true"/>
        </w:rPr>
        <w:t xml:space="preserve">. </w:t>
      </w:r>
      <w:r>
        <w:rPr>
          <w:rtl w:val="true"/>
        </w:rPr>
        <w:t>בזמן ש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התקלחה</w:t>
      </w:r>
      <w:r>
        <w:rPr>
          <w:rtl w:val="true"/>
        </w:rPr>
        <w:t xml:space="preserve">, </w:t>
      </w:r>
      <w:r>
        <w:rPr>
          <w:rtl w:val="true"/>
        </w:rPr>
        <w:t>המערער קרא ל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tl w:val="true"/>
        </w:rPr>
        <w:t>לבוא לחדר השינה</w:t>
      </w:r>
      <w:r>
        <w:rPr>
          <w:rtl w:val="true"/>
        </w:rPr>
        <w:t xml:space="preserve">, </w:t>
      </w:r>
      <w:r>
        <w:rPr>
          <w:rtl w:val="true"/>
        </w:rPr>
        <w:t>הורה לה לשבת כך שברכיה תהיינה על הרצפה ועיניה עצומות</w:t>
      </w:r>
      <w:r>
        <w:rPr>
          <w:rtl w:val="true"/>
        </w:rPr>
        <w:t xml:space="preserve">, </w:t>
      </w:r>
      <w:r>
        <w:rPr>
          <w:rtl w:val="true"/>
        </w:rPr>
        <w:t xml:space="preserve">ואמר כי יש לו </w:t>
      </w:r>
      <w:r>
        <w:rPr>
          <w:rtl w:val="true"/>
        </w:rPr>
        <w:t>"</w:t>
      </w:r>
      <w:r>
        <w:rPr>
          <w:rtl w:val="true"/>
        </w:rPr>
        <w:t>סוכריה</w:t>
      </w:r>
      <w:r>
        <w:rPr>
          <w:rtl w:val="true"/>
        </w:rPr>
        <w:t xml:space="preserve">" </w:t>
      </w:r>
      <w:r>
        <w:rPr>
          <w:rtl w:val="true"/>
        </w:rPr>
        <w:t>לתת לה</w:t>
      </w:r>
      <w:r>
        <w:rPr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צייתה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המערער הוציא את איבר מינו ממכנסיו והכניסו בחוזקה לפיה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דחפה את המערער</w:t>
      </w:r>
      <w:r>
        <w:rPr>
          <w:rtl w:val="true"/>
        </w:rPr>
        <w:t xml:space="preserve">, </w:t>
      </w:r>
      <w:r>
        <w:rPr>
          <w:rtl w:val="true"/>
        </w:rPr>
        <w:t>החלה לבכות</w:t>
      </w:r>
      <w:r>
        <w:rPr>
          <w:rtl w:val="true"/>
        </w:rPr>
        <w:t xml:space="preserve">, </w:t>
      </w:r>
      <w:r>
        <w:rPr>
          <w:rtl w:val="true"/>
        </w:rPr>
        <w:t>ואמרה לו כי אם לא יחדל ממעשיו</w:t>
      </w:r>
      <w:r>
        <w:rPr>
          <w:rtl w:val="true"/>
        </w:rPr>
        <w:t xml:space="preserve">, </w:t>
      </w:r>
      <w:r>
        <w:rPr>
          <w:rtl w:val="true"/>
        </w:rPr>
        <w:t>היא תספר על כך לאחותה</w:t>
      </w:r>
      <w:r>
        <w:rPr>
          <w:rtl w:val="true"/>
        </w:rPr>
        <w:t xml:space="preserve">. </w:t>
      </w:r>
      <w:r>
        <w:rPr>
          <w:rtl w:val="true"/>
        </w:rPr>
        <w:t>המערער השיב שהוא יפגע בה אם תעשה 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המאורע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אירע אף הוא בבית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אליו הגיעה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יחד עם אחות נוספת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בשעה שהאחות</w:t>
      </w:r>
      <w:r>
        <w:rPr>
          <w:rFonts w:ascii="Century" w:hAnsi="Century" w:cs="Century"/>
          <w:sz w:val="22"/>
          <w:sz w:val="22"/>
          <w:rtl w:val="true"/>
        </w:rPr>
        <w:t xml:space="preserve"> שהתה בסלון הבית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ניגש אל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שהייתה במטבח וסגר אחריו את הדלת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נגע בישבנה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הרים את חצאיתה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הכניס את ידו מתחת לתחתוניה ונגע באיבר 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מעשים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הוריד חזרה את חצאיתה ויצא מהמטבח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מאורע נוסף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 xml:space="preserve">אירע בחג הסוכות שבמהלכו המערער התארח בביתה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הסוכות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באחד מלילות החג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ישנה בסלון ביתה עם בנות המשפחה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ואילו המערער ישן בסוכה שבגינת 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מסוים באותו לילה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ניגש האחרון אל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בעודה ישנה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הרים את חצאיתה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הוריד את תחתוניה וניגב את איבר מינה באמצעות סמרטוט רטוב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המאורע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אליו מתייחס כתב האישום</w:t>
      </w:r>
      <w:r>
        <w:rPr>
          <w:rtl w:val="true"/>
        </w:rPr>
        <w:t xml:space="preserve">, </w:t>
      </w:r>
      <w:r>
        <w:rPr>
          <w:rtl w:val="true"/>
        </w:rPr>
        <w:t>התרחש בבית הורי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ישנה בחדר אחד יחד עם ילדיו</w:t>
      </w:r>
      <w:r>
        <w:rPr>
          <w:rtl w:val="true"/>
        </w:rPr>
        <w:t xml:space="preserve">. </w:t>
      </w:r>
      <w:r>
        <w:rPr>
          <w:rtl w:val="true"/>
        </w:rPr>
        <w:t>במהלך הלילה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הייתה רדומה</w:t>
      </w:r>
      <w:r>
        <w:rPr>
          <w:rtl w:val="true"/>
        </w:rPr>
        <w:t xml:space="preserve">, </w:t>
      </w:r>
      <w:r>
        <w:rPr>
          <w:rtl w:val="true"/>
        </w:rPr>
        <w:t>המערער ניגש אליה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הרים את חצאיתה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הפשיל את תחתוניה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ודחף את אצבעו לאיבר מינה באופן שגרם לה לכאב רב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דחפה את ידו ואמרה לו שלא יגע בה יותר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בתגובה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הזהירה שאם תגלה על מעשיו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יהרוג את אימה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בגין מעשים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יוחסו למערער עבירות של מעשה סדום בקטינה בת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2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347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29"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אינוס בת משפחה שהיא קטינה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3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32"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ומעשים מגונים בקטינה בת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3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34">
        <w:r>
          <w:rPr>
            <w:rStyle w:val="Hyperlink"/>
            <w:rFonts w:cs="Century" w:ascii="Century" w:hAnsi="Century"/>
            <w:sz w:val="22"/>
          </w:rPr>
          <w:t>351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  </w:t>
      </w:r>
      <w:r>
        <w:rPr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המערער הורשע בעבירות שיוחסו לו</w:t>
      </w:r>
      <w:r>
        <w:rPr>
          <w:rtl w:val="true"/>
        </w:rPr>
        <w:t xml:space="preserve">, </w:t>
      </w:r>
      <w:r>
        <w:rPr>
          <w:rtl w:val="true"/>
        </w:rPr>
        <w:t>מלבד בעבירת מעשה מגונה בקטינה בת משפחה בגין המעשים שתוארו במסגרת אירוע חג הסוכות</w:t>
      </w:r>
      <w:r>
        <w:rPr>
          <w:rtl w:val="true"/>
        </w:rPr>
        <w:t xml:space="preserve">, </w:t>
      </w:r>
      <w:r>
        <w:rPr>
          <w:rtl w:val="true"/>
        </w:rPr>
        <w:t>אשר ממנה זוכה ברוב דעות מחמת הספק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שנגיעת המערער ב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במסגרת האירוע שהתרחש במטבח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אירעה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cs="Century"/>
          <w:sz w:val="22"/>
          <w:sz w:val="22"/>
          <w:rtl w:val="true"/>
        </w:rPr>
        <w:t xml:space="preserve"> לתחתוניה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כנטען בכתב האישום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 xml:space="preserve">הרשעת המערער נסמכה בעיקרה על עדותה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שנמצאה 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מדודה ומהימנה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חיזוקים שנמצאו לגרסתה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עדויותיהן של קרובות משפחתה אשר בית המשפט המחוזי התרשם מהן ישירות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על דחיית גרסתו של המערער שהכחיש באופן גורף את המיוחס 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במוקד התשתית הראייתית ניצבה כאמור עדותה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עמד על כך שעדותה </w:t>
      </w:r>
      <w:r>
        <w:rPr>
          <w:rtl w:val="true"/>
        </w:rPr>
        <w:t>התייחסה למצבים שונים</w:t>
      </w:r>
      <w:r>
        <w:rPr>
          <w:rtl w:val="true"/>
        </w:rPr>
        <w:t xml:space="preserve">, </w:t>
      </w:r>
      <w:r>
        <w:rPr>
          <w:rtl w:val="true"/>
        </w:rPr>
        <w:t>הנבדלים זה מזה הן במישור המיקום</w:t>
      </w:r>
      <w:r>
        <w:rPr>
          <w:rtl w:val="true"/>
        </w:rPr>
        <w:t xml:space="preserve">, </w:t>
      </w:r>
      <w:r>
        <w:rPr>
          <w:rtl w:val="true"/>
        </w:rPr>
        <w:t>הן במישור הזמן</w:t>
      </w:r>
      <w:r>
        <w:rPr>
          <w:rtl w:val="true"/>
        </w:rPr>
        <w:t xml:space="preserve">, </w:t>
      </w:r>
      <w:r>
        <w:rPr>
          <w:rtl w:val="true"/>
        </w:rPr>
        <w:t>והן ביחס לטיב המעשים וחומרתם</w:t>
      </w:r>
      <w:r>
        <w:rPr>
          <w:rtl w:val="true"/>
        </w:rPr>
        <w:t xml:space="preserve">; </w:t>
      </w:r>
      <w:r>
        <w:rPr>
          <w:rtl w:val="true"/>
        </w:rPr>
        <w:t xml:space="preserve">ועל כך שכלל האירועים גובו על ידה </w:t>
      </w:r>
      <w:r>
        <w:rPr>
          <w:rFonts w:ascii="Century" w:hAnsi="Century" w:cs="Century"/>
          <w:rtl w:val="true"/>
        </w:rPr>
        <w:t>בפרטים באופן שמעיד על היותם אותנטיים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 xml:space="preserve">כי הכנסת איבר המין של המערער לפיה </w:t>
      </w:r>
      <w:r>
        <w:rPr>
          <w:rFonts w:ascii="Century" w:hAnsi="Century" w:cs="Century"/>
          <w:rtl w:val="true"/>
        </w:rPr>
        <w:t>והחדרת אצבעותיו לאיבר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הם מעשים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חריפים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ובוטים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אשר לא ניתן לומר ביחס אליהם כי טעתה בפרשנותם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להתעמעם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מצא חיזוק לגרסתה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בעדויותיהן של קרובותיה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המעשים שסופרו על ידי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לאמה</w:t>
      </w:r>
      <w:r>
        <w:rPr>
          <w:rtl w:val="true"/>
        </w:rPr>
        <w:t xml:space="preserve">, </w:t>
      </w:r>
      <w:r>
        <w:rPr>
          <w:rtl w:val="true"/>
        </w:rPr>
        <w:t>אחותה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 xml:space="preserve">דודתה וגיסתה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חופפים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בכלל זאת</w:t>
      </w:r>
      <w:r>
        <w:rPr>
          <w:rtl w:val="true"/>
        </w:rPr>
        <w:t xml:space="preserve">, </w:t>
      </w:r>
      <w:r>
        <w:rPr>
          <w:rtl w:val="true"/>
        </w:rPr>
        <w:t>צוינה כנות עדותה של</w:t>
      </w:r>
      <w:r>
        <w:rPr>
          <w:rtl w:val="true"/>
        </w:rPr>
        <w:t xml:space="preserve"> </w:t>
      </w:r>
      <w:r>
        <w:rPr>
          <w:rtl w:val="true"/>
        </w:rPr>
        <w:t>הגיסה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והרושם המהימן שהותירה בעדותה אחותה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שביחס אליה נכתב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השתדלה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הובהר כי הגם שזו נעשתה באופן הדרגתי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טענה כי המערער פגע בה</w:t>
      </w:r>
      <w:r>
        <w:rPr>
          <w:rtl w:val="true"/>
        </w:rPr>
        <w:t xml:space="preserve"> בשלב מוקדם מאוד</w:t>
      </w:r>
      <w:r>
        <w:rPr>
          <w:rtl w:val="true"/>
        </w:rPr>
        <w:t xml:space="preserve">, </w:t>
      </w:r>
      <w:r>
        <w:rPr>
          <w:rtl w:val="true"/>
        </w:rPr>
        <w:t>בסמוך לאחר קרות האירועים</w:t>
      </w:r>
      <w:r>
        <w:rPr>
          <w:rtl w:val="true"/>
        </w:rPr>
        <w:t xml:space="preserve">, </w:t>
      </w:r>
      <w:r>
        <w:rPr>
          <w:rtl w:val="true"/>
        </w:rPr>
        <w:t xml:space="preserve">עת </w:t>
      </w:r>
      <w:r>
        <w:rPr>
          <w:rFonts w:ascii="Century" w:hAnsi="Century" w:cs="Century"/>
          <w:sz w:val="22"/>
          <w:sz w:val="22"/>
          <w:rtl w:val="true"/>
        </w:rPr>
        <w:t>הייתה צעירה למדי</w:t>
      </w:r>
      <w:r>
        <w:rPr>
          <w:rtl w:val="true"/>
        </w:rPr>
        <w:t xml:space="preserve">; </w:t>
      </w:r>
      <w:r>
        <w:rPr>
          <w:rtl w:val="true"/>
        </w:rPr>
        <w:t>וכי למרות חוסר האמון שבו נתקלה מצד משפחתה ובפרט מצד אימה</w:t>
      </w:r>
      <w:r>
        <w:rPr>
          <w:rtl w:val="true"/>
        </w:rPr>
        <w:t xml:space="preserve">, </w:t>
      </w:r>
      <w:r>
        <w:rPr>
          <w:rtl w:val="true"/>
        </w:rPr>
        <w:t>התמידה בעמידתה על שלה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לא זו בלבד ש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לא הפיקה תועלת מהחשיפה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היא אף שילמה מחיר אישי כבד בדמות היחס שקיבלה ממשפחתה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 xml:space="preserve">כי מחומר הראיות עולה שעד לפגיעה התנהגותה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הייתה רגילה</w:t>
      </w:r>
      <w:r>
        <w:rPr>
          <w:rtl w:val="true"/>
        </w:rPr>
        <w:t xml:space="preserve"> לגמרי</w:t>
      </w:r>
      <w:r>
        <w:rPr>
          <w:rtl w:val="true"/>
        </w:rPr>
        <w:t xml:space="preserve">, </w:t>
      </w:r>
      <w:r>
        <w:rPr>
          <w:rtl w:val="true"/>
        </w:rPr>
        <w:t>אולם לאחריה חלה הידרדרות במצבה אשר התבטאה</w:t>
      </w:r>
      <w:r>
        <w:rPr>
          <w:rtl w:val="true"/>
        </w:rPr>
        <w:t xml:space="preserve">, </w:t>
      </w:r>
      <w:r>
        <w:rPr>
          <w:rtl w:val="true"/>
        </w:rPr>
        <w:t xml:space="preserve">לדברי אחותה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מרדנות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מצבה הנפשי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בעת חשיפת המעשים מהווה חיזוק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לשיטת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פריבס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לכדי ראיה מסייעת לעדותה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מצא כמהימנה את גרסת המערער</w:t>
      </w:r>
      <w:r>
        <w:rPr>
          <w:rtl w:val="true"/>
        </w:rPr>
        <w:t xml:space="preserve">, </w:t>
      </w:r>
      <w:r>
        <w:rPr>
          <w:rtl w:val="true"/>
        </w:rPr>
        <w:t>שכאמור הכחיש באופן גורף את המעשים שיוחסו לו</w:t>
      </w:r>
      <w:r>
        <w:rPr>
          <w:rtl w:val="true"/>
        </w:rPr>
        <w:t xml:space="preserve">. </w:t>
      </w:r>
      <w:r>
        <w:rPr>
          <w:rtl w:val="true"/>
        </w:rPr>
        <w:t>ביחס לניסיונ</w:t>
      </w:r>
      <w:r>
        <w:rPr>
          <w:rtl w:val="true"/>
        </w:rPr>
        <w:t>ו</w:t>
      </w:r>
      <w:r>
        <w:rPr>
          <w:rtl w:val="true"/>
        </w:rPr>
        <w:t xml:space="preserve"> להיבנות מחוסר האמון שחוותה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מצד בני משפחתה ובפרט מצד אימה</w:t>
      </w:r>
      <w:r>
        <w:rPr>
          <w:rtl w:val="true"/>
        </w:rPr>
        <w:t xml:space="preserve">, </w:t>
      </w:r>
      <w:r>
        <w:rPr>
          <w:rtl w:val="true"/>
        </w:rPr>
        <w:t>צוין כי הדבר נובע ככל הנראה מרצונה של האם שלא לפגוע בחיי הנישואין של המערער וביתה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ולא כתוצאה מסימן כלשהו לאי</w:t>
      </w:r>
      <w:r>
        <w:rPr>
          <w:rtl w:val="true"/>
        </w:rPr>
        <w:t>-</w:t>
      </w:r>
      <w:r>
        <w:rPr>
          <w:rtl w:val="true"/>
        </w:rPr>
        <w:t xml:space="preserve">אמירת אמת מצידה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 xml:space="preserve">גם טענת המערער כי אין זה ייתכן שביצע את מעשיו כאשר נמצאים אנשים בסמוך </w:t>
      </w:r>
      <w:r>
        <w:rPr>
          <w:rtl w:val="true"/>
        </w:rPr>
        <w:t>–</w:t>
      </w:r>
      <w:r>
        <w:rPr>
          <w:rtl w:val="true"/>
        </w:rPr>
        <w:t xml:space="preserve"> נדחתה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כפי שנקבע בפסיקה זה מכבר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פועלים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ומעשיהם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מתיישבים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</w:t>
      </w:r>
      <w:r>
        <w:rPr>
          <w:rtl w:val="true"/>
        </w:rPr>
        <w:t xml:space="preserve">", </w:t>
      </w:r>
      <w:r>
        <w:rPr>
          <w:rtl w:val="true"/>
        </w:rPr>
        <w:t>ולכן אין לזקוף לזכות גרסתו של המערער את הסיכון שאליו נחשף במעשיו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לאירוע חג הסוכות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זיכה את המערער בדעת רוב מהעבירה שיוחסה לו בגין אירוע זה מחמת הספק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, </w:t>
      </w:r>
      <w:r>
        <w:rPr>
          <w:rtl w:val="true"/>
        </w:rPr>
        <w:t>נגד דעתו החולקת של סגן הנשיא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לא הייתה במצב של ערות מלאה בשעת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שלא הייתה אינטראקציה ישירה בין השניים שיכולה הייתה לעגן את הדברים בזיכרונ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דעת המיעוט גרסה כי ממכלול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מכך שמיד לאחר המעשה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ראתה את המערער במרחק מטרים ספורים ממנה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יש ללמוד כי גם אירוע זה אירע כדבריה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כך שמעשיו של המערער גרמו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בערכים שעליהם מגינות העבירות שבהן הורשע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קרבתו ל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והיותו דמות שבו שמה מבטחה כילדה רכה בשנים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הודגש כי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בהיותו אדם בוגר ובעל משפחה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בחר לספק את מאוויי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 xml:space="preserve"> ורצונותיו על חשבונה של אחות רעייתו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למעשה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פעם אחת בכך שנפגעה מינית על ידי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ומכוערים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בהיותה ילדה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ופעם נוספת על רקע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בייחוד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לכאבה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ולתלונתה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והותרתה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להתמודד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צוין הקושי שקיים בהגשת תלונה ובעמידה מול הפוגע ויתר בני המשפחה במקרים מעין המקרה דנן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ובהסתמך על פסיקת בית משפט זה בדבר </w:t>
      </w:r>
      <w:r>
        <w:rPr>
          <w:rFonts w:ascii="Century" w:hAnsi="Century" w:cs="Century"/>
          <w:sz w:val="22"/>
          <w:sz w:val="22"/>
          <w:rtl w:val="true"/>
        </w:rPr>
        <w:t>החומרה שבה יש לנקוט נגד עבירות מין שנעשות בקטינים על ידי בני משפחה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נקבע כי מתחם העונש ההולם בעניינו של המערער הוא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בגדרי המתחם</w:t>
      </w:r>
      <w:r>
        <w:rPr>
          <w:rtl w:val="true"/>
        </w:rPr>
        <w:t xml:space="preserve">, </w:t>
      </w:r>
      <w:r>
        <w:rPr>
          <w:rtl w:val="true"/>
        </w:rPr>
        <w:t>הובאו בחשבון חומרת מעשיו של המערער והנזק שנגרם ל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כתוצאה מהם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 גילו של המערער</w:t>
      </w:r>
      <w:r>
        <w:rPr>
          <w:rtl w:val="true"/>
        </w:rPr>
        <w:t xml:space="preserve">, </w:t>
      </w:r>
      <w:r>
        <w:rPr>
          <w:rtl w:val="true"/>
        </w:rPr>
        <w:t>היעדרו של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וחלוף הזמן </w:t>
      </w:r>
      <w:r>
        <w:rPr>
          <w:rtl w:val="true"/>
        </w:rPr>
        <w:t>–</w:t>
      </w:r>
      <w:r>
        <w:rPr>
          <w:rtl w:val="true"/>
        </w:rPr>
        <w:t xml:space="preserve"> הן ממועד ביצוע המעשים ועד להגשת התלונה במשטרה</w:t>
      </w:r>
      <w:r>
        <w:rPr>
          <w:rtl w:val="true"/>
        </w:rPr>
        <w:t xml:space="preserve">, </w:t>
      </w:r>
      <w:r>
        <w:rPr>
          <w:rtl w:val="true"/>
        </w:rPr>
        <w:t>והן ממועד התלונה ועד להגשת כתב האישום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על עונשו של המערער להיות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במתחם</w:t>
      </w:r>
      <w:r>
        <w:rPr>
          <w:rtl w:val="true"/>
        </w:rPr>
        <w:t xml:space="preserve">", </w:t>
      </w:r>
      <w:r>
        <w:rPr>
          <w:rtl w:val="true"/>
        </w:rPr>
        <w:t xml:space="preserve">כך שנגזר עליו עונש של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 יעבור עבירה מהעבירות שבהן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וכן תשלום פיצוי ל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בסך </w:t>
      </w:r>
      <w:r>
        <w:rPr>
          <w:rFonts w:cs="Century" w:ascii="Century" w:hAnsi="Century"/>
          <w:sz w:val="22"/>
        </w:rPr>
        <w:t>120,000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שעומד בהכחשתו הגורפת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כשביכר את גרסתה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על פני גרסתו</w:t>
      </w:r>
      <w:r>
        <w:rPr>
          <w:rtl w:val="true"/>
        </w:rPr>
        <w:t xml:space="preserve">. </w:t>
      </w:r>
      <w:r>
        <w:rPr>
          <w:rtl w:val="true"/>
        </w:rPr>
        <w:t>בכלל זאת</w:t>
      </w:r>
      <w:r>
        <w:rPr>
          <w:rtl w:val="true"/>
        </w:rPr>
        <w:t xml:space="preserve">, </w:t>
      </w:r>
      <w:r>
        <w:rPr>
          <w:rtl w:val="true"/>
        </w:rPr>
        <w:t>נטען כי עדותה אינה מדויקת וכוללת סתירות לא מבוטלות</w:t>
      </w:r>
      <w:r>
        <w:rPr>
          <w:rtl w:val="true"/>
        </w:rPr>
        <w:t xml:space="preserve">; </w:t>
      </w:r>
      <w:r>
        <w:rPr>
          <w:rtl w:val="true"/>
        </w:rPr>
        <w:t>כי העובדה שלא זכתה לאמון לאורך השנים מעידה על היותה בלתי מהימנה</w:t>
      </w:r>
      <w:r>
        <w:rPr>
          <w:rtl w:val="true"/>
        </w:rPr>
        <w:t xml:space="preserve">; </w:t>
      </w:r>
      <w:r>
        <w:rPr>
          <w:rtl w:val="true"/>
        </w:rPr>
        <w:t>כי האופן שבו תיארה את המעשים לקרוביה אינו עקבי</w:t>
      </w:r>
      <w:r>
        <w:rPr>
          <w:rtl w:val="true"/>
        </w:rPr>
        <w:t xml:space="preserve">; </w:t>
      </w:r>
      <w:r>
        <w:rPr>
          <w:rtl w:val="true"/>
        </w:rPr>
        <w:t>וכי גרסתה הולכת ומתפתחת כך שבמסגרת תיאוריה</w:t>
      </w:r>
      <w:r>
        <w:rPr>
          <w:rtl w:val="true"/>
        </w:rPr>
        <w:t xml:space="preserve">, </w:t>
      </w:r>
      <w:r>
        <w:rPr>
          <w:rtl w:val="true"/>
        </w:rPr>
        <w:t>חומרת המעשים להם טענה הלכה וגברה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מלין על כך שהמשיבה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tl w:val="true"/>
        </w:rPr>
        <w:t xml:space="preserve"> העידה בבית המשפט את אחותה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היום היא גרושתו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מאחר ש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שהתה בבית בעת שאירע </w:t>
      </w:r>
      <w:r>
        <w:rPr>
          <w:rtl w:val="true"/>
        </w:rPr>
        <w:t xml:space="preserve">המקרה שבו נטען כי המערער החדיר את איבר מינו לפיה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נדרש היה מהמשיבה להביאה כעדה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נקודה נוספת עליה המערער עומד בטענותיו קשורה ב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 xml:space="preserve">דודתה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הייתה זו שעמדה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לצידה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בהגשת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התלונה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במשטרה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הפעילה לחצים לא מבוטלים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על מנת שתגיש 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עד כדי כך שבעימות שנערך בין המערער לבין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האחרונה אמרה כי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על בסיס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נטען כי מהימנות גרסתה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מתערערת באופן מהותי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צביע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מתמקדת בכך שעובר להגשת כתב האישום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הגישה נגדו שתי תלונות במשטרה </w:t>
      </w:r>
      <w:r>
        <w:rPr>
          <w:rtl w:val="true"/>
        </w:rPr>
        <w:t>–</w:t>
      </w:r>
      <w:r>
        <w:rPr>
          <w:rtl w:val="true"/>
        </w:rPr>
        <w:t xml:space="preserve"> הראשונה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והשנייה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כאשר לדבריו</w:t>
      </w:r>
      <w:r>
        <w:rPr>
          <w:rtl w:val="true"/>
        </w:rPr>
        <w:t xml:space="preserve">, </w:t>
      </w:r>
      <w:r>
        <w:rPr>
          <w:rtl w:val="true"/>
        </w:rPr>
        <w:t>התלונה השנייה כללה האשמות שלא נכללו בראשונה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המערער טוען שכתב האישום הוגש בהסתמך על חקירה שנערכה לו בעקבות התלונה הראשונה</w:t>
      </w:r>
      <w:r>
        <w:rPr>
          <w:rtl w:val="true"/>
        </w:rPr>
        <w:t xml:space="preserve">. </w:t>
      </w:r>
      <w:r>
        <w:rPr>
          <w:rtl w:val="true"/>
        </w:rPr>
        <w:t>מאחר שלא נחקר פעם נוספת בגין התלונה השנייה</w:t>
      </w:r>
      <w:r>
        <w:rPr>
          <w:rtl w:val="true"/>
        </w:rPr>
        <w:t xml:space="preserve">, </w:t>
      </w:r>
      <w:r>
        <w:rPr>
          <w:rtl w:val="true"/>
        </w:rPr>
        <w:t>נטען כי יש להתעלם לחלוטין ממה שמיוחס לו בכתב האישום בעקבות תלונה זו על בסיס דוקטרינת ההגנה מן הצדק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האמור</w:t>
      </w:r>
      <w:r>
        <w:rPr>
          <w:rtl w:val="true"/>
        </w:rPr>
        <w:t xml:space="preserve">, </w:t>
      </w:r>
      <w:r>
        <w:rPr>
          <w:rtl w:val="true"/>
        </w:rPr>
        <w:t>המערער טוען כי אירעה חריגה בחקירתו ובמשך הטיפול בעניינו עובר להגשת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משאלה נמשכו מעבר לזמן הקצוב לכך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57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ומבלי שהתקבל בזמן אמת האישור הנדרש לחריגה מהיועצת המשפטית לממשלה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ביחס לגזר הדין</w:t>
      </w:r>
      <w:r>
        <w:rPr>
          <w:rtl w:val="true"/>
        </w:rPr>
        <w:t xml:space="preserve">, </w:t>
      </w:r>
      <w:r>
        <w:rPr>
          <w:rtl w:val="true"/>
        </w:rPr>
        <w:t>המערער טוען כי בית המשפט המחוזי החמיר בקביעת עונשו יתר על המידה</w:t>
      </w:r>
      <w:r>
        <w:rPr>
          <w:rtl w:val="true"/>
        </w:rPr>
        <w:t xml:space="preserve">, </w:t>
      </w:r>
      <w:r>
        <w:rPr>
          <w:rtl w:val="true"/>
        </w:rPr>
        <w:t>בפרט לנוכח התנהלות המשיבה בהליכי החקירה וההעמדה לדין ובהתחשב בזמן שחלף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הפיצוי שנפסק לזכותה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אינו הולם את מצבו הכלכלי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את ידיה על פסק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נטען כי הכרעת הדין מבוססת על ממצאי עובדה ומהימנות אשר ככלל הערכאה הדיונית תימנע מלהתערב בהם</w:t>
      </w:r>
      <w:r>
        <w:rPr>
          <w:rtl w:val="true"/>
        </w:rPr>
        <w:t xml:space="preserve">; </w:t>
      </w:r>
      <w:r>
        <w:rPr>
          <w:rtl w:val="true"/>
        </w:rPr>
        <w:t xml:space="preserve">וכי הסתירות להן טוען המערער בעדותה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ובאופן שבו תיארה את המעשים לקרוביה במהלך חשיפת האירועים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אינן פוגמות במהימנות גרסתה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לכשלים בחקירה להם טוען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הלה נחקר על כלל האירועים בעקבות התלונה שהוגשה נגדו בשנת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התלונה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שהוגשה כאמור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כללה חידודים בלבד לטענות שהועלו במסגרת התלונה הראשונה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ומשכך לא התעורר צורך בעריכת חקירה נוספת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לטענת המערער בדבר הימשכות ההליכים עד להחלטה להעמידו לדין </w:t>
      </w:r>
      <w:r>
        <w:rPr>
          <w:rtl w:val="true"/>
        </w:rPr>
        <w:t>–</w:t>
      </w:r>
      <w:r>
        <w:rPr>
          <w:rtl w:val="true"/>
        </w:rPr>
        <w:t xml:space="preserve"> המשיבה טוענת כי עם גילוי החריגה ממשך הטיפול המותר בחוק</w:t>
      </w:r>
      <w:r>
        <w:rPr>
          <w:rtl w:val="true"/>
        </w:rPr>
        <w:t xml:space="preserve">, </w:t>
      </w:r>
      <w:r>
        <w:rPr>
          <w:rtl w:val="true"/>
        </w:rPr>
        <w:t>ניתן לכתב האישום אישור בדיעבד מטעם היועצת המשפטית לממשלה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ולנוכח האינטרס הציבורי בהותרת ההרשעה על כנה </w:t>
      </w:r>
      <w:r>
        <w:rPr>
          <w:rtl w:val="true"/>
        </w:rPr>
        <w:t>–</w:t>
      </w:r>
      <w:r>
        <w:rPr>
          <w:rtl w:val="true"/>
        </w:rPr>
        <w:t xml:space="preserve"> נטען כי יש להחיל את דוקטרינת הבטלות היחסית כך שהאישומים לא יבוטלו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המשיבה מדגישה כי טענה זו</w:t>
      </w:r>
      <w:r>
        <w:rPr>
          <w:rtl w:val="true"/>
        </w:rPr>
        <w:t xml:space="preserve">, </w:t>
      </w:r>
      <w:r>
        <w:rPr>
          <w:rtl w:val="true"/>
        </w:rPr>
        <w:t>כמו גם הטענה בדבר קיומם של כשלים בחקירה</w:t>
      </w:r>
      <w:r>
        <w:rPr>
          <w:rtl w:val="true"/>
        </w:rPr>
        <w:t xml:space="preserve">, </w:t>
      </w:r>
      <w:r>
        <w:rPr>
          <w:rtl w:val="true"/>
        </w:rPr>
        <w:t>הועלו לראשונה במסגרת הערעור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המשיבה טוענת כי אין מקום להתערבות בעונש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לעמדתה מדובר בעונש מקל ביחס לחומרת מעשיו ולמדיניות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עוד צוין כי סוגיית חלוף הזמן נלקחה בחשבון על ידי בית המשפט המחוזי במלאכת גזירת העונש</w:t>
      </w:r>
      <w:r>
        <w:rPr>
          <w:rtl w:val="true"/>
        </w:rPr>
        <w:t xml:space="preserve">. </w:t>
      </w:r>
      <w:r>
        <w:rPr>
          <w:rtl w:val="true"/>
        </w:rPr>
        <w:t>אשר לפיצוי שנפסק לחובת המערער</w:t>
      </w:r>
      <w:r>
        <w:rPr>
          <w:rtl w:val="true"/>
        </w:rPr>
        <w:t xml:space="preserve">, </w:t>
      </w:r>
      <w:r>
        <w:rPr>
          <w:rtl w:val="true"/>
        </w:rPr>
        <w:t>נטען כי המוקד של הפיצוי הוא בנפגעת העבירה ובנזק שנגרם לה</w:t>
      </w:r>
      <w:r>
        <w:rPr>
          <w:rtl w:val="true"/>
        </w:rPr>
        <w:t xml:space="preserve">, </w:t>
      </w:r>
      <w:r>
        <w:rPr>
          <w:rtl w:val="true"/>
        </w:rPr>
        <w:t>ואילו מצבו הכלכלי של המערער אינו מהווה שיקול לעניין זה</w:t>
      </w:r>
      <w:r>
        <w:rPr>
          <w:rtl w:val="true"/>
        </w:rPr>
        <w:t xml:space="preserve">. </w:t>
      </w:r>
      <w:r>
        <w:rPr>
          <w:rtl w:val="true"/>
        </w:rPr>
        <w:t>לנימוקים אלה הצטרפה באת</w:t>
      </w:r>
      <w:r>
        <w:rPr>
          <w:rtl w:val="true"/>
        </w:rPr>
        <w:t>-</w:t>
      </w:r>
      <w:r>
        <w:rPr>
          <w:rtl w:val="true"/>
        </w:rPr>
        <w:t xml:space="preserve">כוחה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כשלצד זאת עמדה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הנזק שנגרם ל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בעקבות מעשיו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אקדים אחרית לראשית ואציין כי אני סבור שדין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 על הכרעת הדין</w:t>
      </w:r>
      <w:r>
        <w:rPr>
          <w:rtl w:val="true"/>
        </w:rPr>
        <w:t xml:space="preserve">. </w:t>
      </w:r>
      <w:r>
        <w:rPr>
          <w:rtl w:val="true"/>
        </w:rPr>
        <w:t xml:space="preserve">נקודת המוצא לדיוננו מצויה בכלל הידוע לפיו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נוהגת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בממצאי</w:t>
      </w:r>
      <w:r>
        <w:rPr>
          <w:rtl w:val="true"/>
        </w:rPr>
        <w:t xml:space="preserve"> עובדה ומהימנות </w:t>
      </w:r>
      <w:r>
        <w:rPr>
          <w:rtl w:val="true"/>
        </w:rPr>
        <w:t>שנקבעו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באורח</w:t>
      </w:r>
      <w:r>
        <w:rPr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 </w:t>
      </w:r>
      <w:r>
        <w:rPr>
          <w:rtl w:val="true"/>
        </w:rPr>
        <w:t>מהעדויות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פניה</w:t>
      </w:r>
      <w:r>
        <w:rPr>
          <w:rtl w:val="true"/>
        </w:rPr>
        <w:t xml:space="preserve"> </w:t>
      </w:r>
      <w:r>
        <w:rPr>
          <w:rtl w:val="true"/>
        </w:rPr>
        <w:t>ומהשתלבותן</w:t>
      </w:r>
      <w:r>
        <w:rPr>
          <w:rtl w:val="true"/>
        </w:rPr>
        <w:t xml:space="preserve"> </w:t>
      </w:r>
      <w:r>
        <w:rPr>
          <w:rtl w:val="true"/>
        </w:rPr>
        <w:t>במארג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30.4.2023</w:t>
      </w:r>
      <w:r>
        <w:rPr>
          <w:rtl w:val="true"/>
        </w:rPr>
        <w:t xml:space="preserve">)). </w:t>
      </w:r>
      <w:r>
        <w:rPr>
          <w:rtl w:val="true"/>
        </w:rPr>
        <w:t xml:space="preserve">הדברים אמורים ביתר שאת כאשר מדובר בהתרשמותה של הערכאה הדיונית מעדותה של נפגעת עבירות מין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3.2.2022</w:t>
      </w:r>
      <w:r>
        <w:rPr>
          <w:rtl w:val="true"/>
        </w:rPr>
        <w:t xml:space="preserve">); </w:t>
      </w:r>
      <w:r>
        <w:rPr>
          <w:rtl w:val="true"/>
        </w:rPr>
        <w:t>להרחבה בדבר הטעמים שבבסיס כלל זה ראו</w:t>
      </w:r>
      <w:r>
        <w:rPr>
          <w:rtl w:val="true"/>
        </w:rPr>
        <w:t xml:space="preserve">: </w:t>
      </w:r>
      <w:r>
        <w:rPr>
          <w:rtl w:val="true"/>
        </w:rPr>
        <w:t xml:space="preserve">יניב ואקי </w:t>
      </w:r>
      <w:hyperlink r:id="rId4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ראיות</w:t>
        </w:r>
      </w:hyperlink>
      <w:r>
        <w:rPr>
          <w:rtl w:val="true"/>
        </w:rPr>
        <w:t xml:space="preserve"> כרך ג </w:t>
      </w:r>
      <w:r>
        <w:rPr/>
        <w:t>1416</w:t>
      </w:r>
      <w:r>
        <w:rPr>
          <w:rtl w:val="true"/>
        </w:rPr>
        <w:t>–</w:t>
      </w:r>
      <w:r>
        <w:rPr/>
        <w:t>1417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חלק נכבד מטענותיו של המערער מופנה כלפי ממצאים מעין 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איני סבור כי הן מגלות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להתערבות בהם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הילך</w:t>
      </w:r>
      <w:r>
        <w:rPr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 והגיע למסקנה כי המערער אכן ביצע את המעשים שיוחסו לו</w:t>
      </w:r>
      <w:r>
        <w:rPr>
          <w:rtl w:val="true"/>
        </w:rPr>
        <w:t xml:space="preserve">. </w:t>
      </w:r>
      <w:r>
        <w:rPr>
          <w:rtl w:val="true"/>
        </w:rPr>
        <w:t>זהירותו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ייתכן שזהירות יתרה</w:t>
      </w:r>
      <w:r>
        <w:rPr>
          <w:rtl w:val="true"/>
        </w:rPr>
        <w:t xml:space="preserve">, </w:t>
      </w:r>
      <w:r>
        <w:rPr>
          <w:rtl w:val="true"/>
        </w:rPr>
        <w:t>אף הוליכה לזיכוי המערער מהאישום בגין אירוע חג הסוכות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 העדפתו של בית המשפט המחוזי את גרסתה 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/>
          <w:b/>
          <w:spacing w:val="0"/>
          <w:sz w:val="22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על פני זו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עדותה 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 xml:space="preserve">מדודה וכוללת תיאורים תחושתיים </w:t>
      </w:r>
      <w:r>
        <w:rPr>
          <w:sz w:val="22"/>
          <w:sz w:val="22"/>
          <w:rtl w:val="true"/>
        </w:rPr>
        <w:t>המלמדים כי מעשיו הקשים של המערער נצרבו בזיכרונה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 שלא בכדי בית המשפט המחוזי הגיע למסקנה כי היא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rtl w:val="true"/>
        </w:rPr>
        <w:t>אינה בודה את הדברים מליבה</w:t>
      </w:r>
      <w:r>
        <w:rPr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כלל האירועים גובו 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בפרטים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שמלמד על המהימנות והאותנטיות של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למקרה שאירע במטבח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זכרה לתאר היכן עמדה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הזמן ביום שבו אירע המקרה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כך שהמערער נגע בה מעל לתחתוניה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האירוע השני תואר לפרטיו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התייחסה בעדותה למנח גופה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על הברכיים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ולחדר שבו התרחש המעשה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ההיחנקות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התייחסה למקום שבו ישנה ולזהותם של נוכחים נוספים בחדר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המעשה עצמו תואר באופן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פיזי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ברחם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כלשון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 התייחסה לאיום שהשמיע המערער לפיו הוא יהרוג את הוריה אם תספר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לא ביקשה להעצים את האירועים או לטעון שאירעו כששהתה עם המערער בגפה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 xml:space="preserve">הרשעתו של המערער לא נסמכה על עדותה של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אלא גם על עדויותיהן של קרובות משפחתה בדבר חשיפת האירועים בפניהן</w:t>
      </w:r>
      <w:r>
        <w:rPr>
          <w:rtl w:val="true"/>
        </w:rPr>
        <w:t xml:space="preserve">. </w:t>
      </w:r>
      <w:r>
        <w:rPr>
          <w:rtl w:val="true"/>
        </w:rPr>
        <w:t>בית המשפט המחוזי התרשם ישירות ממהימנותן</w:t>
      </w:r>
      <w:r>
        <w:rPr>
          <w:rtl w:val="true"/>
        </w:rPr>
        <w:t xml:space="preserve">, </w:t>
      </w:r>
      <w:r>
        <w:rPr>
          <w:rtl w:val="true"/>
        </w:rPr>
        <w:t xml:space="preserve">מצא כי הן מחזקות את גרסתה של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ובהיבט זה אני שותף למסקנותיו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מלבד הדמיון הרב שקיים בין האופן שבו מתוארים האירועים בעדותה של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tl w:val="true"/>
        </w:rPr>
        <w:t>לבין תיאורן של קרובות המשפחה</w:t>
      </w:r>
      <w:r>
        <w:rPr>
          <w:rtl w:val="true"/>
        </w:rPr>
        <w:t xml:space="preserve">, </w:t>
      </w:r>
      <w:r>
        <w:rPr>
          <w:rtl w:val="true"/>
        </w:rPr>
        <w:t xml:space="preserve">מעדויותיהן עולה מצבה הנפשי הקשה של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עת חשפה את קרות האירועים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תואר מצבה שעה שסיפרה על שאירע להוריה </w:t>
      </w:r>
      <w:r>
        <w:rPr>
          <w:rtl w:val="true"/>
        </w:rPr>
        <w:t>–</w:t>
      </w:r>
      <w:r>
        <w:rPr>
          <w:rtl w:val="true"/>
        </w:rPr>
        <w:t xml:space="preserve"> ששהו בזמן זה בצרפת</w:t>
      </w:r>
      <w:r>
        <w:rPr>
          <w:rtl w:val="true"/>
        </w:rPr>
        <w:t xml:space="preserve">; </w:t>
      </w:r>
      <w:r>
        <w:rPr>
          <w:rtl w:val="true"/>
        </w:rPr>
        <w:t xml:space="preserve">וכן המצב השברירי שבו הייתה שרויה כאשר חשפה את האירועים לגיסתה 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ביחס לכך נכתב בהכרעת הדין 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והאותנטי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ומרגיעה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 xml:space="preserve">יש להזכיר כי מצבו הנפשי של נפגע העבירה מהווה חיזוק העולה כדי </w:t>
      </w:r>
      <w:r>
        <w:rPr>
          <w:rFonts w:cs="Miriam"/>
          <w:b/>
          <w:b/>
          <w:spacing w:val="0"/>
          <w:szCs w:val="24"/>
          <w:rtl w:val="true"/>
        </w:rPr>
        <w:t>ראייה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מסייעת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אהרונוב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אהרונוב</w:t>
      </w:r>
      <w:r>
        <w:rPr>
          <w:rtl w:val="true"/>
        </w:rPr>
        <w:t xml:space="preserve">)).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ראוי אף לציין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חשפה לראשונה את האירועים זמן לא רב לאחר התרחשותם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עוד כשהייתה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למדי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לאחר בחינת מכלול התשתית הראייתית שהמשיבה הניחה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בדין נמצא שגרסתה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אמינה ועדיפה על גרסת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יודגש כי אף אם קיימים כטענת המערער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דיוקים בגרסתה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אין הדבר משנה ממסקנה זו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כפי שנקבע זה מכבר</w:t>
      </w:r>
      <w:r>
        <w:rPr>
          <w:rtl w:val="true"/>
        </w:rPr>
        <w:t xml:space="preserve">, </w:t>
      </w:r>
      <w:r>
        <w:rPr>
          <w:rtl w:val="true"/>
        </w:rPr>
        <w:t>כאשר עסקינן בעבירות מין</w:t>
      </w:r>
      <w:r>
        <w:rPr>
          <w:rtl w:val="true"/>
        </w:rPr>
        <w:t xml:space="preserve">, </w:t>
      </w:r>
      <w:r>
        <w:rPr>
          <w:rtl w:val="true"/>
        </w:rPr>
        <w:t>אשר להן השלכות ייחודיות על נפגעת העבירה</w:t>
      </w:r>
      <w:r>
        <w:rPr>
          <w:rtl w:val="true"/>
        </w:rPr>
        <w:t xml:space="preserve">, </w:t>
      </w:r>
      <w:r>
        <w:rPr>
          <w:rtl w:val="true"/>
        </w:rPr>
        <w:t>אין לסטיות כאלו ואחרות בגרסתה כדי לשלול את מהימנותה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כל אימת ש</w:t>
      </w:r>
      <w:r>
        <w:rPr>
          <w:rtl w:val="true"/>
        </w:rPr>
        <w:t>"</w:t>
      </w:r>
      <w:r>
        <w:rPr>
          <w:rtl w:val="true"/>
        </w:rPr>
        <w:t>הגרעין הקשה</w:t>
      </w:r>
      <w:r>
        <w:rPr>
          <w:rtl w:val="true"/>
        </w:rPr>
        <w:t xml:space="preserve">" </w:t>
      </w:r>
      <w:r>
        <w:rPr>
          <w:rtl w:val="true"/>
        </w:rPr>
        <w:t>של האירועים והתמונה הראייתית הכוללת</w:t>
      </w:r>
      <w:r>
        <w:rPr>
          <w:rtl w:val="true"/>
        </w:rPr>
        <w:t xml:space="preserve">, </w:t>
      </w:r>
      <w:r>
        <w:rPr>
          <w:rtl w:val="true"/>
        </w:rPr>
        <w:t xml:space="preserve">מוליכים למסקנה כי הנאשם ביצע את המעשים שיוחסו לו מעבר לספק סביר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8978/18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4.2.2020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לאמור עד כה יש להוסיף כי לא זו בלבד שגרסתה של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נמצאה מהימנה</w:t>
      </w:r>
      <w:r>
        <w:rPr>
          <w:rtl w:val="true"/>
        </w:rPr>
        <w:t xml:space="preserve">, </w:t>
      </w:r>
      <w:r>
        <w:rPr>
          <w:rtl w:val="true"/>
        </w:rPr>
        <w:t xml:space="preserve">אלא גם כי גרסתו של המערער נמצאה </w:t>
      </w:r>
      <w:r>
        <w:rPr>
          <w:rFonts w:ascii="Century" w:hAnsi="Century" w:cs="Century"/>
          <w:sz w:val="22"/>
          <w:sz w:val="22"/>
          <w:rtl w:val="true"/>
        </w:rPr>
        <w:t>בלתי</w:t>
      </w:r>
      <w:r>
        <w:rPr>
          <w:rtl w:val="true"/>
        </w:rPr>
        <w:t xml:space="preserve"> מהימנה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הכחיש כי ביצע את המעשים שבהם הורשע</w:t>
      </w:r>
      <w:r>
        <w:rPr>
          <w:rtl w:val="true"/>
        </w:rPr>
        <w:t xml:space="preserve">. </w:t>
      </w:r>
      <w:r>
        <w:rPr>
          <w:rtl w:val="true"/>
        </w:rPr>
        <w:t xml:space="preserve">אף נטען על ידו כי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tl w:val="true"/>
        </w:rPr>
        <w:t xml:space="preserve">והוא לא שהו בבית של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ושלו באותה העת </w:t>
      </w:r>
      <w:r>
        <w:rPr>
          <w:rtl w:val="true"/>
        </w:rPr>
        <w:t>–</w:t>
      </w:r>
      <w:r>
        <w:rPr>
          <w:rtl w:val="true"/>
        </w:rPr>
        <w:t xml:space="preserve"> אך טענה זו אינה מתיישבת עם הממצא בדבר ביקוריה התכופים של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tl w:val="true"/>
        </w:rPr>
        <w:t>בביתם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אין לקבל את גרסת המערער כי המדובר בעלילת שווא</w:t>
      </w:r>
      <w:r>
        <w:rPr>
          <w:rtl w:val="true"/>
        </w:rPr>
        <w:t xml:space="preserve">. </w:t>
      </w:r>
      <w:r>
        <w:rPr>
          <w:rtl w:val="true"/>
        </w:rPr>
        <w:t>כפי שנקבע זה מכבר</w:t>
      </w:r>
      <w:r>
        <w:rPr>
          <w:rtl w:val="true"/>
        </w:rPr>
        <w:t xml:space="preserve">, </w:t>
      </w:r>
      <w:r>
        <w:rPr>
          <w:rtl w:val="true"/>
        </w:rPr>
        <w:t xml:space="preserve">על טענה לקיומה של עלילת שווא להיות ממשית והגיונית </w:t>
      </w:r>
      <w:r>
        <w:rPr>
          <w:rtl w:val="true"/>
        </w:rPr>
        <w:t>–</w:t>
      </w:r>
      <w:r>
        <w:rPr>
          <w:rtl w:val="true"/>
        </w:rPr>
        <w:t xml:space="preserve"> אך לא כך בענייננו </w:t>
      </w:r>
      <w:r>
        <w:rPr>
          <w:rtl w:val="true"/>
        </w:rPr>
        <w:t>(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21.7.2021</w:t>
      </w:r>
      <w:r>
        <w:rPr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התמידה בטענות שהשמיעה כלפי המערער לאורך השנים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 היותה צעירה למדי במהלך חלק ניכר מהתקופה המדוברת</w:t>
      </w:r>
      <w:r>
        <w:rPr>
          <w:rtl w:val="true"/>
        </w:rPr>
        <w:t xml:space="preserve">, </w:t>
      </w:r>
      <w:r>
        <w:rPr>
          <w:rtl w:val="true"/>
        </w:rPr>
        <w:t xml:space="preserve">ולמרות ששילמה מחיר אישי כבד לנוכח </w:t>
      </w:r>
      <w:r>
        <w:rPr>
          <w:rtl w:val="true"/>
        </w:rPr>
        <w:t>"</w:t>
      </w:r>
      <w:r>
        <w:rPr>
          <w:rtl w:val="true"/>
        </w:rPr>
        <w:t>הכתף הקרה</w:t>
      </w:r>
      <w:r>
        <w:rPr>
          <w:rtl w:val="true"/>
        </w:rPr>
        <w:t xml:space="preserve">" </w:t>
      </w:r>
      <w:r>
        <w:rPr>
          <w:rtl w:val="true"/>
        </w:rPr>
        <w:t>וחוסר האמון שבהם נתקלה מצד בני משפחתה</w:t>
      </w:r>
      <w:r>
        <w:rPr>
          <w:rtl w:val="true"/>
        </w:rPr>
        <w:t xml:space="preserve">, </w:t>
      </w:r>
      <w:r>
        <w:rPr>
          <w:rtl w:val="true"/>
        </w:rPr>
        <w:t>ובפרט מצד אימה</w:t>
      </w:r>
      <w:r>
        <w:rPr>
          <w:rtl w:val="true"/>
        </w:rPr>
        <w:t xml:space="preserve">. </w:t>
      </w:r>
      <w:r>
        <w:rPr>
          <w:rtl w:val="true"/>
        </w:rPr>
        <w:t xml:space="preserve">חוסר אמון שאף הוביל לפגיעה במצבה הנפשי </w:t>
      </w:r>
      <w:r>
        <w:rPr>
          <w:rtl w:val="true"/>
        </w:rPr>
        <w:t>(</w:t>
      </w:r>
      <w:r>
        <w:rPr>
          <w:rtl w:val="true"/>
        </w:rPr>
        <w:t>על ההשפעה הרבה של תגובת משפחת נפגע העבירה עמדתי בפרשיות קודמות</w:t>
      </w:r>
      <w:r>
        <w:rPr>
          <w:rtl w:val="true"/>
        </w:rPr>
        <w:t xml:space="preserve">, 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30.1.2022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אף אין בידי לקבל את טענת המערער שנסמכת על כך ש</w:t>
      </w:r>
      <w:r>
        <w:rPr>
          <w:rFonts w:ascii="Century" w:hAnsi="Century" w:cs="Century"/>
          <w:sz w:val="22"/>
          <w:sz w:val="22"/>
          <w:rtl w:val="true"/>
        </w:rPr>
        <w:t xml:space="preserve">תלונתה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הוגשה לאחר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דחיפה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מצד בת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דודתה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בפרט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הדגיש בטיעונו את </w:t>
      </w:r>
      <w:r>
        <w:rPr>
          <w:rStyle w:val="Strong"/>
          <w:rFonts w:ascii="Century" w:hAnsi="Century" w:cs="Century"/>
          <w:b w:val="false"/>
          <w:b w:val="false"/>
          <w:bCs w:val="false"/>
          <w:sz w:val="22"/>
          <w:sz w:val="22"/>
          <w:rtl w:val="true"/>
        </w:rPr>
        <w:t>אמירתה</w:t>
      </w:r>
      <w:r>
        <w:rPr>
          <w:rFonts w:ascii="Century" w:hAnsi="Century" w:cs="Century"/>
          <w:sz w:val="22"/>
          <w:sz w:val="22"/>
          <w:rtl w:val="true"/>
        </w:rPr>
        <w:t xml:space="preserve"> במסגרת העימות כי תטיח בו הכל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אחר שצפיתי בתיעוד העימות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הגעתי לכלל מסקנה כי אמירה זו אינה מצדיקה שינוי כלשהו ממסקנת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בפתח העימות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סיפרה מיוזמתה כי לא היו לה האומץ והכוחות הדרושים עד שקיבלה את תמיכתה של בת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דודתה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שהמשיכה וציינה כי זו האחרונה עודדה אותה לחשיפת המעשים ואמרה לה להטיח את הדברים בפני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כלשונה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מכאן ועד המסקנה כי יש ללמוד ש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אכן הטיחה במערער דבר מה שאינו נכון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כי עדותה אינה אמינה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ארוכה הדרך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 לאמור לעיל ביחס לקשייה של נפגעת עבירת מין בעודה קטינה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לדקדק עמה ביחס לכל מטבע לשון שבחרה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בפרט כשהיא מתארת את שנאמר לה על ידי צדדים שלישיים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וכאשר עסקינן במצב שבו היא ניצבת למול זה שפגע בה מינית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מה גם שבהחלט ניתן להבין את דבריה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מתוך ההקשר שבו נאמרו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ככאלה המכוונים כלפי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התגובה</w:t>
      </w:r>
      <w:r>
        <w:rPr>
          <w:rFonts w:ascii="Century" w:hAnsi="Century" w:cs="Century"/>
          <w:sz w:val="22"/>
          <w:sz w:val="22"/>
          <w:rtl w:val="true"/>
        </w:rPr>
        <w:t xml:space="preserve"> שלה תזכה עקב 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להבדיל מאמיתות תוכן הדברים עצמם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הבנה זו מקבלת חיזוק מכך שהדברים נאמרו בפתח העימות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וביוזמתה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ויודגש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שמכל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התמונה הכוללת היא שקובעת לעניין קביעת המהימנות של נפגעת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ובהיבט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אמירתה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אינה משנה מהמסקנה כי גרסתה כנה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מבוססת ומהימנה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ראוי להזכיר בהקשר זה כי כבר </w:t>
      </w:r>
      <w:r>
        <w:rPr>
          <w:rFonts w:ascii="Century" w:hAnsi="Century" w:cs="Century"/>
          <w:rtl w:val="true"/>
        </w:rPr>
        <w:t>מגיל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צעיר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רגשותיה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השליליים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צעקה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משהמשיכו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לארח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ומחמת חוסר האמון שבו נתקלה כאמור מצד 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Century"/>
          <w:rtl w:val="true"/>
        </w:rPr>
        <w:t>לא הגישה תלונה במשטרה נגד המערער עד שלא זכתה לתמיכת בת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דודתה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תמיכה שקיבלה רק בהגיעה לגיל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משאלו הם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המחוזי קבע כי העובדה שהתלונה הוגשה כמה שנים לאחר קרות האירועים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cs="Century"/>
          <w:rtl w:val="true"/>
        </w:rPr>
        <w:t xml:space="preserve"> פוגעת במהימנות גרסתה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וצדק כשעשה כן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גם בטענותיו של המערער בדבר קיומם של כשלים בחקירה אין כדי לשנות ממסקנת בית המשפט המחוזי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יוער כי טענה זו הועלתה לראשונה בהליך דנן</w:t>
      </w:r>
      <w:r>
        <w:rPr>
          <w:rtl w:val="true"/>
        </w:rPr>
        <w:t xml:space="preserve">, </w:t>
      </w:r>
      <w:r>
        <w:rPr>
          <w:rtl w:val="true"/>
        </w:rPr>
        <w:t xml:space="preserve">למרות שככלל אין מקום לבצע </w:t>
      </w:r>
      <w:r>
        <w:rPr>
          <w:rtl w:val="true"/>
        </w:rPr>
        <w:t>"</w:t>
      </w:r>
      <w:r>
        <w:rPr>
          <w:rtl w:val="true"/>
        </w:rPr>
        <w:t>מקצה שיפורים</w:t>
      </w:r>
      <w:r>
        <w:rPr>
          <w:rtl w:val="true"/>
        </w:rPr>
        <w:t xml:space="preserve">" </w:t>
      </w:r>
      <w:r>
        <w:rPr>
          <w:rtl w:val="true"/>
        </w:rPr>
        <w:t xml:space="preserve">במסגרת הערעור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2076/21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ואכד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30.7.2023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כן 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tl w:val="true"/>
        </w:rPr>
        <w:t xml:space="preserve">יעקב </w:t>
      </w:r>
      <w:hyperlink r:id="rId47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tl w:val="true"/>
        </w:rPr>
        <w:t xml:space="preserve"> חלק שני</w:t>
      </w:r>
      <w:r>
        <w:rPr>
          <w:rtl w:val="true"/>
        </w:rPr>
        <w:t xml:space="preserve">: </w:t>
      </w:r>
      <w:r>
        <w:rPr>
          <w:rtl w:val="true"/>
        </w:rPr>
        <w:t xml:space="preserve">הליכים שלאחר כתב אישום ב </w:t>
      </w:r>
      <w:r>
        <w:rPr/>
        <w:t>1882</w:t>
      </w:r>
      <w:r>
        <w:rPr>
          <w:rtl w:val="true"/>
        </w:rPr>
        <w:t>–</w:t>
      </w:r>
      <w:r>
        <w:rPr/>
        <w:t>1883</w:t>
      </w:r>
      <w:r>
        <w:rPr>
          <w:rtl w:val="true"/>
        </w:rPr>
        <w:t xml:space="preserve">, </w:t>
      </w:r>
      <w:r>
        <w:rPr/>
        <w:t>1904</w:t>
      </w:r>
      <w:r>
        <w:rPr>
          <w:rtl w:val="true"/>
        </w:rPr>
        <w:t xml:space="preserve"> (</w:t>
      </w:r>
      <w:r>
        <w:rPr>
          <w:rtl w:val="true"/>
        </w:rPr>
        <w:t xml:space="preserve">מהדורה מעודכנת </w:t>
      </w:r>
      <w:r>
        <w:rPr/>
        <w:t>2009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אף לגופם של דברים לא מצאתי כי יש בטענה זו ממש</w:t>
      </w:r>
      <w:r>
        <w:rPr>
          <w:rtl w:val="true"/>
        </w:rPr>
        <w:t xml:space="preserve">. </w:t>
      </w:r>
      <w:r>
        <w:rPr>
          <w:rtl w:val="true"/>
        </w:rPr>
        <w:t xml:space="preserve">מעיון בתוכן החקירה שנערכה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 xml:space="preserve">והעימות שנערך בשנת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עולה כי כלל האירועים</w:t>
      </w:r>
      <w:r>
        <w:rPr>
          <w:rtl w:val="true"/>
        </w:rPr>
        <w:t xml:space="preserve">, </w:t>
      </w:r>
      <w:r>
        <w:rPr>
          <w:rtl w:val="true"/>
        </w:rPr>
        <w:t>ובוודאי עיקרם</w:t>
      </w:r>
      <w:r>
        <w:rPr>
          <w:rtl w:val="true"/>
        </w:rPr>
        <w:t xml:space="preserve">, </w:t>
      </w:r>
      <w:r>
        <w:rPr>
          <w:rtl w:val="true"/>
        </w:rPr>
        <w:t xml:space="preserve">הוטחו בפני המערער כבר אז </w:t>
      </w:r>
      <w:r>
        <w:rPr>
          <w:rtl w:val="true"/>
        </w:rPr>
        <w:t>–</w:t>
      </w:r>
      <w:r>
        <w:rPr>
          <w:rtl w:val="true"/>
        </w:rPr>
        <w:t xml:space="preserve"> כך שלטענה כי נחשף לחלק מההאשמות לראשונה בשנת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 בסיס ממשי להיסמך עליו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  <w:r>
        <w:rPr>
          <w:rtl w:val="true"/>
        </w:rPr>
        <w:t xml:space="preserve">: </w:t>
      </w:r>
      <w:r>
        <w:rPr>
          <w:rtl w:val="true"/>
        </w:rPr>
        <w:t>מהאמור עד כה עולה כי מסקנותיו של בית המשפט המחוזי מעוגנות היטב בחומר הראיות ומכיוון שכך אין מקום לסטות מהן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highlight w:val="yellow"/>
        </w:rPr>
      </w:pPr>
      <w:r>
        <w:rPr>
          <w:rFonts w:cs="Miriam" w:ascii="Century" w:hAnsi="Century"/>
          <w:b/>
          <w:spacing w:val="0"/>
          <w:szCs w:val="24"/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טענה נוספת שהמערער העלה כאמור</w:t>
      </w:r>
      <w:r>
        <w:rPr>
          <w:rtl w:val="true"/>
        </w:rPr>
        <w:t xml:space="preserve">, </w:t>
      </w:r>
      <w:r>
        <w:rPr>
          <w:rtl w:val="true"/>
        </w:rPr>
        <w:t>עניינה באי</w:t>
      </w:r>
      <w:r>
        <w:rPr>
          <w:rtl w:val="true"/>
        </w:rPr>
        <w:t>-</w:t>
      </w:r>
      <w:r>
        <w:rPr>
          <w:rtl w:val="true"/>
        </w:rPr>
        <w:t xml:space="preserve">העדתה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אחות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שהייתה נשואה לו ואשר שהתה בבית עת אירע המקרה שבו החדיר את איבר מינו לפיה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דינה של טענה זו להידחות מאחר שהלכה 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שקולה לטענת כשל בייצוג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מציג את טענתו כמופנית כלפי החלטת המשיבה שלא להביא 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להעיד בפני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הלכה מושרשת היא כי המדינה אינה מחויבת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בהבאת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הראיה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המקסימלית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הרשעה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</w:t>
      </w:r>
      <w:r>
        <w:rPr>
          <w:rFonts w:ascii="Century" w:hAnsi="Century" w:cs="Century"/>
          <w:sz w:val="22"/>
          <w:sz w:val="22"/>
          <w:rtl w:val="true"/>
        </w:rPr>
        <w:t xml:space="preserve"> 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בקיומן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ראיות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מספקות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ascii="Century" w:hAnsi="Century" w:cs="Century"/>
          <w:sz w:val="22"/>
          <w:sz w:val="22"/>
          <w:rtl w:val="true"/>
        </w:rPr>
        <w:t>בכוחן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להוכיח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אשמת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לספק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4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2127/17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28.2.2018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אחר שהמשיבה הסתפקה בהבאת העדים שהביאה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יכול היה להעיד מטעמו כל עד שיחפוץ אם היה סבור כי יש בכך כדי להוות תימוכין לגרסתו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משלא עשה כן בפני הערכאה הדיונית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אין לו להלין אלא על עצמו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יוצא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העלאת הטענה בשלב זה על ידי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הנוכחי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אינו הסנגור שייצגו בהליך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למעשה טענת כשל בייצוג המופנית כלפי האופן שבו ניהל הסנגור הקודם את הגנת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שנקבע לא אחת</w:t>
      </w:r>
      <w:r>
        <w:rPr>
          <w:rtl w:val="true"/>
        </w:rPr>
        <w:t xml:space="preserve">, </w:t>
      </w:r>
      <w:r>
        <w:rPr>
          <w:rtl w:val="true"/>
        </w:rPr>
        <w:t>לטענ</w:t>
      </w:r>
      <w:r>
        <w:rPr>
          <w:rtl w:val="true"/>
        </w:rPr>
        <w:t>ו</w:t>
      </w:r>
      <w:r>
        <w:rPr>
          <w:rtl w:val="true"/>
        </w:rPr>
        <w:t>ת כשל בייצוג יש להיזקק במשורה</w:t>
      </w:r>
      <w:r>
        <w:rPr>
          <w:rtl w:val="true"/>
        </w:rPr>
        <w:t xml:space="preserve">, </w:t>
      </w:r>
      <w:r>
        <w:rPr>
          <w:rtl w:val="true"/>
        </w:rPr>
        <w:t>וה</w:t>
      </w:r>
      <w:r>
        <w:rPr>
          <w:rtl w:val="true"/>
        </w:rPr>
        <w:t>ן</w:t>
      </w:r>
      <w:r>
        <w:rPr>
          <w:rtl w:val="true"/>
        </w:rPr>
        <w:t xml:space="preserve"> תתקבל</w:t>
      </w:r>
      <w:r>
        <w:rPr>
          <w:rtl w:val="true"/>
        </w:rPr>
        <w:t>נה</w:t>
      </w:r>
      <w:r>
        <w:rPr>
          <w:rtl w:val="true"/>
        </w:rPr>
        <w:t xml:space="preserve"> במקרים חריגים</w:t>
      </w:r>
      <w:r>
        <w:rPr>
          <w:rtl w:val="true"/>
        </w:rPr>
        <w:t xml:space="preserve"> בלבד</w:t>
      </w:r>
      <w:r>
        <w:rPr>
          <w:rtl w:val="true"/>
        </w:rPr>
        <w:t xml:space="preserve"> </w:t>
      </w:r>
      <w:r>
        <w:rPr>
          <w:rtl w:val="true"/>
        </w:rPr>
        <w:t>שניתן להצביע בהם</w:t>
      </w:r>
      <w:r>
        <w:rPr>
          <w:rtl w:val="true"/>
        </w:rPr>
        <w:t xml:space="preserve"> על עיוות דין</w:t>
      </w:r>
      <w:r>
        <w:rPr>
          <w:rtl w:val="true"/>
        </w:rPr>
        <w:t xml:space="preserve"> שנגרם לנאשם</w:t>
      </w:r>
      <w:r>
        <w:rPr>
          <w:rtl w:val="true"/>
        </w:rPr>
        <w:t xml:space="preserve">. </w:t>
      </w:r>
      <w:r>
        <w:rPr>
          <w:rtl w:val="true"/>
        </w:rPr>
        <w:t>המבחן לקיומו של עיוות דין הוא מבחן סיבתי</w:t>
      </w:r>
      <w:r>
        <w:rPr>
          <w:rtl w:val="true"/>
        </w:rPr>
        <w:t>-</w:t>
      </w:r>
      <w:r>
        <w:rPr>
          <w:rtl w:val="true"/>
        </w:rPr>
        <w:t xml:space="preserve">תוצאתי </w:t>
      </w:r>
      <w:r>
        <w:rPr>
          <w:rtl w:val="true"/>
        </w:rPr>
        <w:t>שבגדרו</w:t>
      </w:r>
      <w:r>
        <w:rPr>
          <w:rtl w:val="true"/>
        </w:rPr>
        <w:t xml:space="preserve"> יש להוכיח כי אלמלא הכשל הנטען – אפשר שתוצאת ההליך הייתה שונה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6.6.2023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tl w:val="true"/>
        </w:rPr>
        <w:t xml:space="preserve"> נקבע כי הנטל על הטוען </w:t>
      </w:r>
      <w:r>
        <w:rPr>
          <w:rtl w:val="true"/>
        </w:rPr>
        <w:t>לכך</w:t>
      </w:r>
      <w:r>
        <w:rPr>
          <w:rtl w:val="true"/>
        </w:rPr>
        <w:t xml:space="preserve"> – נטל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</w:t>
      </w:r>
      <w:r>
        <w:rPr>
          <w:rtl w:val="true"/>
        </w:rPr>
        <w:t xml:space="preserve"> הוא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</w:t>
      </w:r>
      <w:r>
        <w:rPr/>
        <w:t>.</w:t>
      </w:r>
      <w:r>
        <w:rPr/>
        <w:t>6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1936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הוכיח כי בהעדתה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היה כדי לשנות מהמסקנה אליה הגיע בית המשפט המחוזי </w:t>
      </w:r>
      <w:r>
        <w:rPr>
          <w:rtl w:val="true"/>
        </w:rPr>
        <w:t>–</w:t>
      </w:r>
      <w:r>
        <w:rPr>
          <w:rtl w:val="true"/>
        </w:rPr>
        <w:t xml:space="preserve"> ודאי שלא באופן העומד ברף הנדרש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בטענות </w:t>
      </w:r>
      <w:r>
        <w:rPr>
          <w:rtl w:val="true"/>
        </w:rPr>
        <w:t>כשל בייצוג</w:t>
      </w:r>
      <w:r>
        <w:rPr>
          <w:rtl w:val="true"/>
        </w:rPr>
        <w:t xml:space="preserve"> קיים מעין תנאי סף לפיו על הטוען </w:t>
      </w:r>
      <w:r>
        <w:rPr>
          <w:rtl w:val="true"/>
        </w:rPr>
        <w:t xml:space="preserve">להן </w:t>
      </w:r>
      <w:r>
        <w:rPr>
          <w:rtl w:val="true"/>
        </w:rPr>
        <w:t xml:space="preserve">להציג לבית המשפט את עמדת </w:t>
      </w:r>
      <w:r>
        <w:rPr>
          <w:rtl w:val="true"/>
        </w:rPr>
        <w:t>ה</w:t>
      </w:r>
      <w:r>
        <w:rPr>
          <w:rtl w:val="true"/>
        </w:rPr>
        <w:t>סנגור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 xml:space="preserve">על מנת שבאמצעותה יוכל בית המשפט לאמוד את נכונות הטענה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 xml:space="preserve">ברקע לכלל זה מצויה ההבנה כי רבות הדרכים לניהול הגנתו של נאשם </w:t>
      </w:r>
      <w:r>
        <w:rPr>
          <w:rtl w:val="true"/>
        </w:rPr>
        <w:t>(</w:t>
      </w:r>
      <w:r>
        <w:rPr>
          <w:rtl w:val="true"/>
        </w:rPr>
        <w:t xml:space="preserve">ראו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ב</w:t>
      </w:r>
      <w:r>
        <w:rPr>
          <w:rtl w:val="true"/>
        </w:rPr>
        <w:t>-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678/07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3.7.2007</w:t>
      </w:r>
      <w:r>
        <w:rPr>
          <w:rtl w:val="true"/>
        </w:rPr>
        <w:t xml:space="preserve">)). </w:t>
      </w:r>
      <w:r>
        <w:rPr>
          <w:rtl w:val="true"/>
        </w:rPr>
        <w:t xml:space="preserve">ואילו </w:t>
      </w:r>
      <w:r>
        <w:rPr>
          <w:rtl w:val="true"/>
        </w:rPr>
        <w:t>בעניינ</w:t>
      </w: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די בכך כדי </w:t>
      </w:r>
      <w:r>
        <w:rPr>
          <w:rtl w:val="true"/>
        </w:rPr>
        <w:t>להוביל לדחיית הטענה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אחרי שנוכחנו לראות כי הטענות שנבחנו עד כה אינן מצדיקות התערבות כלשהי בפסק הדין קמא</w:t>
      </w:r>
      <w:r>
        <w:rPr>
          <w:rtl w:val="true"/>
        </w:rPr>
        <w:t xml:space="preserve">, </w:t>
      </w:r>
      <w:r>
        <w:rPr>
          <w:rtl w:val="true"/>
        </w:rPr>
        <w:t>אפנה לבחינת הטענה בדבר משך הטיפול בתיק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2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57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החקירה והטיפול בתיק עובר להגשת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ארכו מעבר לזמן שמתיר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ומבלי שניתן לכך אישור בזמן אמת</w:t>
      </w:r>
      <w:r>
        <w:rPr>
          <w:rtl w:val="true"/>
        </w:rPr>
        <w:t xml:space="preserve">. </w:t>
      </w:r>
      <w:r>
        <w:rPr>
          <w:rtl w:val="true"/>
        </w:rPr>
        <w:t>אף טענה זו הועלתה לראשונה במסגרת הערעור ודי בכך כדי לדחותה</w:t>
      </w:r>
      <w:r>
        <w:rPr>
          <w:rtl w:val="true"/>
        </w:rPr>
        <w:t xml:space="preserve">. </w:t>
      </w:r>
      <w:r>
        <w:rPr>
          <w:rtl w:val="true"/>
        </w:rPr>
        <w:t>עוד ראוי לציין</w:t>
      </w:r>
      <w:r>
        <w:rPr>
          <w:rtl w:val="true"/>
        </w:rPr>
        <w:t xml:space="preserve">, </w:t>
      </w:r>
      <w:r>
        <w:rPr>
          <w:rtl w:val="true"/>
        </w:rPr>
        <w:t>כי חלוף הזמן הובא בחשבון כנסיבה מקילה בגזירת הדין</w:t>
      </w:r>
      <w:r>
        <w:rPr>
          <w:rtl w:val="true"/>
        </w:rPr>
        <w:t xml:space="preserve">, </w:t>
      </w:r>
      <w:r>
        <w:rPr>
          <w:rtl w:val="true"/>
        </w:rPr>
        <w:t>ובהתאם לכך בית המשפט המחוזי ראה לקבוע את עונשו של המערער בסמוך לחלקו התחתון של מתחם העונש ההולם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ואף שהדבר אינו נדרש לשם דחיית 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ראיתי לנכון להקדיש מספר מילים במישור העקרוני בעניין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אשר קובע 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Style w:val="big-number"/>
          <w:rFonts w:cs="FrankRuehl" w:ascii="FrankRuehl" w:hAnsi="FrankRuehl"/>
          <w:sz w:val="28"/>
        </w:rPr>
        <w:t>57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Style w:val="default"/>
          <w:rFonts w:ascii="FrankRuehl" w:hAnsi="FrankRuehl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 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משך הליכי חקירה והעמדה לדין יהיה בהתאם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לתקופות שייקבעו בנוהלי רשויות החקירה באישור היועץ המשפטי לממשלה ובהנחיות היועץ המשפטי לממשלה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לפי העניין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לא יוגש כתב אישום אם חלפו התקופות הקבועות בנהלים ובהנחיות כאמור אלא בהסכמת היועץ המשפטי לממשלה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  <w:r>
        <w:rPr>
          <w:sz w:val="28"/>
          <w:rtl w:val="true"/>
        </w:rPr>
        <w:t>"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כפי שניתן לראות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הגשתו של כתב אישום מותנית ב</w:t>
      </w:r>
      <w:r>
        <w:rPr>
          <w:rFonts w:ascii="Century" w:hAnsi="Century" w:cs="Century"/>
          <w:rtl w:val="true"/>
        </w:rPr>
        <w:t>כך שמשך הליכי החקירה וההעמדה לדין יתאם את התקופות שתיקבענה לשם כך בנהלים וההנחיות הרלוונטיים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מנת לחרוג מתקופות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נדרשת הסכמת היועץ המשפטי לממשלה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במעמדו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, </w:t>
      </w:r>
      <w:r>
        <w:rPr>
          <w:rtl w:val="true"/>
        </w:rPr>
        <w:t>באינטרסים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Times New Roman" w:hAnsi="Times New Roman" w:cs="Times New Roman"/>
          <w:rtl w:val="true"/>
        </w:rPr>
        <w:t>–</w:t>
      </w:r>
      <w:r>
        <w:rPr/>
        <w:t>2016</w:t>
      </w:r>
      <w:r>
        <w:rPr>
          <w:rtl w:val="true"/>
        </w:rPr>
        <w:t xml:space="preserve">)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4.12.2022</w:t>
      </w:r>
      <w:r>
        <w:rPr>
          <w:rtl w:val="true"/>
        </w:rPr>
        <w:t xml:space="preserve">); </w:t>
      </w:r>
      <w:hyperlink r:id="rId61">
        <w:r>
          <w:rPr>
            <w:rStyle w:val="Hyperlink"/>
            <w:rtl w:val="true"/>
          </w:rPr>
          <w:t>יוסף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אלרון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המשפט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צומת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דרכים</w:t>
        </w:r>
        <w:r>
          <w:rPr>
            <w:rStyle w:val="Hyperlink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/>
        <w:t>841</w:t>
      </w:r>
      <w:r>
        <w:rPr>
          <w:rtl w:val="true"/>
        </w:rPr>
        <w:t xml:space="preserve">, </w:t>
      </w:r>
      <w:r>
        <w:rPr/>
        <w:t>847</w:t>
      </w:r>
      <w:r>
        <w:rPr>
          <w:rtl w:val="true"/>
        </w:rPr>
        <w:t xml:space="preserve"> (</w:t>
      </w:r>
      <w:r>
        <w:rPr>
          <w:rtl w:val="true"/>
        </w:rPr>
        <w:t>אהרן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עורכים</w:t>
      </w:r>
      <w:r>
        <w:rPr>
          <w:rFonts w:eastAsia="Arial TUR;Arial" w:cs="Arial TUR;Arial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)).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בראי ההנחיות והנהלים שעמדו בתוקף במועד הגשת כתב האישום נגד המערער</w:t>
      </w:r>
      <w:r>
        <w:rPr>
          <w:rtl w:val="true"/>
        </w:rPr>
        <w:t xml:space="preserve">, </w:t>
      </w:r>
      <w:r>
        <w:rPr>
          <w:rtl w:val="true"/>
        </w:rPr>
        <w:t>אירעה בעניינו חריגה של מספר חודשים מפרק הזמן המותר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ביחס לחקירתו</w:t>
      </w:r>
      <w:r>
        <w:rPr>
          <w:rtl w:val="true"/>
        </w:rPr>
        <w:t xml:space="preserve">, </w:t>
      </w:r>
      <w:r>
        <w:rPr>
          <w:rtl w:val="true"/>
        </w:rPr>
        <w:t>הן ביחס למשך טיפול התביעה בתיק עד להעמדתו לדין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סיפקה סיבות מסיבות שונות לחריגות האמורות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כי ניתן לחריגה אישור בדיעבד מטעם היועצת המשפטית לממשלה</w:t>
      </w:r>
      <w:r>
        <w:rPr>
          <w:rtl w:val="true"/>
        </w:rPr>
        <w:t xml:space="preserve">; </w:t>
      </w:r>
      <w:r>
        <w:rPr>
          <w:rtl w:val="true"/>
        </w:rPr>
        <w:t xml:space="preserve">כי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נכנס לתוקף רק כחודשיים וחצי לפני הגשת כתב האישום</w:t>
      </w:r>
      <w:r>
        <w:rPr>
          <w:rtl w:val="true"/>
        </w:rPr>
        <w:t xml:space="preserve">; </w:t>
      </w:r>
      <w:r>
        <w:rPr>
          <w:rtl w:val="true"/>
        </w:rPr>
        <w:t>וכי הנהלים שהיו בתוקף במועד הגשת כתב האישום עודכנו באופן משמעותי אחרי שנצבר ניסיון בתחום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בהתחשב בסיבות שהועלו</w:t>
      </w:r>
      <w:r>
        <w:rPr>
          <w:rtl w:val="true"/>
        </w:rPr>
        <w:t xml:space="preserve">, </w:t>
      </w:r>
      <w:r>
        <w:rPr>
          <w:rtl w:val="true"/>
        </w:rPr>
        <w:t>אני סבור כי התנהלות המשיבה רחוקה מלהיות משביעת רצון</w:t>
      </w:r>
      <w:r>
        <w:rPr>
          <w:rtl w:val="true"/>
        </w:rPr>
        <w:t xml:space="preserve">, </w:t>
      </w:r>
      <w:r>
        <w:rPr>
          <w:rtl w:val="true"/>
        </w:rPr>
        <w:t>וזאת בלשון המעטה</w:t>
      </w:r>
      <w:r>
        <w:rPr>
          <w:rtl w:val="true"/>
        </w:rPr>
        <w:t xml:space="preserve">. </w:t>
      </w:r>
      <w:r>
        <w:rPr>
          <w:rtl w:val="true"/>
        </w:rPr>
        <w:t xml:space="preserve">תכליתו של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כפי שהצגתיה לעיל</w:t>
      </w:r>
      <w:r>
        <w:rPr>
          <w:rtl w:val="true"/>
        </w:rPr>
        <w:t xml:space="preserve">, </w:t>
      </w:r>
      <w:r>
        <w:rPr>
          <w:rtl w:val="true"/>
        </w:rPr>
        <w:t>נועדה למנוע בדיוק מצבים מעין אלה שבהם משך החקירה והטיפול בהליך הפלילי מתארך ומתארך</w:t>
      </w:r>
      <w:r>
        <w:rPr>
          <w:rtl w:val="true"/>
        </w:rPr>
        <w:t xml:space="preserve">. </w:t>
      </w:r>
      <w:r>
        <w:rPr>
          <w:rtl w:val="true"/>
        </w:rPr>
        <w:t>מתן אישור בדיעבד על ידי היועצת המשפטית לממשלה חוטא במידה רבה לתכלית זו</w:t>
      </w:r>
      <w:r>
        <w:rPr>
          <w:rtl w:val="true"/>
        </w:rPr>
        <w:t xml:space="preserve">, </w:t>
      </w:r>
      <w:r>
        <w:rPr>
          <w:rtl w:val="true"/>
        </w:rPr>
        <w:t xml:space="preserve">בפרט בהתחשב בחשש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היועצת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תקשה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נוהל</w:t>
      </w:r>
      <w:r>
        <w:rPr>
          <w:rtl w:val="true"/>
        </w:rPr>
        <w:t xml:space="preserve"> </w:t>
      </w:r>
      <w:r>
        <w:rPr>
          <w:rtl w:val="true"/>
        </w:rPr>
        <w:t>מתחילתו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10189/02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559</w:t>
      </w:r>
      <w:r>
        <w:rPr>
          <w:rtl w:val="true"/>
        </w:rPr>
        <w:t xml:space="preserve">, </w:t>
      </w:r>
      <w:r>
        <w:rPr/>
        <w:t>570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r>
        <w:rPr>
          <w:rtl w:val="true"/>
        </w:rPr>
        <w:t>לעניין הפגם המינהלי שבהיעדר אישור ראו</w:t>
      </w:r>
      <w:r>
        <w:rPr>
          <w:rtl w:val="true"/>
        </w:rPr>
        <w:t xml:space="preserve">: </w:t>
      </w:r>
      <w:r>
        <w:rPr>
          <w:rtl w:val="true"/>
        </w:rPr>
        <w:t xml:space="preserve">יואב </w:t>
      </w:r>
      <w:hyperlink r:id="rId66">
        <w:r>
          <w:rPr>
            <w:rStyle w:val="Hyperlink"/>
            <w:color w:val="0000FF"/>
            <w:u w:val="single"/>
            <w:rtl w:val="true"/>
          </w:rPr>
          <w:t>דותן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ביקורת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שיפוטית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שיקול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מינהלי</w:t>
      </w:r>
      <w:r>
        <w:rPr>
          <w:rtl w:val="true"/>
        </w:rPr>
        <w:t xml:space="preserve"> כרך א </w:t>
      </w:r>
      <w:r>
        <w:rPr/>
        <w:t>379</w:t>
      </w:r>
      <w:r>
        <w:rPr>
          <w:rtl w:val="true"/>
        </w:rPr>
        <w:t>–</w:t>
      </w:r>
      <w:r>
        <w:rPr/>
        <w:t>382</w:t>
      </w:r>
      <w:r>
        <w:rPr>
          <w:rtl w:val="true"/>
        </w:rPr>
        <w:t xml:space="preserve"> (</w:t>
      </w:r>
      <w:r>
        <w:rPr/>
        <w:t>2022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מוטב יהיה אפוא לו פגמים מעין אלה לא יישנו </w:t>
      </w:r>
      <w:r>
        <w:rPr>
          <w:rtl w:val="true"/>
        </w:rPr>
        <w:t>–</w:t>
      </w:r>
      <w:r>
        <w:rPr>
          <w:rtl w:val="true"/>
        </w:rPr>
        <w:t xml:space="preserve"> כך דורש הדין וכך דורשות זכויותיהם של חשודים ונחקרים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אף רכיב זה של הערעור המופנה כלפי חומרת העונש וגובה הפיצויים שנפסקו לזכותה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דינו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 xml:space="preserve">ידועה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שגזרה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נמנה על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ניצל את הקשר והאמון שנוצר בינו לבין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בהיותה קטינה רכה בשנים</w:t>
      </w:r>
      <w:r>
        <w:rPr>
          <w:rtl w:val="true"/>
        </w:rPr>
        <w:t xml:space="preserve">, </w:t>
      </w:r>
      <w:r>
        <w:rPr>
          <w:rtl w:val="true"/>
        </w:rPr>
        <w:t xml:space="preserve">וכל זאת לשם סיפוק מאווייו ותו לא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אהרונוב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המחוזי זקף לזכות המערער את השיקול בדבר חלוף הזמן </w:t>
      </w:r>
      <w:r>
        <w:rPr>
          <w:rtl w:val="true"/>
        </w:rPr>
        <w:t>–</w:t>
      </w:r>
      <w:r>
        <w:rPr>
          <w:rtl w:val="true"/>
        </w:rPr>
        <w:t xml:space="preserve"> אך אין בכוחו של שיקול זה להטות את הכף לעבר ענישה מקלה עוד יותר</w:t>
      </w:r>
      <w:r>
        <w:rPr>
          <w:rtl w:val="true"/>
        </w:rPr>
        <w:t xml:space="preserve">. </w:t>
      </w:r>
      <w:r>
        <w:rPr>
          <w:rtl w:val="true"/>
        </w:rPr>
        <w:t xml:space="preserve">עוצמתם של שיקולי ההלימה המתעוררים במקרה דנן </w:t>
      </w:r>
      <w:r>
        <w:rPr>
          <w:rtl w:val="true"/>
        </w:rPr>
        <w:t>–</w:t>
      </w:r>
      <w:r>
        <w:rPr>
          <w:rtl w:val="true"/>
        </w:rPr>
        <w:t xml:space="preserve"> אינה מאפשרת זאת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לכך יש להוסיף את האמור בתסקיר נפגעת העבירה</w:t>
      </w:r>
      <w:r>
        <w:rPr>
          <w:rtl w:val="true"/>
        </w:rPr>
        <w:t xml:space="preserve">. </w:t>
      </w:r>
      <w:r>
        <w:rPr>
          <w:rtl w:val="true"/>
        </w:rPr>
        <w:t>מבלי לפרט מעבר לנדרש</w:t>
      </w:r>
      <w:r>
        <w:rPr>
          <w:rtl w:val="true"/>
        </w:rPr>
        <w:t xml:space="preserve">, </w:t>
      </w:r>
      <w:r>
        <w:rPr>
          <w:rtl w:val="true"/>
        </w:rPr>
        <w:t>מהתסקיר עולה חומרתו של הנזק שאירע ל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', </w:t>
      </w:r>
      <w:r>
        <w:rPr>
          <w:rtl w:val="true"/>
        </w:rPr>
        <w:t>והתמודדותה היומיומית עם הטראומות שמעשיו של המערער הותירו בה</w:t>
      </w:r>
      <w:r>
        <w:rPr>
          <w:rtl w:val="true"/>
        </w:rPr>
        <w:t xml:space="preserve">. </w:t>
      </w:r>
      <w:r>
        <w:rPr>
          <w:rtl w:val="true"/>
        </w:rPr>
        <w:t>כן יש לציין את הקושי הטמון במיצוי הדין עם מבצעיהם של עבירות מין בקטינות</w:t>
      </w:r>
      <w:r>
        <w:rPr>
          <w:rtl w:val="true"/>
        </w:rPr>
        <w:t xml:space="preserve">, </w:t>
      </w:r>
      <w:r>
        <w:rPr>
          <w:rtl w:val="true"/>
        </w:rPr>
        <w:t xml:space="preserve">כפי שעמדתי על הדברים בפרשיות קודמות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4618/23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10.10.2023</w:t>
      </w:r>
      <w:r>
        <w:rPr>
          <w:rtl w:val="true"/>
        </w:rPr>
        <w:t xml:space="preserve">); 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רע״פ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551/23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30.1.2023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כל אלה</w:t>
      </w:r>
      <w:r>
        <w:rPr>
          <w:rtl w:val="true"/>
        </w:rPr>
        <w:t xml:space="preserve">, </w:t>
      </w:r>
      <w:r>
        <w:rPr>
          <w:rtl w:val="true"/>
        </w:rPr>
        <w:t>טענות המערער ביחס לחומרת העונש אינן מגלות עילה להתערבות בגזר דינו של בית המשפט המחוזי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לסוגיית</w:t>
      </w:r>
      <w:r>
        <w:rPr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שיעורם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יוצאי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משיעור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19.2.2023</w:t>
      </w:r>
      <w:r>
        <w:rPr>
          <w:rtl w:val="true"/>
        </w:rPr>
        <w:t xml:space="preserve">)). </w:t>
      </w:r>
      <w:r>
        <w:rPr>
          <w:rtl w:val="true"/>
        </w:rPr>
        <w:t>בראי</w:t>
      </w:r>
      <w:r>
        <w:rPr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ולנוכח הנזק שנגרם ל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כמתואר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שיעור</w:t>
      </w:r>
      <w:r>
        <w:rPr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 </w:t>
      </w:r>
      <w:r>
        <w:rPr>
          <w:rtl w:val="true"/>
        </w:rPr>
        <w:t>שפסק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במסקנתו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איני יכול לסיים את חוות דעתי מבלי להתייחס להישנותם החוזרת של מקרים מעין המקרה דנן</w:t>
      </w:r>
      <w:r>
        <w:rPr>
          <w:rtl w:val="true"/>
        </w:rPr>
        <w:t xml:space="preserve">.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הִתָּקְלוּ</w:t>
      </w:r>
      <w:r>
        <w:rPr>
          <w:rtl w:val="true"/>
        </w:rPr>
        <w:t>ת בתיקים של עבירות מין שמבוצעות בקטינים בתוך התא המשפחתי</w:t>
      </w:r>
      <w:r>
        <w:rPr>
          <w:rtl w:val="true"/>
        </w:rPr>
        <w:t xml:space="preserve">, </w:t>
      </w:r>
      <w:r>
        <w:rPr>
          <w:rtl w:val="true"/>
        </w:rPr>
        <w:t>הפכה כמעט לעניין שבשגרה עבור היושבים בדין בבית משפט זה ובכלל</w:t>
      </w:r>
      <w:r>
        <w:rPr>
          <w:rtl w:val="true"/>
        </w:rPr>
        <w:t xml:space="preserve">. </w:t>
      </w:r>
      <w:r>
        <w:rPr>
          <w:rtl w:val="true"/>
        </w:rPr>
        <w:t>ראוי היה שתופעה זו לא תבוא לאוויר העולם מלכתחילה</w:t>
      </w:r>
      <w:r>
        <w:rPr>
          <w:rtl w:val="true"/>
        </w:rPr>
        <w:t xml:space="preserve">. </w:t>
      </w:r>
      <w:r>
        <w:rPr>
          <w:rtl w:val="true"/>
        </w:rPr>
        <w:t xml:space="preserve">ביתם של קטינים </w:t>
      </w:r>
      <w:r>
        <w:rPr>
          <w:rtl w:val="true"/>
        </w:rPr>
        <w:t>–</w:t>
      </w:r>
      <w:r>
        <w:rPr>
          <w:rtl w:val="true"/>
        </w:rPr>
        <w:t xml:space="preserve"> אמור להיות מבצרם</w:t>
      </w:r>
      <w:r>
        <w:rPr>
          <w:rtl w:val="true"/>
        </w:rPr>
        <w:t xml:space="preserve">; </w:t>
      </w:r>
      <w:r>
        <w:rPr>
          <w:rtl w:val="true"/>
        </w:rPr>
        <w:t xml:space="preserve">ומשפחתם </w:t>
      </w:r>
      <w:r>
        <w:rPr>
          <w:rtl w:val="true"/>
        </w:rPr>
        <w:t>–</w:t>
      </w:r>
      <w:r>
        <w:rPr>
          <w:rtl w:val="true"/>
        </w:rPr>
        <w:t xml:space="preserve"> אמורה להיות משענתם היציבה ביותר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כל אימת שתופעה זו עודנה שוררת בחברתנו </w:t>
      </w:r>
      <w:r>
        <w:rPr>
          <w:rtl w:val="true"/>
        </w:rPr>
        <w:t>–</w:t>
      </w:r>
      <w:r>
        <w:rPr>
          <w:rtl w:val="true"/>
        </w:rPr>
        <w:t xml:space="preserve"> שומה על בתי המשפט לנקוט ביד קשה ובענישה מרתיעה</w:t>
      </w:r>
      <w:r>
        <w:rPr>
          <w:rtl w:val="true"/>
        </w:rPr>
        <w:t xml:space="preserve">, </w:t>
      </w:r>
      <w:r>
        <w:rPr>
          <w:rtl w:val="true"/>
        </w:rPr>
        <w:t>בתקווה שאלה תסייענה במיגור תופעה בזויה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tl w:val="true"/>
        </w:rPr>
        <w:t xml:space="preserve">: </w:t>
      </w:r>
      <w:r>
        <w:rPr>
          <w:rtl w:val="true"/>
        </w:rPr>
        <w:t xml:space="preserve">דעתי היא כי 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 וכך אציע לחברי וחברתי לעשות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מצטרפת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מנימוקיו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קשה </w:t>
      </w:r>
      <w:r>
        <w:rPr>
          <w:rFonts w:ascii="Century" w:hAnsi="Century" w:cs="Century"/>
          <w:rtl w:val="true"/>
        </w:rPr>
        <w:t>לבטא</w:t>
      </w:r>
      <w:r>
        <w:rPr>
          <w:rFonts w:ascii="Century" w:hAnsi="Century" w:cs="Century"/>
          <w:rtl w:val="true"/>
        </w:rPr>
        <w:t xml:space="preserve"> במילים </w:t>
      </w:r>
      <w:r>
        <w:rPr>
          <w:rFonts w:ascii="Century" w:hAnsi="Century" w:cs="Century"/>
          <w:rtl w:val="true"/>
        </w:rPr>
        <w:t xml:space="preserve">את </w:t>
      </w:r>
      <w:r>
        <w:rPr>
          <w:rFonts w:ascii="Century" w:hAnsi="Century" w:cs="Century"/>
          <w:rtl w:val="true"/>
        </w:rPr>
        <w:t>חומרתן הרבה של העבירות שביצע המערער במתלוננת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ascii="Century" w:hAnsi="Century" w:cs="Century"/>
          <w:rtl w:val="true"/>
        </w:rPr>
        <w:t xml:space="preserve">ניצל באופן ציני </w:t>
      </w:r>
      <w:r>
        <w:rPr>
          <w:rFonts w:ascii="Century" w:hAnsi="Century" w:cs="Century"/>
          <w:rtl w:val="true"/>
        </w:rPr>
        <w:t>את מעמדו</w:t>
      </w:r>
      <w:r>
        <w:rPr>
          <w:rFonts w:ascii="Century" w:hAnsi="Century" w:cs="Century"/>
          <w:rtl w:val="true"/>
        </w:rPr>
        <w:t xml:space="preserve"> כבן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ביצע </w:t>
      </w:r>
      <w:r>
        <w:rPr>
          <w:rFonts w:ascii="Century" w:hAnsi="Century" w:cs="Century"/>
          <w:rtl w:val="true"/>
        </w:rPr>
        <w:t>במתלוננת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שורה של </w:t>
      </w:r>
      <w:r>
        <w:rPr>
          <w:rFonts w:ascii="Century" w:hAnsi="Century" w:cs="Century"/>
          <w:rtl w:val="true"/>
        </w:rPr>
        <w:t xml:space="preserve">מעשים קשים </w:t>
      </w:r>
      <w:r>
        <w:rPr>
          <w:rFonts w:ascii="Century" w:hAnsi="Century" w:cs="Century"/>
          <w:rtl w:val="true"/>
        </w:rPr>
        <w:t>כאמצעי לסיפוק דחפיו המיניים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והכל </w:t>
      </w:r>
      <w:r>
        <w:rPr>
          <w:rFonts w:ascii="Century" w:hAnsi="Century" w:cs="Century"/>
          <w:rtl w:val="true"/>
        </w:rPr>
        <w:t xml:space="preserve">בהיותה קטינה </w:t>
      </w:r>
      <w:r>
        <w:rPr>
          <w:rFonts w:ascii="Century" w:hAnsi="Century" w:cs="Century"/>
          <w:rtl w:val="true"/>
        </w:rPr>
        <w:t>חסרת ישע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צורך להכביר מילים בדבר השלכותיהן ההרסניות של עבירות מין על </w:t>
      </w:r>
      <w:r>
        <w:rPr>
          <w:rFonts w:ascii="Century" w:hAnsi="Century" w:cs="Century"/>
          <w:rtl w:val="true"/>
        </w:rPr>
        <w:t>נפגע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עבירות אלה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חודרות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לתחושה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אובדן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שליטה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בכבוד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ובאוטונומיה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הופכות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ועלולות לגרום למגוון רחב של תופעות נפשיות וגופניות</w:t>
      </w:r>
      <w:r>
        <w:rPr>
          <w:rFonts w:cs="Century" w:ascii="Century" w:hAnsi="Century"/>
          <w:rtl w:val="true"/>
        </w:rPr>
        <w:t>" (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8153/19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20.10.2020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הדברים נכונים ביתר שאת כאשר הנפגעים הם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כאשר העבירות מבוצעות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בני 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חילל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ascii="Century" w:hAnsi="Century" w:cs="Century"/>
          <w:rtl w:val="true"/>
        </w:rPr>
        <w:t>את גופ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ומעשיו הנלוזים הותירו בנפשה צלקות קשות ושבר עמוק המשפיע על מהלך חייה כולו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סבורני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העונש שהטיל בית המשפט המחוזי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וכך גם מתחם העונש שנקבע בעניינו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רחוקים מלשקף את מדיניות הענישה המחמירה הנהוגה בכגון דא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2240/21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8.11.2021</w:t>
      </w:r>
      <w:r>
        <w:rPr>
          <w:rFonts w:cs="Century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העונש שנגזר על המערער </w:t>
      </w:r>
      <w:r>
        <w:rPr>
          <w:rFonts w:ascii="Century" w:hAnsi="Century" w:cs="Century"/>
          <w:rtl w:val="true"/>
        </w:rPr>
        <w:t xml:space="preserve">הינו מקל </w:t>
      </w:r>
      <w:r>
        <w:rPr>
          <w:rFonts w:ascii="Century" w:hAnsi="Century" w:cs="Century"/>
          <w:rtl w:val="true"/>
        </w:rPr>
        <w:t>באופן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לא בקירוב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חומרת מעשיו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בהתחשב בחלוף הזמן ובקשיים בהתנהלות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ברי הוא כי אין לשעות לערעור בדבר חומרת העונש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אין לנו אלא לקוות כי סיום ההליך המשפטי </w:t>
      </w:r>
      <w:r>
        <w:rPr>
          <w:rFonts w:ascii="Century" w:hAnsi="Century" w:cs="Century"/>
          <w:rtl w:val="true"/>
        </w:rPr>
        <w:t>יסייע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בשיכוך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מכאוביה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20.2.2024</w:t>
      </w:r>
      <w:r>
        <w:rPr>
          <w:rtl w:val="true"/>
        </w:rPr>
        <w:t xml:space="preserve">). </w:t>
      </w:r>
      <w:bookmarkEnd w:id="23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ש ו פ ט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23021890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54678313-2189/23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2189/23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ישי אהרוני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>
      <w:rFonts w:ascii="FrankRuehl" w:hAnsi="FrankRueh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15549" TargetMode="External"/><Relationship Id="rId3" Type="http://schemas.openxmlformats.org/officeDocument/2006/relationships/hyperlink" Target="http://www.nevo.co.il/safrut/book/52283" TargetMode="External"/><Relationship Id="rId4" Type="http://schemas.openxmlformats.org/officeDocument/2006/relationships/hyperlink" Target="http://www.nevo.co.il/safrut/book/52283" TargetMode="External"/><Relationship Id="rId5" Type="http://schemas.openxmlformats.org/officeDocument/2006/relationships/hyperlink" Target="http://www.nevo.co.il/safrut/bookgroup/4173" TargetMode="External"/><Relationship Id="rId6" Type="http://schemas.openxmlformats.org/officeDocument/2006/relationships/hyperlink" Target="http://www.nevo.co.il/safrut/bookgroup/4109" TargetMode="External"/><Relationship Id="rId7" Type="http://schemas.openxmlformats.org/officeDocument/2006/relationships/hyperlink" Target="http://www.nevo.co.il/safrut/bookgroup/2344" TargetMode="External"/><Relationship Id="rId8" Type="http://schemas.openxmlformats.org/officeDocument/2006/relationships/hyperlink" Target="http://www.nevo.co.il/safrut/bookgroup/23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5.a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8.a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51.c.1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57a.a" TargetMode="External"/><Relationship Id="rId17" Type="http://schemas.openxmlformats.org/officeDocument/2006/relationships/hyperlink" Target="http://www.nevo.co.il/law/74903/57a.a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57a.a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57a.a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57a.a" TargetMode="External"/><Relationship Id="rId24" Type="http://schemas.openxmlformats.org/officeDocument/2006/relationships/hyperlink" Target="http://www.nevo.co.il/law/74903/57a.a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4903/57a.a" TargetMode="External"/><Relationship Id="rId27" Type="http://schemas.openxmlformats.org/officeDocument/2006/relationships/hyperlink" Target="http://www.nevo.co.il/case/26315549" TargetMode="External"/><Relationship Id="rId28" Type="http://schemas.openxmlformats.org/officeDocument/2006/relationships/hyperlink" Target="http://www.nevo.co.il/law/70301/347.b" TargetMode="External"/><Relationship Id="rId29" Type="http://schemas.openxmlformats.org/officeDocument/2006/relationships/hyperlink" Target="http://www.nevo.co.il/law/70301/351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45.a" TargetMode="External"/><Relationship Id="rId32" Type="http://schemas.openxmlformats.org/officeDocument/2006/relationships/hyperlink" Target="http://www.nevo.co.il/law/70301/351.a" TargetMode="External"/><Relationship Id="rId33" Type="http://schemas.openxmlformats.org/officeDocument/2006/relationships/hyperlink" Target="http://www.nevo.co.il/law/70301/348.a" TargetMode="External"/><Relationship Id="rId34" Type="http://schemas.openxmlformats.org/officeDocument/2006/relationships/hyperlink" Target="http://www.nevo.co.il/law/70301/351.c.1" TargetMode="External"/><Relationship Id="rId35" Type="http://schemas.openxmlformats.org/officeDocument/2006/relationships/hyperlink" Target="http://www.nevo.co.il/law/74903/57a.a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case/27189912" TargetMode="External"/><Relationship Id="rId39" Type="http://schemas.openxmlformats.org/officeDocument/2006/relationships/hyperlink" Target="http://www.nevo.co.il/case/26345413" TargetMode="External"/><Relationship Id="rId40" Type="http://schemas.openxmlformats.org/officeDocument/2006/relationships/hyperlink" Target="http://www.nevo.co.il/safrut/bookgroup/4173" TargetMode="External"/><Relationship Id="rId41" Type="http://schemas.openxmlformats.org/officeDocument/2006/relationships/hyperlink" Target="http://www.nevo.co.il/case/27292084" TargetMode="External"/><Relationship Id="rId42" Type="http://schemas.openxmlformats.org/officeDocument/2006/relationships/hyperlink" Target="http://www.nevo.co.il/case/27210763" TargetMode="External"/><Relationship Id="rId43" Type="http://schemas.openxmlformats.org/officeDocument/2006/relationships/hyperlink" Target="http://www.nevo.co.il/case/25246147" TargetMode="External"/><Relationship Id="rId44" Type="http://schemas.openxmlformats.org/officeDocument/2006/relationships/hyperlink" Target="http://www.nevo.co.il/case/26964729" TargetMode="External"/><Relationship Id="rId45" Type="http://schemas.openxmlformats.org/officeDocument/2006/relationships/hyperlink" Target="http://www.nevo.co.il/case/27476753" TargetMode="External"/><Relationship Id="rId46" Type="http://schemas.openxmlformats.org/officeDocument/2006/relationships/hyperlink" Target="http://www.nevo.co.il/case/27494804" TargetMode="External"/><Relationship Id="rId47" Type="http://schemas.openxmlformats.org/officeDocument/2006/relationships/hyperlink" Target="http://www.nevo.co.il/safrut/bookgroup/2344" TargetMode="External"/><Relationship Id="rId48" Type="http://schemas.openxmlformats.org/officeDocument/2006/relationships/hyperlink" Target="http://www.nevo.co.il/case/22301096" TargetMode="External"/><Relationship Id="rId49" Type="http://schemas.openxmlformats.org/officeDocument/2006/relationships/hyperlink" Target="http://www.nevo.co.il/case/29558792" TargetMode="External"/><Relationship Id="rId50" Type="http://schemas.openxmlformats.org/officeDocument/2006/relationships/hyperlink" Target="http://www.nevo.co.il/case/28396294" TargetMode="External"/><Relationship Id="rId51" Type="http://schemas.openxmlformats.org/officeDocument/2006/relationships/hyperlink" Target="http://www.nevo.co.il/case/6247352" TargetMode="External"/><Relationship Id="rId52" Type="http://schemas.openxmlformats.org/officeDocument/2006/relationships/hyperlink" Target="http://www.nevo.co.il/law/74903/57a.a" TargetMode="External"/><Relationship Id="rId53" Type="http://schemas.openxmlformats.org/officeDocument/2006/relationships/hyperlink" Target="http://www.nevo.co.il/law/74903" TargetMode="External"/><Relationship Id="rId54" Type="http://schemas.openxmlformats.org/officeDocument/2006/relationships/hyperlink" Target="http://www.nevo.co.il/law/74903/57a.a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law/74903/57a.a" TargetMode="External"/><Relationship Id="rId57" Type="http://schemas.openxmlformats.org/officeDocument/2006/relationships/hyperlink" Target="http://www.nevo.co.il/law/74903" TargetMode="External"/><Relationship Id="rId58" Type="http://schemas.openxmlformats.org/officeDocument/2006/relationships/hyperlink" Target="http://www.nevo.co.il/law/74903" TargetMode="External"/><Relationship Id="rId59" Type="http://schemas.openxmlformats.org/officeDocument/2006/relationships/hyperlink" Target="http://www.nevo.co.il/law/74903/57a.a" TargetMode="External"/><Relationship Id="rId60" Type="http://schemas.openxmlformats.org/officeDocument/2006/relationships/hyperlink" Target="http://www.nevo.co.il/case/27343409" TargetMode="External"/><Relationship Id="rId61" Type="http://schemas.openxmlformats.org/officeDocument/2006/relationships/hyperlink" Target="http://www.nevo.co.il/safrut/book/52283" TargetMode="External"/><Relationship Id="rId62" Type="http://schemas.openxmlformats.org/officeDocument/2006/relationships/hyperlink" Target="http://www.nevo.co.il/law/74903/57a.a" TargetMode="External"/><Relationship Id="rId63" Type="http://schemas.openxmlformats.org/officeDocument/2006/relationships/hyperlink" Target="http://www.nevo.co.il/law/74903" TargetMode="External"/><Relationship Id="rId64" Type="http://schemas.openxmlformats.org/officeDocument/2006/relationships/hyperlink" Target="http://www.nevo.co.il/law/74903/57a.a" TargetMode="External"/><Relationship Id="rId65" Type="http://schemas.openxmlformats.org/officeDocument/2006/relationships/hyperlink" Target="http://www.nevo.co.il/case/6241096" TargetMode="External"/><Relationship Id="rId66" Type="http://schemas.openxmlformats.org/officeDocument/2006/relationships/hyperlink" Target="http://www.nevo.co.il/safrut/bookgroup/4109" TargetMode="External"/><Relationship Id="rId67" Type="http://schemas.openxmlformats.org/officeDocument/2006/relationships/hyperlink" Target="http://www.nevo.co.il/case/28429417" TargetMode="External"/><Relationship Id="rId68" Type="http://schemas.openxmlformats.org/officeDocument/2006/relationships/hyperlink" Target="http://www.nevo.co.il/case/29761700" TargetMode="External"/><Relationship Id="rId69" Type="http://schemas.openxmlformats.org/officeDocument/2006/relationships/hyperlink" Target="http://www.nevo.co.il/case/29324758" TargetMode="External"/><Relationship Id="rId70" Type="http://schemas.openxmlformats.org/officeDocument/2006/relationships/hyperlink" Target="http://www.nevo.co.il/case/27555133" TargetMode="External"/><Relationship Id="rId71" Type="http://schemas.openxmlformats.org/officeDocument/2006/relationships/hyperlink" Target="http://www.nevo.co.il/case/26256014" TargetMode="External"/><Relationship Id="rId72" Type="http://schemas.openxmlformats.org/officeDocument/2006/relationships/hyperlink" Target="http://www.nevo.co.il/case/27513365" TargetMode="External"/><Relationship Id="rId73" Type="http://schemas.openxmlformats.org/officeDocument/2006/relationships/hyperlink" Target="https://supreme.court.gov.il/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2024-02-21T09:52:00Z</dcterms:created>
  <dc:creator>h4</dc:creator>
  <dc:description/>
  <cp:keywords/>
  <dc:language>en-IL</dc:language>
  <cp:lastModifiedBy>orly</cp:lastModifiedBy>
  <cp:lastPrinted>2024-02-20T08:15:00Z</cp:lastPrinted>
  <dcterms:modified xsi:type="dcterms:W3CDTF">2024-02-21T09:52:00Z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ישי אהרוני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4173;4109;2344</vt:lpwstr>
  </property>
  <property fmtid="{D5CDD505-2E9C-101B-9397-08002B2CF9AE}" pid="9" name="BOOKLISTTMP1">
    <vt:lpwstr>52283</vt:lpwstr>
  </property>
  <property fmtid="{D5CDD505-2E9C-101B-9397-08002B2CF9AE}" pid="10" name="CASESLISTTMP1">
    <vt:lpwstr>26315549:2;27189912;26345413;27292084;27210763;25246147;26964729;27476753;27494804;22301096;29558792;28396294;6247352;27343409;6241096;28429417;29761700;29324758;27555133;26256014;27513365</vt:lpwstr>
  </property>
  <property fmtid="{D5CDD505-2E9C-101B-9397-08002B2CF9AE}" pid="11" name="CITY">
    <vt:lpwstr/>
  </property>
  <property fmtid="{D5CDD505-2E9C-101B-9397-08002B2CF9AE}" pid="12" name="DATE">
    <vt:lpwstr>20240220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סולברג;י' אלרון;י' וילנר</vt:lpwstr>
  </property>
  <property fmtid="{D5CDD505-2E9C-101B-9397-08002B2CF9AE}" pid="16" name="LAWLISTTMP1">
    <vt:lpwstr>70301/347.b;351.a:2;345.a;348.a;351.c.1</vt:lpwstr>
  </property>
  <property fmtid="{D5CDD505-2E9C-101B-9397-08002B2CF9AE}" pid="17" name="LAWLISTTMP2">
    <vt:lpwstr>74903/057a.a:7</vt:lpwstr>
  </property>
  <property fmtid="{D5CDD505-2E9C-101B-9397-08002B2CF9AE}" pid="18" name="LAWYER">
    <vt:lpwstr>עינת גדעוני;הדר עזרא וייזל;מוטי אדטו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ראיות</vt:lpwstr>
  </property>
  <property fmtid="{D5CDD505-2E9C-101B-9397-08002B2CF9AE}" pid="33" name="NOSE14">
    <vt:lpwstr>ראיות</vt:lpwstr>
  </property>
  <property fmtid="{D5CDD505-2E9C-101B-9397-08002B2CF9AE}" pid="34" name="NOSE15">
    <vt:lpwstr>דיון פלילי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>עונשין</vt:lpwstr>
  </property>
  <property fmtid="{D5CDD505-2E9C-101B-9397-08002B2CF9AE}" pid="38" name="NOSE19">
    <vt:lpwstr/>
  </property>
  <property fmtid="{D5CDD505-2E9C-101B-9397-08002B2CF9AE}" pid="39" name="NOSE1ID">
    <vt:lpwstr>77;77;89;89;18;77;77;77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עדות</vt:lpwstr>
  </property>
  <property fmtid="{D5CDD505-2E9C-101B-9397-08002B2CF9AE}" pid="44" name="NOSE24">
    <vt:lpwstr>מהימנות</vt:lpwstr>
  </property>
  <property fmtid="{D5CDD505-2E9C-101B-9397-08002B2CF9AE}" pid="45" name="NOSE25">
    <vt:lpwstr>כתב-אישום</vt:lpwstr>
  </property>
  <property fmtid="{D5CDD505-2E9C-101B-9397-08002B2CF9AE}" pid="46" name="NOSE26">
    <vt:lpwstr>ענישה</vt:lpwstr>
  </property>
  <property fmtid="{D5CDD505-2E9C-101B-9397-08002B2CF9AE}" pid="47" name="NOSE27">
    <vt:lpwstr>עבירות</vt:lpwstr>
  </property>
  <property fmtid="{D5CDD505-2E9C-101B-9397-08002B2CF9AE}" pid="48" name="NOSE28">
    <vt:lpwstr>ענישה</vt:lpwstr>
  </property>
  <property fmtid="{D5CDD505-2E9C-101B-9397-08002B2CF9AE}" pid="49" name="NOSE29">
    <vt:lpwstr/>
  </property>
  <property fmtid="{D5CDD505-2E9C-101B-9397-08002B2CF9AE}" pid="50" name="NOSE2ID">
    <vt:lpwstr>1443;1443;1654;1635;482;1446;1443;1446</vt:lpwstr>
  </property>
  <property fmtid="{D5CDD505-2E9C-101B-9397-08002B2CF9AE}" pid="51" name="NOSE31">
    <vt:lpwstr>עבירות מין במשפחה</vt:lpwstr>
  </property>
  <property fmtid="{D5CDD505-2E9C-101B-9397-08002B2CF9AE}" pid="52" name="NOSE310">
    <vt:lpwstr/>
  </property>
  <property fmtid="{D5CDD505-2E9C-101B-9397-08002B2CF9AE}" pid="53" name="NOSE32">
    <vt:lpwstr>עבירות מין בקטין</vt:lpwstr>
  </property>
  <property fmtid="{D5CDD505-2E9C-101B-9397-08002B2CF9AE}" pid="54" name="NOSE33">
    <vt:lpwstr>קורבן עבירת מין</vt:lpwstr>
  </property>
  <property fmtid="{D5CDD505-2E9C-101B-9397-08002B2CF9AE}" pid="55" name="NOSE34">
    <vt:lpwstr>בחינתה על-ידי ערכאת הערעור</vt:lpwstr>
  </property>
  <property fmtid="{D5CDD505-2E9C-101B-9397-08002B2CF9AE}" pid="56" name="NOSE35">
    <vt:lpwstr>שיהוי</vt:lpwstr>
  </property>
  <property fmtid="{D5CDD505-2E9C-101B-9397-08002B2CF9AE}" pid="57" name="NOSE36">
    <vt:lpwstr>מדיניות ענישה: עבירות מין בקטינים</vt:lpwstr>
  </property>
  <property fmtid="{D5CDD505-2E9C-101B-9397-08002B2CF9AE}" pid="58" name="NOSE37">
    <vt:lpwstr>מדיניות ענישה: עבירות מין במשפחה</vt:lpwstr>
  </property>
  <property fmtid="{D5CDD505-2E9C-101B-9397-08002B2CF9AE}" pid="59" name="NOSE38">
    <vt:lpwstr>מדיניות ענישה: שיקולים לחומרה</vt:lpwstr>
  </property>
  <property fmtid="{D5CDD505-2E9C-101B-9397-08002B2CF9AE}" pid="60" name="NOSE39">
    <vt:lpwstr/>
  </property>
  <property fmtid="{D5CDD505-2E9C-101B-9397-08002B2CF9AE}" pid="61" name="NOSE3ID">
    <vt:lpwstr>12407;16634;12270;10196;18176;16970;16240;8995</vt:lpwstr>
  </property>
  <property fmtid="{D5CDD505-2E9C-101B-9397-08002B2CF9AE}" pid="62" name="PADIDATE">
    <vt:lpwstr>20240221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2189</vt:lpwstr>
  </property>
  <property fmtid="{D5CDD505-2E9C-101B-9397-08002B2CF9AE}" pid="68" name="PROCYEAR">
    <vt:lpwstr>23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410120240220</vt:lpwstr>
  </property>
  <property fmtid="{D5CDD505-2E9C-101B-9397-08002B2CF9AE}" pid="72" name="TYPE_N_DATE">
    <vt:lpwstr>41020240220</vt:lpwstr>
  </property>
  <property fmtid="{D5CDD505-2E9C-101B-9397-08002B2CF9AE}" pid="73" name="VOLUME">
    <vt:lpwstr/>
  </property>
  <property fmtid="{D5CDD505-2E9C-101B-9397-08002B2CF9AE}" pid="74" name="WORDNUMPAGES">
    <vt:lpwstr>21</vt:lpwstr>
  </property>
</Properties>
</file>