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8"/>
        <w:gridCol w:w="3125"/>
        <w:gridCol w:w="4386"/>
        <w:gridCol w:w="633"/>
        <w:gridCol w:w="138"/>
      </w:tblGrid>
      <w:tr>
        <w:trPr/>
        <w:tc>
          <w:tcPr>
            <w:tcW w:w="7649" w:type="dxa"/>
            <w:gridSpan w:val="3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</w:p>
        </w:tc>
        <w:tc>
          <w:tcPr>
            <w:tcW w:w="771" w:type="dxa"/>
            <w:gridSpan w:val="2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38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82" w:type="dxa"/>
            <w:gridSpan w:val="4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1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2202/17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  <w:tr>
        <w:trPr>
          <w:trHeight w:val="287" w:hRule="atLeast"/>
        </w:trPr>
        <w:tc>
          <w:tcPr>
            <w:tcW w:w="3263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019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  <w:tc>
          <w:tcPr>
            <w:tcW w:w="138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חסארמה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עפ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4972-03-17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7.3.2017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טובי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Ruller31"/>
        <w:ind w:end="0"/>
        <w:jc w:val="start"/>
        <w:rPr/>
      </w:pPr>
      <w:r>
        <w:rPr>
          <w:rFonts w:cs="David"/>
          <w:sz w:val="24"/>
          <w:sz w:val="24"/>
          <w:szCs w:val="24"/>
          <w:rtl w:val="true"/>
        </w:rPr>
        <w:t>תאריך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הישיבה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sz w:val="24"/>
          <w:szCs w:val="24"/>
          <w:rtl w:val="true"/>
        </w:rPr>
        <w:t xml:space="preserve">                     </w:t>
      </w:r>
      <w:r>
        <w:rPr>
          <w:rFonts w:cs="David"/>
          <w:sz w:val="24"/>
          <w:sz w:val="24"/>
          <w:szCs w:val="24"/>
          <w:rtl w:val="true"/>
        </w:rPr>
        <w:t>כ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התשע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21.03.2017</w:t>
      </w:r>
      <w:r>
        <w:rPr>
          <w:rFonts w:cs="David"/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ראפת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אסדי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רוט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  <w:bookmarkStart w:id="4" w:name="LawTable"/>
      <w:bookmarkStart w:id="5" w:name="LawTable"/>
      <w:bookmarkEnd w:id="5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1961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לא מרובדות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]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62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67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1970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ind w:end="0"/>
        <w:jc w:val="center"/>
        <w:rPr>
          <w:rFonts w:ascii="FrankRuehl" w:hAnsi="FrankRuehl" w:cs="David"/>
          <w:b/>
          <w:bCs/>
          <w:spacing w:val="0"/>
          <w:sz w:val="28"/>
          <w:szCs w:val="28"/>
          <w:u w:val="none"/>
        </w:rPr>
      </w:pPr>
      <w:r>
        <w:rPr>
          <w:rFonts w:cs="David" w:ascii="FrankRuehl" w:hAnsi="FrankRuehl"/>
          <w:b/>
          <w:bCs/>
          <w:spacing w:val="0"/>
          <w:sz w:val="28"/>
          <w:szCs w:val="28"/>
          <w:u w:val="none"/>
          <w:rtl w:val="true"/>
        </w:rPr>
      </w:r>
      <w:bookmarkStart w:id="6" w:name="LawTable_End"/>
      <w:bookmarkStart w:id="7" w:name="LawTable_End"/>
      <w:bookmarkEnd w:id="7"/>
    </w:p>
    <w:p>
      <w:pPr>
        <w:pStyle w:val="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Style w:val="Strong"/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Style w:val="Strong"/>
          <w:rFonts w:ascii="Times New Roman" w:hAnsi="Times New Roman" w:cs="Times New Roman"/>
          <w:spacing w:val="0"/>
          <w:sz w:val="24"/>
          <w:szCs w:val="26"/>
        </w:rPr>
      </w:pP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מיוחדים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Style w:val="Strong"/>
          <w:rFonts w:ascii="Times New Roman" w:hAnsi="Times New Roman" w:cs="Times New Roman"/>
          <w:spacing w:val="0"/>
          <w:sz w:val="24"/>
          <w:szCs w:val="26"/>
        </w:rPr>
      </w:pP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–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עיכוב ביצוע</w:t>
      </w:r>
    </w:p>
    <w:p>
      <w:pPr>
        <w:pStyle w:val="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Style w:val="Strong"/>
          <w:rFonts w:ascii="Times New Roman" w:hAnsi="Times New Roman" w:cs="Times New Roman"/>
          <w:spacing w:val="0"/>
          <w:sz w:val="24"/>
          <w:szCs w:val="26"/>
        </w:rPr>
      </w:pP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החלטתו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בגדרה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בקשתו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לעיכוב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הושת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השלום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לתעבורה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Style w:val="Strong"/>
          <w:rFonts w:ascii="Times New Roman" w:hAnsi="Times New Roman" w:cs="Times New Roman"/>
          <w:spacing w:val="0"/>
          <w:sz w:val="24"/>
          <w:szCs w:val="26"/>
        </w:rPr>
      </w:pP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בקבעו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מושרשת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הושת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יבוצע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מיד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שנקבע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בהגשת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להצדיק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עיכוב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לביהמ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מסוּר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דעת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להורות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מיוחדות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עיכוב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השיקולים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הצריכים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לעניין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ליתן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דעתו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וסיכוייו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להתקבל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מיוחדים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Style w:val="Strong"/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נראה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סיכויי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ההצלחה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גבוהים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נתפס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נוהג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פסילה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הגדיל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השוטרים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סיכון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לעוברי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אורח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מרחף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לראשו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הרלבנטיות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נעלמו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מעיני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לתעבורה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הביאו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החל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בריצוי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בעניינו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טעמים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מיוחדים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המצדיקים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קטיעת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מאסרו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Strong"/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Style w:val="Strong"/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יצוין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תקופת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הקצרה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יחסי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FrankRuehl" w:ascii="Times New Roman" w:hAnsi="Times New Roman"/>
          <w:spacing w:val="0"/>
          <w:sz w:val="24"/>
          <w:szCs w:val="26"/>
        </w:rPr>
        <w:t>7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תכלית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תסוכל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יעוכב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5.4.2017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יובהר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בכוונתו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לבקש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בערעור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הפסקת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DocumentHead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David"/>
          <w:b/>
          <w:bCs/>
          <w:sz w:val="28"/>
          <w:szCs w:val="28"/>
          <w:u w:val="none"/>
        </w:rPr>
      </w:pP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אין</w:t>
      </w:r>
      <w:r>
        <w:rPr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מקום</w:t>
      </w:r>
      <w:r>
        <w:rPr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להגשת</w:t>
      </w:r>
      <w:r>
        <w:rPr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בקשות</w:t>
      </w:r>
      <w:r>
        <w:rPr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spacing w:val="0"/>
          <w:sz w:val="24"/>
          <w:szCs w:val="26"/>
          <w:u w:val="none"/>
          <w:rtl w:val="true"/>
        </w:rPr>
        <w:t>'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בדקה</w:t>
      </w:r>
      <w:r>
        <w:rPr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התשעים</w:t>
      </w:r>
      <w:r>
        <w:rPr>
          <w:rFonts w:cs="FrankRuehl"/>
          <w:spacing w:val="0"/>
          <w:sz w:val="24"/>
          <w:szCs w:val="26"/>
          <w:u w:val="none"/>
          <w:rtl w:val="true"/>
        </w:rPr>
        <w:t xml:space="preserve">', 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מתוך</w:t>
      </w:r>
      <w:r>
        <w:rPr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תקווה</w:t>
      </w:r>
      <w:r>
        <w:rPr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כי</w:t>
      </w:r>
      <w:r>
        <w:rPr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קוצר</w:t>
      </w:r>
      <w:r>
        <w:rPr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הזמן</w:t>
      </w:r>
      <w:r>
        <w:rPr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די</w:t>
      </w:r>
      <w:r>
        <w:rPr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יהיה</w:t>
      </w:r>
      <w:r>
        <w:rPr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בו</w:t>
      </w:r>
      <w:r>
        <w:rPr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כדי</w:t>
      </w:r>
      <w:r>
        <w:rPr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להביא</w:t>
      </w:r>
      <w:r>
        <w:rPr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לעיכוב</w:t>
      </w:r>
      <w:r>
        <w:rPr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ביצוע</w:t>
      </w:r>
      <w:r>
        <w:rPr>
          <w:spacing w:val="0"/>
          <w:sz w:val="24"/>
          <w:sz w:val="24"/>
          <w:szCs w:val="26"/>
          <w:u w:val="none"/>
          <w:rtl w:val="true"/>
        </w:rPr>
        <w:t xml:space="preserve"> </w:t>
      </w:r>
      <w:r>
        <w:rPr>
          <w:rFonts w:cs="FrankRuehl"/>
          <w:spacing w:val="0"/>
          <w:sz w:val="24"/>
          <w:sz w:val="24"/>
          <w:szCs w:val="26"/>
          <w:u w:val="none"/>
          <w:rtl w:val="true"/>
        </w:rPr>
        <w:t>העונש</w:t>
      </w:r>
      <w:r>
        <w:rPr>
          <w:rFonts w:cs="FrankRuehl"/>
          <w:spacing w:val="0"/>
          <w:sz w:val="24"/>
          <w:szCs w:val="26"/>
          <w:u w:val="none"/>
          <w:rtl w:val="true"/>
        </w:rPr>
        <w:t>.</w:t>
      </w:r>
      <w:bookmarkStart w:id="9" w:name="ABSTRACT_END"/>
      <w:bookmarkEnd w:id="9"/>
    </w:p>
    <w:p>
      <w:pPr>
        <w:pStyle w:val="DocumentHead"/>
        <w:ind w:end="0"/>
        <w:jc w:val="start"/>
        <w:rPr>
          <w:rFonts w:cs="David"/>
          <w:b/>
          <w:bCs/>
          <w:sz w:val="28"/>
          <w:szCs w:val="28"/>
          <w:u w:val="none"/>
        </w:rPr>
      </w:pPr>
      <w:r>
        <w:rPr>
          <w:rFonts w:cs="David"/>
          <w:b/>
          <w:bCs/>
          <w:sz w:val="28"/>
          <w:szCs w:val="28"/>
          <w:u w:val="none"/>
          <w:rtl w:val="true"/>
        </w:rPr>
      </w:r>
    </w:p>
    <w:p>
      <w:pPr>
        <w:pStyle w:val="DocumentHead"/>
        <w:ind w:end="0"/>
        <w:jc w:val="start"/>
        <w:rPr>
          <w:rFonts w:cs="David"/>
          <w:b/>
          <w:bCs/>
          <w:sz w:val="28"/>
          <w:szCs w:val="28"/>
          <w:u w:val="none"/>
        </w:rPr>
      </w:pPr>
      <w:r>
        <w:rPr>
          <w:rFonts w:cs="David"/>
          <w:b/>
          <w:bCs/>
          <w:sz w:val="28"/>
          <w:szCs w:val="28"/>
          <w:u w:val="none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secretary"/>
            <w:bookmarkStart w:id="12" w:name="BeginProtocol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החלטה</w:t>
            </w:r>
            <w:bookmarkEnd w:id="10"/>
            <w:r>
              <w:rPr>
                <w:u w:val="none"/>
                <w:rtl w:val="true"/>
              </w:rPr>
              <w:t xml:space="preserve"> </w:t>
            </w:r>
          </w:p>
        </w:tc>
      </w:tr>
    </w:tbl>
    <w:p>
      <w:pPr>
        <w:pStyle w:val="1"/>
        <w:ind w:end="0"/>
        <w:jc w:val="both"/>
        <w:rPr>
          <w:rStyle w:val="Style14"/>
          <w:sz w:val="28"/>
          <w:szCs w:val="28"/>
        </w:rPr>
      </w:pPr>
      <w:r>
        <w:rPr>
          <w:rtl w:val="true"/>
        </w:rPr>
      </w:r>
    </w:p>
    <w:p>
      <w:pPr>
        <w:pStyle w:val="1"/>
        <w:ind w:end="0"/>
        <w:jc w:val="both"/>
        <w:rPr/>
      </w:pPr>
      <w:r>
        <w:rPr>
          <w:rStyle w:val="Style14"/>
          <w:sz w:val="28"/>
          <w:szCs w:val="28"/>
        </w:rPr>
        <w:t>1</w:t>
      </w:r>
      <w:r>
        <w:rPr>
          <w:rStyle w:val="Style14"/>
          <w:sz w:val="28"/>
          <w:szCs w:val="28"/>
          <w:rtl w:val="true"/>
        </w:rPr>
        <w:t>.</w:t>
      </w:r>
      <w:r>
        <w:rPr>
          <w:rStyle w:val="Style14"/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Style w:val="Style14"/>
          <w:sz w:val="28"/>
          <w:sz w:val="28"/>
          <w:szCs w:val="28"/>
          <w:rtl w:val="true"/>
        </w:rPr>
        <w:t xml:space="preserve">לפניי ערעור על החלטתו של בית המשפט המחוזי בחיפה </w:t>
      </w:r>
      <w:r>
        <w:rPr>
          <w:rStyle w:val="Style14"/>
          <w:sz w:val="28"/>
          <w:szCs w:val="28"/>
          <w:rtl w:val="true"/>
        </w:rPr>
        <w:t>(</w:t>
      </w:r>
      <w:r>
        <w:rPr>
          <w:rStyle w:val="Style14"/>
          <w:sz w:val="28"/>
          <w:sz w:val="28"/>
          <w:szCs w:val="28"/>
          <w:rtl w:val="true"/>
        </w:rPr>
        <w:t>כב</w:t>
      </w:r>
      <w:r>
        <w:rPr>
          <w:rStyle w:val="Style14"/>
          <w:sz w:val="28"/>
          <w:szCs w:val="28"/>
          <w:rtl w:val="true"/>
        </w:rPr>
        <w:t xml:space="preserve">' </w:t>
      </w:r>
      <w:r>
        <w:rPr>
          <w:rStyle w:val="Style14"/>
          <w:sz w:val="28"/>
          <w:sz w:val="28"/>
          <w:szCs w:val="28"/>
          <w:rtl w:val="true"/>
        </w:rPr>
        <w:t xml:space="preserve">השופט </w:t>
      </w:r>
      <w:r>
        <w:rPr>
          <w:rStyle w:val="Style14"/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Style w:val="Style14"/>
          <w:rFonts w:cs="Miriam"/>
          <w:spacing w:val="0"/>
          <w:sz w:val="24"/>
          <w:szCs w:val="24"/>
          <w:rtl w:val="true"/>
        </w:rPr>
        <w:t xml:space="preserve">' </w:t>
      </w:r>
      <w:r>
        <w:rPr>
          <w:rStyle w:val="Style14"/>
          <w:rFonts w:cs="Miriam"/>
          <w:spacing w:val="0"/>
          <w:sz w:val="24"/>
          <w:sz w:val="24"/>
          <w:szCs w:val="24"/>
          <w:rtl w:val="true"/>
        </w:rPr>
        <w:t>טובי</w:t>
      </w:r>
      <w:r>
        <w:rPr>
          <w:rStyle w:val="Style14"/>
          <w:sz w:val="28"/>
          <w:szCs w:val="28"/>
          <w:rtl w:val="true"/>
        </w:rPr>
        <w:t xml:space="preserve">), </w:t>
      </w:r>
      <w:r>
        <w:rPr>
          <w:rStyle w:val="Style14"/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Cs w:val="28"/>
            <w:u w:val="single"/>
          </w:rPr>
          <w:t>4972-03-17</w:t>
        </w:r>
      </w:hyperlink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rFonts w:cs="David" w:ascii="Times New Roman" w:hAnsi="Times New Roman"/>
          <w:spacing w:val="0"/>
          <w:szCs w:val="24"/>
          <w:rtl w:val="true"/>
        </w:rPr>
        <w:t>[</w:t>
      </w:r>
      <w:r>
        <w:rPr>
          <w:rStyle w:val="Style14"/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Style w:val="Style14"/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Style w:val="Style14"/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Style w:val="Style14"/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Style w:val="Style14"/>
          <w:sz w:val="28"/>
          <w:sz w:val="28"/>
          <w:szCs w:val="28"/>
          <w:rtl w:val="true"/>
        </w:rPr>
        <w:t xml:space="preserve">מיום </w:t>
      </w:r>
      <w:r>
        <w:rPr>
          <w:rStyle w:val="Style14"/>
          <w:sz w:val="28"/>
          <w:szCs w:val="28"/>
        </w:rPr>
        <w:t>7.3.2017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>בגדרה נדחתה בקשתו של המערער לעיכוב ביצוע עונש מאסר בפועל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 xml:space="preserve">אשר הושת עליו במסגרת גזר דינו של בית משפט השלום לתעבורה בעכו </w:t>
      </w:r>
      <w:r>
        <w:rPr>
          <w:rStyle w:val="Style14"/>
          <w:sz w:val="28"/>
          <w:szCs w:val="28"/>
          <w:rtl w:val="true"/>
        </w:rPr>
        <w:t>(</w:t>
      </w:r>
      <w:r>
        <w:rPr>
          <w:rStyle w:val="Style14"/>
          <w:sz w:val="28"/>
          <w:sz w:val="28"/>
          <w:szCs w:val="28"/>
          <w:rtl w:val="true"/>
        </w:rPr>
        <w:t>כב</w:t>
      </w:r>
      <w:r>
        <w:rPr>
          <w:rStyle w:val="Style14"/>
          <w:sz w:val="28"/>
          <w:szCs w:val="28"/>
          <w:rtl w:val="true"/>
        </w:rPr>
        <w:t xml:space="preserve">' </w:t>
      </w:r>
      <w:r>
        <w:rPr>
          <w:rStyle w:val="Style14"/>
          <w:sz w:val="28"/>
          <w:sz w:val="28"/>
          <w:szCs w:val="28"/>
          <w:rtl w:val="true"/>
        </w:rPr>
        <w:t xml:space="preserve">השופט </w:t>
      </w:r>
      <w:r>
        <w:rPr>
          <w:rStyle w:val="Style14"/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Style w:val="Style14"/>
          <w:rFonts w:cs="Miriam"/>
          <w:spacing w:val="0"/>
          <w:sz w:val="24"/>
          <w:szCs w:val="24"/>
          <w:rtl w:val="true"/>
        </w:rPr>
        <w:t xml:space="preserve">' </w:t>
      </w:r>
      <w:r>
        <w:rPr>
          <w:rStyle w:val="Style14"/>
          <w:rFonts w:cs="Miriam"/>
          <w:spacing w:val="0"/>
          <w:sz w:val="24"/>
          <w:sz w:val="24"/>
          <w:szCs w:val="24"/>
          <w:rtl w:val="true"/>
        </w:rPr>
        <w:t>קאופמן</w:t>
      </w:r>
      <w:r>
        <w:rPr>
          <w:rStyle w:val="Style14"/>
          <w:sz w:val="28"/>
          <w:szCs w:val="28"/>
          <w:rtl w:val="true"/>
        </w:rPr>
        <w:t xml:space="preserve">), </w:t>
      </w:r>
      <w:r>
        <w:rPr>
          <w:rStyle w:val="Style14"/>
          <w:sz w:val="28"/>
          <w:sz w:val="28"/>
          <w:szCs w:val="28"/>
          <w:rtl w:val="true"/>
        </w:rPr>
        <w:t>ב</w:t>
      </w:r>
      <w:hyperlink r:id="rId11"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>ל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b w:val="false"/>
            <w:b w:val="false"/>
            <w:bCs w:val="false"/>
            <w:color w:val="0000FF"/>
            <w:sz w:val="28"/>
            <w:szCs w:val="28"/>
            <w:u w:val="single"/>
          </w:rPr>
          <w:t>5530-12-13</w:t>
        </w:r>
      </w:hyperlink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rFonts w:cs="David" w:ascii="Times New Roman" w:hAnsi="Times New Roman"/>
          <w:spacing w:val="0"/>
          <w:szCs w:val="24"/>
          <w:rtl w:val="true"/>
        </w:rPr>
        <w:t>[</w:t>
      </w:r>
      <w:r>
        <w:rPr>
          <w:rStyle w:val="Style14"/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Style w:val="Style14"/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Style w:val="Style14"/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Style w:val="Style14"/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Style w:val="Style14"/>
          <w:sz w:val="28"/>
          <w:sz w:val="28"/>
          <w:szCs w:val="28"/>
          <w:rtl w:val="true"/>
        </w:rPr>
        <w:t xml:space="preserve">מיום </w:t>
      </w:r>
      <w:r>
        <w:rPr>
          <w:rStyle w:val="Style14"/>
          <w:sz w:val="28"/>
          <w:szCs w:val="28"/>
        </w:rPr>
        <w:t>18.1.2017</w:t>
      </w:r>
      <w:r>
        <w:rPr>
          <w:rStyle w:val="Style14"/>
          <w:sz w:val="28"/>
          <w:szCs w:val="28"/>
          <w:rtl w:val="true"/>
        </w:rPr>
        <w:t xml:space="preserve">. </w:t>
      </w:r>
    </w:p>
    <w:p>
      <w:pPr>
        <w:pStyle w:val="1"/>
        <w:ind w:end="0"/>
        <w:jc w:val="both"/>
        <w:rPr/>
      </w:pPr>
      <w:r>
        <w:rPr>
          <w:rStyle w:val="Style14"/>
          <w:rFonts w:eastAsia="Century"/>
          <w:sz w:val="28"/>
          <w:szCs w:val="28"/>
          <w:rtl w:val="true"/>
        </w:rPr>
        <w:t xml:space="preserve"> </w:t>
      </w:r>
    </w:p>
    <w:p>
      <w:pPr>
        <w:pStyle w:val="ruller400"/>
        <w:ind w:end="0"/>
        <w:jc w:val="both"/>
        <w:rPr/>
      </w:pPr>
      <w:r>
        <w:rPr>
          <w:rStyle w:val="Emphasis"/>
          <w:rtl w:val="true"/>
        </w:rPr>
        <w:t>רקע והליכים קודמים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1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בעכו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לתעבורה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לתקנה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23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תקנות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התעבורה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1961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בקלות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התעבורה</w:t>
        </w:r>
      </w:hyperlink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>]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פקודת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התעבורה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Century"/>
          <w:sz w:val="28"/>
          <w:sz w:val="28"/>
          <w:szCs w:val="28"/>
          <w:rtl w:val="true"/>
        </w:rPr>
        <w:t xml:space="preserve"> 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התעבורה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ונהיגה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ביטוח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רכב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מנועי</w:t>
        </w:r>
      </w:hyperlink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1970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1"/>
        <w:ind w:end="0"/>
        <w:jc w:val="both"/>
        <w:rPr/>
      </w:pPr>
      <w:r>
        <w:rPr>
          <w:rFonts w:eastAsia="Century"/>
          <w:rtl w:val="true"/>
        </w:rPr>
        <w:t xml:space="preserve"> </w:t>
      </w:r>
    </w:p>
    <w:p>
      <w:pPr>
        <w:pStyle w:val="1"/>
        <w:ind w:end="0"/>
        <w:jc w:val="both"/>
        <w:rPr/>
      </w:pPr>
      <w:r>
        <w:rPr>
          <w:rFonts w:eastAsia="Century" w:cs="Century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24.10.2011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רנו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ונמלט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בקלות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וסיכון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מלהחזיק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בצפת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6451-02-10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28.4.2010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שתוקף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רישיונו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ספטמבר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2004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ברשותו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1"/>
        <w:ind w:end="0"/>
        <w:jc w:val="both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1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Fonts w:cs="FrankRuehl"/>
          <w:sz w:val="28"/>
          <w:sz w:val="28"/>
          <w:szCs w:val="28"/>
          <w:rtl w:val="true"/>
        </w:rPr>
        <w:t>בתחילה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12.6.2015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התייצבו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סניגור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בהיעדרו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1"/>
        <w:ind w:end="0"/>
        <w:jc w:val="both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1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שנשמעו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23.5.2014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דבק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בעמדתו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הקורבנית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סנגורו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לקצין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אי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שליטה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בשפה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העברית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נעתר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סנגורו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והפנה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23.8.2016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קיבל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אחריות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מלאה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והסביר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מהשוטרים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שפחד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מהשלכות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להידרדרות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ורגשית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ובחיי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לאחר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התלבטות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במהלכו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ישתלב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בטיפול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יושת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1"/>
        <w:ind w:end="0"/>
        <w:jc w:val="both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1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מהפעלת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6451-02-10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הנהיגה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הוגדרה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סטירת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לחי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לשלטון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2221/11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24.3.2011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הזכיר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הנהיגה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בקלות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יהיה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תקופה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שניתן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לרצותה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בעבודות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ועד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לעשרה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חודשי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msolistparagraph"/>
        <w:rPr/>
      </w:pPr>
      <w:r>
        <w:rPr/>
        <w:t xml:space="preserve"> </w:t>
      </w:r>
    </w:p>
    <w:p>
      <w:pPr>
        <w:pStyle w:val="1"/>
        <w:ind w:end="0"/>
        <w:jc w:val="both"/>
        <w:rPr/>
      </w:pPr>
      <w:r>
        <w:rPr>
          <w:rFonts w:eastAsia="Century" w:cs="Century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לשיקולים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נזקפו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עצמו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הוגש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באיחור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משמעותי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אשר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דומה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לפחות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חלקו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מוצדק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לחרוג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מהכלל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ולקבוע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המותנה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יופעל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בחופף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לעונש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בתיק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ולא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במצטבר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הזכיר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ובעבירות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ונהיגה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1"/>
        <w:ind w:end="0"/>
        <w:jc w:val="both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1"/>
        <w:ind w:end="0"/>
        <w:jc w:val="both"/>
        <w:rPr/>
      </w:pPr>
      <w:r>
        <w:rPr>
          <w:rFonts w:eastAsia="Century" w:cs="Century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18.1.2017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28.42010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6451-02-10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שאינה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מסוג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ברירת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משפט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וחתימה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התחייבות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ימנע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1"/>
        <w:ind w:end="0"/>
        <w:jc w:val="both"/>
        <w:rPr/>
      </w:pPr>
      <w:r>
        <w:rPr>
          <w:rFonts w:eastAsia="Century"/>
          <w:rtl w:val="true"/>
        </w:rPr>
        <w:t xml:space="preserve"> </w:t>
      </w:r>
    </w:p>
    <w:p>
      <w:pPr>
        <w:pStyle w:val="1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2.3.2017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בהליך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msolistparagraph"/>
        <w:rPr/>
      </w:pPr>
      <w:r>
        <w:rPr/>
        <w:t xml:space="preserve"> </w:t>
      </w:r>
    </w:p>
    <w:p>
      <w:pPr>
        <w:pStyle w:val="1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Fonts w:cs="FrankRuehl"/>
          <w:sz w:val="28"/>
          <w:sz w:val="28"/>
          <w:szCs w:val="28"/>
          <w:rtl w:val="true"/>
        </w:rPr>
        <w:t>בהחלטתו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5.3.2017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יתקיים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7.3.2017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נעלמה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מעיניו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להתייצבותו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לתחילת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ההחלטה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קרי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5.3.2017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והבקשה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>]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להלין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אלא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עצמו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לתחילת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ריצוי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עונשו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לאלתר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ויובא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1"/>
        <w:ind w:end="0"/>
        <w:jc w:val="both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1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7.3.2017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בבקשתו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נלוות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המלטות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וסיכון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ספק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ניתן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לקבוע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סיכויי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להתקבל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טובים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התעבורתי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עומד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לרועץ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כשנה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לביצוע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נשוא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הדיון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לתעבורה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בצפת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]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50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חודשי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פסילה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בפועל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לאחר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הרשעתו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בעבירה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נהיגה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בזמן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פסילה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בהיעדר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רישיון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נהיגה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תקף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וביטוח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תקף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מלבד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הזכיר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שרישיון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פקע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בקלות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עובדה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זו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אינה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חזות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ולצידה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לשקול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טעמים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אחרים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לשמיעת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5.4.2017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הטעים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בריצוי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</w:t>
      </w:r>
    </w:p>
    <w:p>
      <w:pPr>
        <w:pStyle w:val="1"/>
        <w:ind w:end="0"/>
        <w:jc w:val="both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החלטתו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1"/>
        <w:ind w:end="0"/>
        <w:jc w:val="both"/>
        <w:rPr/>
      </w:pPr>
      <w:r>
        <w:rPr>
          <w:rFonts w:eastAsia="Century"/>
          <w:rtl w:val="true"/>
        </w:rPr>
        <w:t xml:space="preserve"> </w:t>
      </w:r>
    </w:p>
    <w:p>
      <w:pPr>
        <w:pStyle w:val="1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משדחה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בקריטריונים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111/99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שוורץ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נד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241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2000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שוורץ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יקבל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ויאריך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המותנה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פי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המלצת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שירות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המבחן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הרי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שלא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ייאלץ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לרצות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אף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יום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בפועל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אף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אם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נאשם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בריצוי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עונש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מאסר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הדבר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מהווה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עילה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שלא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לעכבו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משוחרר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שממועד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ובמקרים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הנטייה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תהא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שכן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להורות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עיכוב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ביצוע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מקיומן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והחשש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ולילדיו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התבקש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ולהורות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1"/>
        <w:ind w:end="0"/>
        <w:jc w:val="both"/>
        <w:rPr/>
      </w:pPr>
      <w:r>
        <w:rPr>
          <w:rFonts w:eastAsia="Century"/>
          <w:rtl w:val="true"/>
        </w:rPr>
        <w:t xml:space="preserve"> </w:t>
      </w:r>
    </w:p>
    <w:p>
      <w:pPr>
        <w:pStyle w:val="1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קטיעת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בריצוי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ואלה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נסובות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ורק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העיד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עצמו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פעם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נוספת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כי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דבר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הינו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ממנו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והלאה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ואין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מורא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עליו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5.4.2017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שערעורו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אין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בנתון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לבדו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כדי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להכריע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הכף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msolistparagraph"/>
        <w:rPr/>
      </w:pPr>
      <w:r>
        <w:rPr/>
        <w:t xml:space="preserve"> </w:t>
      </w:r>
    </w:p>
    <w:p>
      <w:pPr>
        <w:pStyle w:val="1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ראפת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יתקיים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5.4.2017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מתכוונת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ממספר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לסיכויי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אסדי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הארכת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פתרון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אחרון</w:t>
      </w:r>
      <w:r>
        <w:rPr>
          <w:rFonts w:cs="Miriam"/>
          <w:spacing w:val="0"/>
          <w:sz w:val="24"/>
          <w:szCs w:val="24"/>
          <w:rtl w:val="true"/>
        </w:rPr>
        <w:t>",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כאשר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מונח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המאזניים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הליך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שיקום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אסדי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התמשכות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שחלפה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וסיכויי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msolistparagraph"/>
        <w:rPr/>
      </w:pPr>
      <w:r>
        <w:rPr/>
        <w:t xml:space="preserve"> </w:t>
      </w:r>
    </w:p>
    <w:p>
      <w:pPr>
        <w:pStyle w:val="1"/>
        <w:ind w:end="0"/>
        <w:jc w:val="both"/>
        <w:rPr/>
      </w:pPr>
      <w:r>
        <w:rPr>
          <w:rFonts w:eastAsia="Century" w:cs="Century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לדקה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Cs w:val="24"/>
        </w:rPr>
        <w:t>90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הגשת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והבקשה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לסיכויי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בעיקרו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התעבורתי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1"/>
        <w:ind w:end="0"/>
        <w:jc w:val="both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1"/>
        <w:ind w:end="0"/>
        <w:jc w:val="both"/>
        <w:rPr/>
      </w:pPr>
      <w:r>
        <w:rPr>
          <w:rStyle w:val="Style14"/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Style w:val="Style14"/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Style14"/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1"/>
        <w:ind w:end="0"/>
        <w:jc w:val="both"/>
        <w:rPr/>
      </w:pPr>
      <w:r>
        <w:rPr>
          <w:rFonts w:eastAsia="Century"/>
          <w:rtl w:val="true"/>
        </w:rPr>
        <w:t xml:space="preserve"> </w:t>
      </w:r>
    </w:p>
    <w:p>
      <w:pPr>
        <w:pStyle w:val="1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Style w:val="Style14"/>
          <w:sz w:val="28"/>
          <w:sz w:val="28"/>
          <w:szCs w:val="28"/>
          <w:rtl w:val="true"/>
        </w:rPr>
        <w:t>הלכה מושרשת היא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>כי עונש מאסר אשר הושת על נאשם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>יבוצע מיד לאחר שנקבע עונשו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>ואין די בהגשת ערעור כדי להצדיק את עיכוב ביצוע העונש</w:t>
      </w:r>
      <w:r>
        <w:rPr>
          <w:rStyle w:val="Style14"/>
          <w:sz w:val="28"/>
          <w:szCs w:val="28"/>
          <w:rtl w:val="true"/>
        </w:rPr>
        <w:t xml:space="preserve">. </w:t>
      </w:r>
      <w:r>
        <w:rPr>
          <w:rStyle w:val="Style14"/>
          <w:sz w:val="28"/>
          <w:sz w:val="28"/>
          <w:szCs w:val="28"/>
          <w:rtl w:val="true"/>
        </w:rPr>
        <w:t>יחד עם זאת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>לבית המשפט מסוּר שיקול דעת להורות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>בנסיבות מיוחדות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>על עיכוב ביצוע העונש</w:t>
      </w:r>
      <w:r>
        <w:rPr>
          <w:rStyle w:val="Style14"/>
          <w:sz w:val="28"/>
          <w:szCs w:val="28"/>
          <w:rtl w:val="true"/>
        </w:rPr>
        <w:t xml:space="preserve">. </w:t>
      </w:r>
      <w:r>
        <w:rPr>
          <w:rStyle w:val="Style14"/>
          <w:sz w:val="28"/>
          <w:sz w:val="28"/>
          <w:szCs w:val="28"/>
          <w:rtl w:val="true"/>
        </w:rPr>
        <w:t>בין השיקולים הצריכים לעניין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>על בית המשפט ליתן דעתו ל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משכה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טיב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וסיכוייו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להתקבל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ונסיבותיו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הלכת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שוורץ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5493/16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ירושלמי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25.7.2016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5143/15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6.8.2015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לשיקולים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התומך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בדחיית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הבקשה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בריצוי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נדרשים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קטיעתו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5049/15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Style w:val="Style14"/>
          <w:sz w:val="28"/>
          <w:szCs w:val="28"/>
        </w:rPr>
        <w:t>5.8.2015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5939/12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פשקוב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5.9.2012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2818/10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אר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7.10.2010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msolistparagraph"/>
        <w:rPr/>
      </w:pPr>
      <w:r>
        <w:rPr/>
        <w:t xml:space="preserve"> </w:t>
      </w:r>
    </w:p>
    <w:p>
      <w:pPr>
        <w:pStyle w:val="1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מביא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msolistparagraph"/>
        <w:rPr/>
      </w:pPr>
      <w:r>
        <w:rPr/>
        <w:t xml:space="preserve"> </w:t>
      </w:r>
    </w:p>
    <w:p>
      <w:pPr>
        <w:pStyle w:val="1"/>
        <w:ind w:end="0"/>
        <w:jc w:val="both"/>
        <w:rPr/>
      </w:pPr>
      <w:r>
        <w:rPr>
          <w:rFonts w:eastAsia="Century" w:cs="Century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ההצלחה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שיוחלט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הארכת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נתפס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הגדיל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גרימת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לעוברי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מרחף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הרתיעו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ובראשן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נעלמו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מעיניו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לתעבורה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נחפף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במלואו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שהופעל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ומצדיקים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Style w:val="Style14"/>
          <w:sz w:val="28"/>
          <w:sz w:val="28"/>
          <w:szCs w:val="28"/>
          <w:rtl w:val="true"/>
        </w:rPr>
        <w:t>לכך יש להוסיף את העובדה שהמערער החל בריצוי עונשו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 xml:space="preserve">ואינני מוצא בעניינו </w:t>
      </w:r>
      <w:r>
        <w:rPr>
          <w:rStyle w:val="Style14"/>
          <w:rFonts w:cs="Miriam"/>
          <w:spacing w:val="0"/>
          <w:sz w:val="24"/>
          <w:szCs w:val="24"/>
          <w:rtl w:val="true"/>
        </w:rPr>
        <w:t>"</w:t>
      </w:r>
      <w:r>
        <w:rPr>
          <w:rStyle w:val="Style14"/>
          <w:rFonts w:cs="Miriam"/>
          <w:spacing w:val="0"/>
          <w:sz w:val="24"/>
          <w:sz w:val="24"/>
          <w:szCs w:val="24"/>
          <w:rtl w:val="true"/>
        </w:rPr>
        <w:t>טעמים</w:t>
      </w:r>
      <w:r>
        <w:rPr>
          <w:rStyle w:val="Style14"/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Style14"/>
          <w:rFonts w:cs="Miriam"/>
          <w:spacing w:val="0"/>
          <w:sz w:val="24"/>
          <w:sz w:val="24"/>
          <w:szCs w:val="24"/>
          <w:rtl w:val="true"/>
        </w:rPr>
        <w:t>מיוחדים</w:t>
      </w:r>
      <w:r>
        <w:rPr>
          <w:rStyle w:val="Style14"/>
          <w:rFonts w:cs="Miriam"/>
          <w:spacing w:val="0"/>
          <w:sz w:val="24"/>
          <w:szCs w:val="24"/>
          <w:rtl w:val="true"/>
        </w:rPr>
        <w:t>"</w:t>
      </w:r>
      <w:r>
        <w:rPr>
          <w:rStyle w:val="Style14"/>
          <w:sz w:val="28"/>
          <w:szCs w:val="28"/>
          <w:rtl w:val="true"/>
        </w:rPr>
        <w:t xml:space="preserve"> </w:t>
      </w:r>
      <w:r>
        <w:rPr>
          <w:rStyle w:val="Style14"/>
          <w:sz w:val="28"/>
          <w:sz w:val="28"/>
          <w:szCs w:val="28"/>
          <w:rtl w:val="true"/>
        </w:rPr>
        <w:t>המצדיקים את קטיעת מאסרו</w:t>
      </w:r>
      <w:r>
        <w:rPr>
          <w:rStyle w:val="Style14"/>
          <w:sz w:val="28"/>
          <w:szCs w:val="28"/>
          <w:rtl w:val="true"/>
        </w:rPr>
        <w:t xml:space="preserve">, </w:t>
      </w:r>
      <w:r>
        <w:rPr>
          <w:rStyle w:val="Style14"/>
          <w:sz w:val="28"/>
          <w:sz w:val="28"/>
          <w:szCs w:val="28"/>
          <w:rtl w:val="true"/>
        </w:rPr>
        <w:t>בשלב זה</w:t>
      </w:r>
      <w:r>
        <w:rPr>
          <w:rStyle w:val="Style14"/>
          <w:sz w:val="28"/>
          <w:szCs w:val="28"/>
          <w:rtl w:val="true"/>
        </w:rPr>
        <w:t>.</w:t>
      </w:r>
    </w:p>
    <w:p>
      <w:pPr>
        <w:pStyle w:val="1"/>
        <w:ind w:end="0"/>
        <w:jc w:val="both"/>
        <w:rPr/>
      </w:pPr>
      <w:r>
        <w:rPr>
          <w:rFonts w:eastAsia="Century" w:cs="Century"/>
          <w:sz w:val="28"/>
          <w:szCs w:val="28"/>
          <w:rtl w:val="true"/>
        </w:rPr>
        <w:t xml:space="preserve"> </w:t>
      </w:r>
    </w:p>
    <w:p>
      <w:pPr>
        <w:pStyle w:val="1"/>
        <w:ind w:end="0"/>
        <w:jc w:val="both"/>
        <w:rPr/>
      </w:pPr>
      <w:r>
        <w:rPr>
          <w:rFonts w:eastAsia="Century" w:cs="Century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תסוכל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יעוכב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5.4.2017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הפסקת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rPr/>
      </w:pPr>
      <w:r>
        <w:rPr/>
        <w:t xml:space="preserve"> </w:t>
      </w:r>
    </w:p>
    <w:p>
      <w:pPr>
        <w:pStyle w:val="1"/>
        <w:ind w:end="0"/>
        <w:jc w:val="both"/>
        <w:rPr/>
      </w:pPr>
      <w:r>
        <w:rPr>
          <w:rFonts w:eastAsia="Century" w:cs="Century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להתנהלותו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הביצוע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Cs w:val="28"/>
        </w:rPr>
        <w:t>2.3.2017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לתחילת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', </w:t>
      </w:r>
      <w:r>
        <w:rPr>
          <w:rFonts w:cs="FrankRuehl"/>
          <w:sz w:val="28"/>
          <w:szCs w:val="28"/>
        </w:rPr>
        <w:t>5.3.2017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כתוארה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נאור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אין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מקום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להגשת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בקשות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בדקה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התשעים</w:t>
      </w:r>
      <w:r>
        <w:rPr>
          <w:rFonts w:cs="Miriam"/>
          <w:sz w:val="24"/>
          <w:szCs w:val="24"/>
          <w:rtl w:val="true"/>
        </w:rPr>
        <w:t xml:space="preserve">', </w:t>
      </w:r>
      <w:r>
        <w:rPr>
          <w:rFonts w:cs="Miriam"/>
          <w:sz w:val="24"/>
          <w:sz w:val="24"/>
          <w:szCs w:val="24"/>
          <w:rtl w:val="true"/>
        </w:rPr>
        <w:t>מתוך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תקווה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קוצר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הזמן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יהיה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בו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כדי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להביא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לעיכוב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ביצוע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" (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2588/12</w:t>
        </w:r>
      </w:hyperlink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עבאסי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Century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29.3.2012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Century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7773/16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חננאל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Century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15.11.2016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msolistparagraph"/>
        <w:rPr/>
      </w:pPr>
      <w:r>
        <w:rPr/>
        <w:t xml:space="preserve"> </w:t>
      </w:r>
    </w:p>
    <w:p>
      <w:pPr>
        <w:pStyle w:val="1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</w:t>
      </w:r>
      <w:r>
        <w:rPr>
          <w:rFonts w:cs="FrankRuehl"/>
          <w:sz w:val="28"/>
          <w:szCs w:val="28"/>
          <w:rtl w:val="true"/>
        </w:rPr>
        <w:t xml:space="preserve">  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בזאת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msolistparagraph"/>
        <w:rPr/>
      </w:pPr>
      <w:r>
        <w:rPr/>
        <w:t xml:space="preserve"> </w:t>
      </w:r>
    </w:p>
    <w:p>
      <w:pPr>
        <w:pStyle w:val="1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Century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22.3.2017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bookmarkStart w:id="13" w:name="Writer_Name"/>
            <w:bookmarkStart w:id="14" w:name="Start_Write"/>
            <w:bookmarkEnd w:id="13"/>
            <w:bookmarkEnd w:id="14"/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color w:val="FFFFFF"/>
                <w:sz w:val="2"/>
                <w:szCs w:val="2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17022020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I04.doc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יא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31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שהם </w:t>
      </w:r>
      <w:r>
        <w:rPr>
          <w:rFonts w:cs="David" w:ascii="David" w:hAnsi="David"/>
          <w:color w:val="000000"/>
        </w:rPr>
        <w:t>54678313-2202/17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2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10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2202/17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מוחמד חסארמה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rFonts w:cs="Miriam"/>
      <w:i w:val="false"/>
      <w:iCs w:val="false"/>
      <w:spacing w:val="0"/>
    </w:rPr>
  </w:style>
  <w:style w:type="character" w:styleId="Style14">
    <w:name w:val="חזק"/>
    <w:basedOn w:val="DefaultParagraphFont"/>
    <w:qFormat/>
    <w:rPr>
      <w:rFonts w:cs="FrankRuehl"/>
      <w:b w:val="false"/>
      <w:bCs w:val="fals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character" w:styleId="Strong">
    <w:name w:val="Strong"/>
    <w:basedOn w:val="DefaultParagraphFont"/>
    <w:qFormat/>
    <w:rPr>
      <w:rFonts w:cs="FrankRueh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msolistparagraph">
    <w:name w:val="msolistparagraph"/>
    <w:basedOn w:val="Normal"/>
    <w:qFormat/>
    <w:pPr>
      <w:overflowPunct w:val="true"/>
      <w:autoSpaceDE w:val="true"/>
      <w:bidi w:val="0"/>
      <w:ind w:hanging="0" w:start="720" w:end="720"/>
      <w:jc w:val="start"/>
    </w:pPr>
    <w:rPr>
      <w:sz w:val="24"/>
      <w:szCs w:val="24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00">
    <w:name w:val="ruller400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1">
    <w:name w:val="סגנון1"/>
    <w:basedOn w:val="Normal"/>
    <w:qFormat/>
    <w:pPr>
      <w:spacing w:lineRule="auto" w:line="360"/>
      <w:ind w:hanging="0" w:start="0" w:end="0"/>
      <w:jc w:val="both"/>
    </w:pPr>
    <w:rPr>
      <w:rFonts w:ascii="Century" w:hAnsi="Century" w:cs="Century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288167" TargetMode="External"/><Relationship Id="rId3" Type="http://schemas.openxmlformats.org/officeDocument/2006/relationships/hyperlink" Target="http://www.nevo.co.il/law/74274" TargetMode="External"/><Relationship Id="rId4" Type="http://schemas.openxmlformats.org/officeDocument/2006/relationships/hyperlink" Target="http://www.nevo.co.il/law/74274/23.a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law/5227/62.2" TargetMode="External"/><Relationship Id="rId7" Type="http://schemas.openxmlformats.org/officeDocument/2006/relationships/hyperlink" Target="http://www.nevo.co.il/law/5227/67" TargetMode="External"/><Relationship Id="rId8" Type="http://schemas.openxmlformats.org/officeDocument/2006/relationships/hyperlink" Target="http://www.nevo.co.il/law/74501" TargetMode="External"/><Relationship Id="rId9" Type="http://schemas.openxmlformats.org/officeDocument/2006/relationships/hyperlink" Target="http://www.nevo.co.il/law/74501/2.a" TargetMode="External"/><Relationship Id="rId10" Type="http://schemas.openxmlformats.org/officeDocument/2006/relationships/hyperlink" Target="http://www.nevo.co.il/case/22288167" TargetMode="External"/><Relationship Id="rId11" Type="http://schemas.openxmlformats.org/officeDocument/2006/relationships/hyperlink" Target="http://www.nevo.co.il/case/10550472" TargetMode="External"/><Relationship Id="rId12" Type="http://schemas.openxmlformats.org/officeDocument/2006/relationships/hyperlink" Target="http://www.nevo.co.il/law/74274/23.a" TargetMode="External"/><Relationship Id="rId13" Type="http://schemas.openxmlformats.org/officeDocument/2006/relationships/hyperlink" Target="http://www.nevo.co.il/law/74274" TargetMode="External"/><Relationship Id="rId14" Type="http://schemas.openxmlformats.org/officeDocument/2006/relationships/hyperlink" Target="http://www.nevo.co.il/law/5227/62.2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5227/67" TargetMode="External"/><Relationship Id="rId17" Type="http://schemas.openxmlformats.org/officeDocument/2006/relationships/hyperlink" Target="http://www.nevo.co.il/law/74501/2.a" TargetMode="External"/><Relationship Id="rId18" Type="http://schemas.openxmlformats.org/officeDocument/2006/relationships/hyperlink" Target="http://www.nevo.co.il/law/74501" TargetMode="External"/><Relationship Id="rId19" Type="http://schemas.openxmlformats.org/officeDocument/2006/relationships/hyperlink" Target="http://www.nevo.co.il/case/6597546" TargetMode="External"/><Relationship Id="rId20" Type="http://schemas.openxmlformats.org/officeDocument/2006/relationships/hyperlink" Target="http://www.nevo.co.il/case/6597546" TargetMode="External"/><Relationship Id="rId21" Type="http://schemas.openxmlformats.org/officeDocument/2006/relationships/hyperlink" Target="http://www.nevo.co.il/case/5819060" TargetMode="External"/><Relationship Id="rId22" Type="http://schemas.openxmlformats.org/officeDocument/2006/relationships/hyperlink" Target="http://www.nevo.co.il/case/6597546" TargetMode="External"/><Relationship Id="rId23" Type="http://schemas.openxmlformats.org/officeDocument/2006/relationships/hyperlink" Target="http://www.nevo.co.il/case/5678234" TargetMode="External"/><Relationship Id="rId24" Type="http://schemas.openxmlformats.org/officeDocument/2006/relationships/hyperlink" Target="http://www.nevo.co.il/case/21476248" TargetMode="External"/><Relationship Id="rId25" Type="http://schemas.openxmlformats.org/officeDocument/2006/relationships/hyperlink" Target="http://www.nevo.co.il/case/20462000" TargetMode="External"/><Relationship Id="rId26" Type="http://schemas.openxmlformats.org/officeDocument/2006/relationships/hyperlink" Target="http://www.nevo.co.il/case/20493071" TargetMode="External"/><Relationship Id="rId27" Type="http://schemas.openxmlformats.org/officeDocument/2006/relationships/hyperlink" Target="http://www.nevo.co.il/case/5592132" TargetMode="External"/><Relationship Id="rId28" Type="http://schemas.openxmlformats.org/officeDocument/2006/relationships/hyperlink" Target="http://www.nevo.co.il/case/5597013" TargetMode="External"/><Relationship Id="rId29" Type="http://schemas.openxmlformats.org/officeDocument/2006/relationships/hyperlink" Target="http://www.nevo.co.il/case/5580946" TargetMode="External"/><Relationship Id="rId30" Type="http://schemas.openxmlformats.org/officeDocument/2006/relationships/hyperlink" Target="http://www.nevo.co.il/case/21483439" TargetMode="External"/><Relationship Id="rId31" Type="http://schemas.openxmlformats.org/officeDocument/2006/relationships/hyperlink" Target="http://www.court.gov.il/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2017-03-26T08:45:00Z</dcterms:created>
  <dc:creator> </dc:creator>
  <dc:description/>
  <cp:keywords/>
  <dc:language>en-IL</dc:language>
  <cp:lastModifiedBy>Hofit</cp:lastModifiedBy>
  <dcterms:modified xsi:type="dcterms:W3CDTF">2017-03-26T08:45:00Z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חסארמה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22288167:2;10550472;6597546:3;5819060;5678234;21476248;20462000;20493071;5592132;5597013;5580946;21483439</vt:lpwstr>
  </property>
  <property fmtid="{D5CDD505-2E9C-101B-9397-08002B2CF9AE}" pid="9" name="CITY">
    <vt:lpwstr/>
  </property>
  <property fmtid="{D5CDD505-2E9C-101B-9397-08002B2CF9AE}" pid="10" name="DATE">
    <vt:lpwstr>20170322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שהם</vt:lpwstr>
  </property>
  <property fmtid="{D5CDD505-2E9C-101B-9397-08002B2CF9AE}" pid="14" name="LAWLISTTMP1">
    <vt:lpwstr>74274/023.a</vt:lpwstr>
  </property>
  <property fmtid="{D5CDD505-2E9C-101B-9397-08002B2CF9AE}" pid="15" name="LAWLISTTMP2">
    <vt:lpwstr>5227/062.2;067</vt:lpwstr>
  </property>
  <property fmtid="{D5CDD505-2E9C-101B-9397-08002B2CF9AE}" pid="16" name="LAWLISTTMP3">
    <vt:lpwstr>74501/002.a</vt:lpwstr>
  </property>
  <property fmtid="{D5CDD505-2E9C-101B-9397-08002B2CF9AE}" pid="17" name="LAWYER">
    <vt:lpwstr>קרן רוט;ראפת אסדי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/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</vt:lpwstr>
  </property>
  <property fmtid="{D5CDD505-2E9C-101B-9397-08002B2CF9AE}" pid="39" name="NOSE21">
    <vt:lpwstr>עונש</vt:lpwstr>
  </property>
  <property fmtid="{D5CDD505-2E9C-101B-9397-08002B2CF9AE}" pid="40" name="NOSE210">
    <vt:lpwstr/>
  </property>
  <property fmtid="{D5CDD505-2E9C-101B-9397-08002B2CF9AE}" pid="41" name="NOSE22">
    <vt:lpwstr/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498</vt:lpwstr>
  </property>
  <property fmtid="{D5CDD505-2E9C-101B-9397-08002B2CF9AE}" pid="50" name="NOSE31">
    <vt:lpwstr>עיכוב ביצוע</vt:lpwstr>
  </property>
  <property fmtid="{D5CDD505-2E9C-101B-9397-08002B2CF9AE}" pid="51" name="NOSE310">
    <vt:lpwstr/>
  </property>
  <property fmtid="{D5CDD505-2E9C-101B-9397-08002B2CF9AE}" pid="52" name="NOSE32">
    <vt:lpwstr/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3813</vt:lpwstr>
  </property>
  <property fmtid="{D5CDD505-2E9C-101B-9397-08002B2CF9AE}" pid="61" name="PADIDATE">
    <vt:lpwstr>20170326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2202</vt:lpwstr>
  </property>
  <property fmtid="{D5CDD505-2E9C-101B-9397-08002B2CF9AE}" pid="67" name="PROCYEAR">
    <vt:lpwstr>17</vt:lpwstr>
  </property>
  <property fmtid="{D5CDD505-2E9C-101B-9397-08002B2CF9AE}" pid="68" name="PSAKDIN">
    <vt:lpwstr>החלטה</vt:lpwstr>
  </property>
  <property fmtid="{D5CDD505-2E9C-101B-9397-08002B2CF9AE}" pid="69" name="TYPE">
    <vt:lpwstr>1</vt:lpwstr>
  </property>
  <property fmtid="{D5CDD505-2E9C-101B-9397-08002B2CF9AE}" pid="70" name="TYPE_ABS_DATE">
    <vt:lpwstr>410120170322</vt:lpwstr>
  </property>
  <property fmtid="{D5CDD505-2E9C-101B-9397-08002B2CF9AE}" pid="71" name="TYPE_N_DATE">
    <vt:lpwstr>41020170322</vt:lpwstr>
  </property>
  <property fmtid="{D5CDD505-2E9C-101B-9397-08002B2CF9AE}" pid="72" name="VOLUME">
    <vt:lpwstr/>
  </property>
  <property fmtid="{D5CDD505-2E9C-101B-9397-08002B2CF9AE}" pid="73" name="WORDNUMPAGES">
    <vt:lpwstr>9</vt:lpwstr>
  </property>
</Properties>
</file>