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2202/21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10"/>
          <w:szCs w:val="14"/>
        </w:rPr>
      </w:pPr>
      <w:r>
        <w:rPr>
          <w:rFonts w:cs="Miriam"/>
          <w:b/>
          <w:bCs/>
          <w:sz w:val="10"/>
          <w:szCs w:val="14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דקל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לולו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השלום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15265-03-11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15.3.2021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ש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חביב</w:t>
            </w:r>
            <w:r>
              <w:rPr>
                <w:sz w:val="24"/>
                <w:szCs w:val="24"/>
                <w:rtl w:val="true"/>
              </w:rPr>
              <w:t>;</w:t>
            </w:r>
          </w:p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תגובת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המשיבה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26.4.2021</w:t>
            </w:r>
            <w:r>
              <w:rPr>
                <w:sz w:val="24"/>
                <w:szCs w:val="24"/>
                <w:rtl w:val="true"/>
              </w:rPr>
              <w:t>;</w:t>
            </w:r>
          </w:p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תשובת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המערער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5.5.2021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לתגובת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המשיבה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בשם 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שמואל קליין</w:t>
            </w:r>
            <w:r>
              <w:rPr>
                <w:rFonts w:cs="David" w:ascii="David" w:hAnsi="David"/>
                <w:rtl w:val="true"/>
              </w:rPr>
              <w:t xml:space="preserve">; </w:t>
            </w:r>
            <w:r>
              <w:rPr>
                <w:rFonts w:ascii="David" w:hAnsi="David"/>
                <w:rtl w:val="true"/>
              </w:rPr>
              <w:t>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עמית חדד</w:t>
            </w:r>
            <w:r>
              <w:rPr>
                <w:rFonts w:cs="David" w:ascii="David" w:hAnsi="David"/>
                <w:rtl w:val="true"/>
              </w:rPr>
              <w:t xml:space="preserve">; </w:t>
            </w:r>
            <w:r>
              <w:rPr>
                <w:rFonts w:ascii="David" w:hAnsi="David"/>
                <w:rtl w:val="true"/>
              </w:rPr>
              <w:t>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עדי כרמלי</w:t>
            </w:r>
            <w:r>
              <w:rPr>
                <w:rFonts w:cs="David" w:ascii="David" w:hAnsi="David"/>
                <w:rtl w:val="true"/>
              </w:rPr>
              <w:t xml:space="preserve">; </w:t>
            </w:r>
            <w:r>
              <w:rPr>
                <w:rFonts w:ascii="David" w:hAnsi="David"/>
                <w:rtl w:val="true"/>
              </w:rPr>
              <w:t>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נועה מילשטיין</w:t>
            </w:r>
            <w:r>
              <w:rPr>
                <w:rFonts w:cs="David" w:ascii="David" w:hAnsi="David"/>
                <w:rtl w:val="true"/>
              </w:rPr>
              <w:t xml:space="preserve">; </w:t>
            </w:r>
            <w:r>
              <w:rPr>
                <w:rFonts w:ascii="David" w:hAnsi="David"/>
                <w:rtl w:val="true"/>
              </w:rPr>
              <w:t>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דריה גולדין</w:t>
            </w:r>
          </w:p>
        </w:tc>
      </w:tr>
    </w:tbl>
    <w:p>
      <w:pPr>
        <w:pStyle w:val="BodyRuller1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Lawyer"/>
            <w:bookmarkEnd w:id="3"/>
            <w:r>
              <w:rPr>
                <w:rFonts w:ascii="David" w:hAnsi="David"/>
                <w:rtl w:val="true"/>
              </w:rPr>
              <w:t>בשם המשיבה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יובל קדר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4" w:name="LawTable"/>
      <w:bookmarkEnd w:id="4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המכס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]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139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167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68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pacing w:val="10"/>
          <w:sz w:val="22"/>
          <w:szCs w:val="28"/>
        </w:rPr>
      </w:pPr>
      <w:r>
        <w:rPr>
          <w:rFonts w:cs="FrankRuehl" w:ascii="FrankRuehl" w:hAnsi="FrankRuehl"/>
          <w:color w:val="0000FF"/>
          <w:spacing w:val="10"/>
          <w:sz w:val="22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יביע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הלכאורית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לקראת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הידברות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מתוכננת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מליטול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בגיבושם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ויאיץ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הניטרלי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המשפט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שבבעלותו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והרביעי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מהאישומים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והשלישי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והרביעי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שנאמרו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לטענתו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מהאישומים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והשלישי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הוחזר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לטיעונים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המבקש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הגדיר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הליכי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גישור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פסילתו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בקבעה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הגדיר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בדיעבד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גישור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התבטאויות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יבהיר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ובאיזה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נאמרו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שנאמרו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מלהבהיר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נאמרו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שהודתה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נמנעה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לתוכנן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הובהר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הערות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והצעותיו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בפרוטוקול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יתנהל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לפרוטוקול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יביע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הלכאורית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לקראת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הידברות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מתוכננת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יובילו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מליטול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בגיבושם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ויאיץ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הניטרלי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והתבטאויות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הגדירן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גישור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ששמע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מליטול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המגשר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קונקרטיות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בוודאות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בפרוטוקול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ימשיך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3" w:name="Writer_Name"/>
      <w:bookmarkStart w:id="14" w:name="Writer_Name"/>
      <w:bookmarkEnd w:id="14"/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FrankRuehl" w:hAnsi="FrankRuehl" w:cs="FrankRuehl"/>
          <w:sz w:val="28"/>
        </w:rPr>
      </w:pPr>
      <w:bookmarkStart w:id="15" w:name="Start_Write"/>
      <w:bookmarkEnd w:id="15"/>
      <w:r>
        <w:rPr>
          <w:rtl w:val="true"/>
        </w:rPr>
        <w:tab/>
      </w:r>
      <w:r>
        <w:rPr>
          <w:rtl w:val="true"/>
        </w:rPr>
        <w:t xml:space="preserve">ערעור על החלטת בית משפט השלום בבאר שבע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חביב</w:t>
      </w:r>
      <w:r>
        <w:rPr>
          <w:rtl w:val="true"/>
        </w:rPr>
        <w:t xml:space="preserve">) </w:t>
      </w:r>
      <w:r>
        <w:rPr>
          <w:rtl w:val="true"/>
        </w:rPr>
        <w:t xml:space="preserve">מיום </w:t>
      </w:r>
      <w:r>
        <w:rPr/>
        <w:t>15.3.2021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15265-03-11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rtl w:val="true"/>
        </w:rPr>
        <w:t xml:space="preserve">שלא לפסול </w:t>
      </w:r>
      <w:r>
        <w:rPr>
          <w:rFonts w:ascii="FrankRuehl" w:hAnsi="FrankRuehl" w:cs="FrankRuehl"/>
          <w:sz w:val="28"/>
          <w:sz w:val="28"/>
          <w:rtl w:val="true"/>
        </w:rPr>
        <w:t xml:space="preserve">את </w:t>
      </w:r>
      <w:r>
        <w:rPr>
          <w:rFonts w:ascii="FrankRuehl" w:hAnsi="FrankRuehl" w:cs="FrankRuehl"/>
          <w:sz w:val="28"/>
          <w:sz w:val="28"/>
          <w:rtl w:val="true"/>
        </w:rPr>
        <w:t>עצמ</w:t>
      </w:r>
      <w:r>
        <w:rPr>
          <w:rFonts w:ascii="FrankRuehl" w:hAnsi="FrankRuehl" w:cs="FrankRuehl"/>
          <w:sz w:val="28"/>
          <w:sz w:val="28"/>
          <w:rtl w:val="true"/>
        </w:rPr>
        <w:t>ו</w:t>
      </w:r>
      <w:r>
        <w:rPr>
          <w:rFonts w:ascii="FrankRuehl" w:hAnsi="FrankRuehl" w:cs="FrankRuehl"/>
          <w:sz w:val="28"/>
          <w:sz w:val="28"/>
          <w:rtl w:val="true"/>
        </w:rPr>
        <w:t xml:space="preserve"> מלדון </w:t>
      </w:r>
      <w:r>
        <w:rPr>
          <w:rFonts w:ascii="FrankRuehl" w:hAnsi="FrankRuehl" w:cs="FrankRuehl"/>
          <w:sz w:val="28"/>
          <w:sz w:val="28"/>
          <w:rtl w:val="true"/>
        </w:rPr>
        <w:t>בעניינו של המערער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14"/>
          <w:szCs w:val="16"/>
        </w:rPr>
      </w:pPr>
      <w:r>
        <w:rPr>
          <w:rFonts w:cs="Miriam" w:ascii="Century" w:hAnsi="Century"/>
          <w:b/>
          <w:spacing w:val="0"/>
          <w:sz w:val="14"/>
          <w:szCs w:val="16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נגד המערער וחברה שבבעלותו הוגש בשנת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 xml:space="preserve">כתב אישום שכולל ארבעה אישומים ומייחס להם עבירות לפי 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1975</w:t>
      </w:r>
      <w:r>
        <w:rPr>
          <w:rtl w:val="true"/>
        </w:rPr>
        <w:t xml:space="preserve"> </w:t>
      </w:r>
      <w:r>
        <w:rPr>
          <w:rtl w:val="true"/>
        </w:rPr>
        <w:t xml:space="preserve">ולפי </w:t>
      </w:r>
      <w:hyperlink r:id="rId1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המכס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]. </w:t>
      </w:r>
      <w:r>
        <w:rPr>
          <w:rtl w:val="true"/>
        </w:rPr>
        <w:t>לאחר שהצדדים הגישו את סיכומיהם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30.1.2018</w:t>
      </w:r>
      <w:r>
        <w:rPr>
          <w:rtl w:val="true"/>
        </w:rPr>
        <w:t xml:space="preserve"> </w:t>
      </w:r>
      <w:r>
        <w:rPr>
          <w:rtl w:val="true"/>
        </w:rPr>
        <w:t xml:space="preserve">הגישה המשיבה בקשה להגיב לסיכומי המערער ובמסגרתה התייחסה לטענות הגנה שונות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לסיכומים</w:t>
      </w:r>
      <w:r>
        <w:rPr>
          <w:rtl w:val="true"/>
        </w:rPr>
        <w:t xml:space="preserve">). </w:t>
      </w:r>
      <w:r>
        <w:rPr>
          <w:rtl w:val="true"/>
        </w:rPr>
        <w:t>המערער התנגד לבקשה זו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26.2.2018</w:t>
      </w:r>
      <w:r>
        <w:rPr>
          <w:rtl w:val="true"/>
        </w:rPr>
        <w:t xml:space="preserve"> </w:t>
      </w:r>
      <w:r>
        <w:rPr>
          <w:rtl w:val="true"/>
        </w:rPr>
        <w:t xml:space="preserve">הורה בית המשפט על קביעת </w:t>
      </w:r>
      <w:r>
        <w:rPr>
          <w:rtl w:val="true"/>
        </w:rPr>
        <w:t>"</w:t>
      </w:r>
      <w:r>
        <w:rPr>
          <w:rtl w:val="true"/>
        </w:rPr>
        <w:t>דיון והשלמת סיכומים בעל פה</w:t>
      </w:r>
      <w:r>
        <w:rPr>
          <w:rtl w:val="true"/>
        </w:rPr>
        <w:t xml:space="preserve">" </w:t>
      </w:r>
      <w:r>
        <w:rPr>
          <w:rtl w:val="true"/>
        </w:rPr>
        <w:t xml:space="preserve">ליום </w:t>
      </w:r>
      <w:r>
        <w:rPr/>
        <w:t>8.3.2018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). </w:t>
      </w:r>
      <w:r>
        <w:rPr>
          <w:rtl w:val="true"/>
        </w:rPr>
        <w:t>המערער ביקש כי בית המשפט יעיין מחדש בהחלטה</w:t>
      </w:r>
      <w:r>
        <w:rPr>
          <w:rtl w:val="true"/>
        </w:rPr>
        <w:t xml:space="preserve">, </w:t>
      </w:r>
      <w:r>
        <w:rPr>
          <w:rtl w:val="true"/>
        </w:rPr>
        <w:t>בטענה שקיום הדיון יאפשר למשיבה להציג בפני בית המשפט את תגובתה לסיכומיו בניגוד לדין</w:t>
      </w:r>
      <w:r>
        <w:rPr>
          <w:rtl w:val="true"/>
        </w:rPr>
        <w:t xml:space="preserve">, </w:t>
      </w:r>
      <w:r>
        <w:rPr>
          <w:rtl w:val="true"/>
        </w:rPr>
        <w:t>אך בקשתו זו נדחתה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21.3.2018</w:t>
      </w:r>
      <w:r>
        <w:rPr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25.3.2018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)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מוסמך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כעולה מפרוטוקול הדיון השני</w:t>
      </w:r>
      <w:r>
        <w:rPr>
          <w:rtl w:val="true"/>
        </w:rPr>
        <w:t xml:space="preserve">, </w:t>
      </w:r>
      <w:r>
        <w:rPr>
          <w:rtl w:val="true"/>
        </w:rPr>
        <w:t>הדיון התקיים בלשכת המותב בשל מחסור באולמות פנויים</w:t>
      </w:r>
      <w:r>
        <w:rPr>
          <w:rtl w:val="true"/>
        </w:rPr>
        <w:t xml:space="preserve">, </w:t>
      </w:r>
      <w:r>
        <w:rPr>
          <w:rtl w:val="true"/>
        </w:rPr>
        <w:t xml:space="preserve">ובמהלכו הציע המותב הצעה לסיום ההליך בהסכמה </w:t>
      </w:r>
      <w:r>
        <w:rPr>
          <w:rtl w:val="true"/>
        </w:rPr>
        <w:t>–</w:t>
      </w:r>
      <w:r>
        <w:rPr>
          <w:rtl w:val="true"/>
        </w:rPr>
        <w:t xml:space="preserve"> הצעה שתוכנה אינו מופיע בפרוטוקול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המשיבה השיבה להצעה באמרה </w:t>
      </w:r>
      <w:r>
        <w:rPr>
          <w:rtl w:val="true"/>
        </w:rPr>
        <w:t>"</w:t>
      </w:r>
      <w:r>
        <w:rPr>
          <w:rtl w:val="true"/>
        </w:rPr>
        <w:t>אני אעביר לממונה את הערת בית המשפט באשר לאופן הראוי לסיום התיק בנסיבות העניין נוכח הקשיים הראייתיים עליהם הצביע בית המשפט</w:t>
      </w:r>
      <w:r>
        <w:rPr>
          <w:rtl w:val="true"/>
        </w:rPr>
        <w:t xml:space="preserve">. </w:t>
      </w:r>
      <w:r>
        <w:rPr>
          <w:rtl w:val="true"/>
        </w:rPr>
        <w:t>אני לא יכולה בשלב להביע עמדה בשלב זה ובטרם אשוחח עם הממונה</w:t>
      </w:r>
      <w:r>
        <w:rPr>
          <w:rtl w:val="true"/>
        </w:rPr>
        <w:t xml:space="preserve">". </w:t>
      </w:r>
      <w:r>
        <w:rPr>
          <w:rtl w:val="true"/>
        </w:rPr>
        <w:t>בתום הדיון נתן בית המשפט החלטה בה קיבל את בקשת המשיבה להגיב לסיכומי המערער והתיר למערער להשיב לתגובה זו</w:t>
      </w:r>
      <w:r>
        <w:rPr>
          <w:rtl w:val="true"/>
        </w:rPr>
        <w:t xml:space="preserve">. </w:t>
      </w:r>
      <w:r>
        <w:rPr>
          <w:rtl w:val="true"/>
        </w:rPr>
        <w:t xml:space="preserve">עוד נקבע כי </w:t>
      </w:r>
      <w:r>
        <w:rPr>
          <w:rtl w:val="true"/>
        </w:rPr>
        <w:t>"</w:t>
      </w:r>
      <w:r>
        <w:rPr>
          <w:rtl w:val="true"/>
        </w:rPr>
        <w:t xml:space="preserve">הדיון שנקבע ליום </w:t>
      </w:r>
      <w:r>
        <w:rPr/>
        <w:t>17.4.18</w:t>
      </w:r>
      <w:r>
        <w:rPr>
          <w:rtl w:val="true"/>
        </w:rPr>
        <w:t xml:space="preserve"> </w:t>
      </w:r>
      <w:r>
        <w:rPr>
          <w:rtl w:val="true"/>
        </w:rPr>
        <w:t xml:space="preserve">יהיה דיון תזכורת במעמד ממונה מטעם </w:t>
      </w:r>
      <w:r>
        <w:rPr>
          <w:rtl w:val="true"/>
        </w:rPr>
        <w:t>[</w:t>
      </w:r>
      <w:r>
        <w:rPr>
          <w:rtl w:val="true"/>
        </w:rPr>
        <w:t>המשיבה</w:t>
      </w:r>
      <w:r>
        <w:rPr>
          <w:rtl w:val="true"/>
        </w:rPr>
        <w:t xml:space="preserve">].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הצדדים מתבקשים לשקול היטב את הצעת בית המשפט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17.4.2018</w:t>
      </w:r>
      <w:r>
        <w:rPr>
          <w:rtl w:val="true"/>
        </w:rPr>
        <w:t xml:space="preserve"> </w:t>
      </w:r>
      <w:r>
        <w:rPr>
          <w:rtl w:val="true"/>
        </w:rPr>
        <w:t xml:space="preserve">התקיים דיון נוסף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). </w:t>
      </w:r>
      <w:r>
        <w:rPr>
          <w:rtl w:val="true"/>
        </w:rPr>
        <w:t>פרוטוקול דיון זה הוא תמציתי ביותר</w:t>
      </w:r>
      <w:r>
        <w:rPr>
          <w:rtl w:val="true"/>
        </w:rPr>
        <w:t xml:space="preserve">, </w:t>
      </w:r>
      <w:r>
        <w:rPr>
          <w:rtl w:val="true"/>
        </w:rPr>
        <w:t xml:space="preserve">אך מופיעים בו דברי הממונה מטעם המשיבה שציינה </w:t>
      </w:r>
      <w:r>
        <w:rPr>
          <w:rtl w:val="true"/>
        </w:rPr>
        <w:t>"</w:t>
      </w:r>
      <w:r>
        <w:rPr>
          <w:rtl w:val="true"/>
        </w:rPr>
        <w:t>לאחר ששמענו את דברי בית המשפט</w:t>
      </w:r>
      <w:r>
        <w:rPr>
          <w:rtl w:val="true"/>
        </w:rPr>
        <w:t xml:space="preserve">, </w:t>
      </w:r>
      <w:r>
        <w:rPr>
          <w:rtl w:val="true"/>
        </w:rPr>
        <w:t>אציין כי אנו רואים את התיק בצורה קיצונית מאשר התרשמות בית המשפט</w:t>
      </w:r>
      <w:r>
        <w:rPr>
          <w:rtl w:val="true"/>
        </w:rPr>
        <w:t xml:space="preserve">, </w:t>
      </w:r>
      <w:r>
        <w:rPr>
          <w:rtl w:val="true"/>
        </w:rPr>
        <w:t>עברנו על הראיות בתיק</w:t>
      </w:r>
      <w:r>
        <w:rPr>
          <w:rtl w:val="true"/>
        </w:rPr>
        <w:t xml:space="preserve">. </w:t>
      </w:r>
      <w:r>
        <w:rPr>
          <w:rtl w:val="true"/>
        </w:rPr>
        <w:t xml:space="preserve">אני מציעה כי בית המשפט ישים לב לכל הפרטים </w:t>
      </w:r>
      <w:r>
        <w:rPr>
          <w:rtl w:val="true"/>
        </w:rPr>
        <w:t xml:space="preserve">[...] </w:t>
      </w:r>
      <w:r>
        <w:rPr>
          <w:rtl w:val="true"/>
        </w:rPr>
        <w:t>אולי יש ספק אך אין ספק סביר</w:t>
      </w:r>
      <w:r>
        <w:rPr>
          <w:rtl w:val="true"/>
        </w:rPr>
        <w:t xml:space="preserve">. </w:t>
      </w:r>
      <w:r>
        <w:rPr>
          <w:rtl w:val="true"/>
        </w:rPr>
        <w:t>אנו סבורים כי אנו רחוקים גם מבחינת המסקנה שבית המשפט הגיע אליה</w:t>
      </w:r>
      <w:r>
        <w:rPr>
          <w:rtl w:val="true"/>
        </w:rPr>
        <w:t xml:space="preserve">, </w:t>
      </w:r>
      <w:r>
        <w:rPr>
          <w:rtl w:val="true"/>
        </w:rPr>
        <w:t>אנו מקווים שנצליח לשכנע את בית המשפט גם אם יהיה צורך בערעור</w:t>
      </w:r>
      <w:r>
        <w:rPr>
          <w:rtl w:val="true"/>
        </w:rPr>
        <w:t xml:space="preserve">". </w:t>
      </w:r>
      <w:r>
        <w:rPr>
          <w:rtl w:val="true"/>
        </w:rPr>
        <w:t>גם בפרוטוקול זה אין ביטוי להערות בית המשפט או למסקנה אליה הגיע</w:t>
      </w:r>
      <w:r>
        <w:rPr>
          <w:rtl w:val="true"/>
        </w:rPr>
        <w:t xml:space="preserve">, </w:t>
      </w:r>
      <w:r>
        <w:rPr>
          <w:rtl w:val="true"/>
        </w:rPr>
        <w:t>כדברי ב</w:t>
      </w:r>
      <w:r>
        <w:rPr>
          <w:rtl w:val="true"/>
        </w:rPr>
        <w:t>"</w:t>
      </w:r>
      <w:r>
        <w:rPr>
          <w:rtl w:val="true"/>
        </w:rPr>
        <w:t>כ המשיבה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6.5.2018</w:t>
      </w:r>
      <w:r>
        <w:rPr>
          <w:rtl w:val="true"/>
        </w:rPr>
        <w:t xml:space="preserve"> </w:t>
      </w:r>
      <w:r>
        <w:rPr>
          <w:rtl w:val="true"/>
        </w:rPr>
        <w:t>ניתנה הכרעת הדין</w:t>
      </w:r>
      <w:r>
        <w:rPr>
          <w:rtl w:val="true"/>
        </w:rPr>
        <w:t xml:space="preserve">, </w:t>
      </w:r>
      <w:r>
        <w:rPr>
          <w:rtl w:val="true"/>
        </w:rPr>
        <w:t>בה הרשיע בית המשפט את המערער ואת החברה באישומים השני והרביעי וזיכה אותם מהאישומים הראשון והשלישי</w:t>
      </w:r>
      <w:r>
        <w:rPr>
          <w:rtl w:val="true"/>
        </w:rPr>
        <w:t xml:space="preserve">. </w:t>
      </w:r>
      <w:r>
        <w:rPr>
          <w:rtl w:val="true"/>
        </w:rPr>
        <w:t xml:space="preserve">המועד לטיעונים לעונש נקבע ליום </w:t>
      </w:r>
      <w:r>
        <w:rPr/>
        <w:t>6.9.2018</w:t>
      </w:r>
      <w:r>
        <w:rPr>
          <w:rtl w:val="true"/>
        </w:rPr>
        <w:t xml:space="preserve">, </w:t>
      </w:r>
      <w:r>
        <w:rPr>
          <w:rtl w:val="true"/>
        </w:rPr>
        <w:t>ובית המשפט הורה לממונה על עבודות שירות להגיש חוות דעת בעניינו של המערער</w:t>
      </w:r>
      <w:r>
        <w:rPr>
          <w:rtl w:val="true"/>
        </w:rPr>
        <w:t xml:space="preserve">. </w:t>
      </w:r>
      <w:r>
        <w:rPr>
          <w:rtl w:val="true"/>
        </w:rPr>
        <w:t>כשבועיים לפני הדיון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19.8.2018</w:t>
      </w:r>
      <w:r>
        <w:rPr>
          <w:rtl w:val="true"/>
        </w:rPr>
        <w:t xml:space="preserve">, </w:t>
      </w:r>
      <w:r>
        <w:rPr>
          <w:rtl w:val="true"/>
        </w:rPr>
        <w:t>הגיש המערער בקשה להגיש ראיות נוספות ולזמן עדים לחקירה נוספת</w:t>
      </w:r>
      <w:r>
        <w:rPr>
          <w:rtl w:val="true"/>
        </w:rPr>
        <w:t xml:space="preserve">, </w:t>
      </w:r>
      <w:r>
        <w:rPr>
          <w:rtl w:val="true"/>
        </w:rPr>
        <w:t xml:space="preserve">בהתאם </w:t>
      </w:r>
      <w:hyperlink r:id="rId13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167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נוספות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tl w:val="true"/>
        </w:rPr>
        <w:t xml:space="preserve">).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הכרעת הדין כללה ממצאים וקביעות בנושאים שכלל לא עלו במהלך המשפט</w:t>
      </w:r>
      <w:r>
        <w:rPr>
          <w:rtl w:val="true"/>
        </w:rPr>
        <w:t xml:space="preserve">, </w:t>
      </w:r>
      <w:r>
        <w:rPr>
          <w:rtl w:val="true"/>
        </w:rPr>
        <w:t>ולטענתו בית המשפט פירש לחובתו ספקות שהיו לו במקום ליתן למערער את יומו להתייחס אליהם במישרין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לפי המערער</w:t>
      </w:r>
      <w:r>
        <w:rPr>
          <w:rtl w:val="true"/>
        </w:rPr>
        <w:t xml:space="preserve">, </w:t>
      </w:r>
      <w:r>
        <w:rPr>
          <w:rtl w:val="true"/>
        </w:rPr>
        <w:t>בית המשפט ציין במהלך הדיון השלישי</w:t>
      </w:r>
      <w:r>
        <w:rPr>
          <w:rtl w:val="true"/>
        </w:rPr>
        <w:t xml:space="preserve">, </w:t>
      </w:r>
      <w:r>
        <w:rPr>
          <w:rtl w:val="true"/>
        </w:rPr>
        <w:t>בנוגע להיבט משמעותי באישום הרביעי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אין חקירה על זה</w:t>
      </w:r>
      <w:r>
        <w:rPr>
          <w:rtl w:val="true"/>
        </w:rPr>
        <w:t>. [...] 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לא נשאל על זה</w:t>
      </w:r>
      <w:r>
        <w:rPr>
          <w:rtl w:val="true"/>
        </w:rPr>
        <w:t xml:space="preserve">", </w:t>
      </w:r>
      <w:r>
        <w:rPr>
          <w:rtl w:val="true"/>
        </w:rPr>
        <w:t xml:space="preserve">וביחס לאישום השני אמר בית המשפט בדיון כי </w:t>
      </w:r>
      <w:r>
        <w:rPr>
          <w:rtl w:val="true"/>
        </w:rPr>
        <w:t>"</w:t>
      </w:r>
      <w:r>
        <w:rPr>
          <w:rtl w:val="true"/>
        </w:rPr>
        <w:t xml:space="preserve">אף אחד לא נתן אפשרות להתמודד עם התזה הזאת </w:t>
      </w:r>
      <w:r>
        <w:rPr>
          <w:rtl w:val="true"/>
        </w:rPr>
        <w:t xml:space="preserve">[...] </w:t>
      </w:r>
      <w:r>
        <w:rPr>
          <w:rtl w:val="true"/>
        </w:rPr>
        <w:t>אז אני לא יודעת להגיד איזה הסבר היה לו</w:t>
      </w:r>
      <w:r>
        <w:rPr>
          <w:rtl w:val="true"/>
        </w:rPr>
        <w:t xml:space="preserve">, </w:t>
      </w:r>
      <w:r>
        <w:rPr>
          <w:rtl w:val="true"/>
        </w:rPr>
        <w:t xml:space="preserve">אבל יכול להיות שהיה לו הסבר </w:t>
      </w:r>
      <w:r>
        <w:rPr>
          <w:rtl w:val="true"/>
        </w:rPr>
        <w:t xml:space="preserve">[...] </w:t>
      </w:r>
      <w:r>
        <w:rPr>
          <w:rtl w:val="true"/>
        </w:rPr>
        <w:t>אני לא יכולה לקבוע שזה מעבר לספק סביר</w:t>
      </w:r>
      <w:r>
        <w:rPr>
          <w:rtl w:val="true"/>
        </w:rPr>
        <w:t xml:space="preserve">". </w:t>
      </w:r>
      <w:r>
        <w:rPr>
          <w:rtl w:val="true"/>
        </w:rPr>
        <w:t>לפי המערער</w:t>
      </w:r>
      <w:r>
        <w:rPr>
          <w:rtl w:val="true"/>
        </w:rPr>
        <w:t xml:space="preserve">, </w:t>
      </w:r>
      <w:r>
        <w:rPr>
          <w:rtl w:val="true"/>
        </w:rPr>
        <w:t>חרף דברים אלה שאמר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בהכרעת הדין נקבע בנוגע לאישום השני כי </w:t>
      </w:r>
      <w:r>
        <w:rPr>
          <w:rtl w:val="true"/>
        </w:rPr>
        <w:t>"</w:t>
      </w:r>
      <w:r>
        <w:rPr>
          <w:rtl w:val="true"/>
        </w:rPr>
        <w:t>העובדה שהשאלה המפורשת לא נשאלה כפי שהצגתי אותה לעיל</w:t>
      </w:r>
      <w:r>
        <w:rPr>
          <w:rtl w:val="true"/>
        </w:rPr>
        <w:t xml:space="preserve">, </w:t>
      </w:r>
      <w:r>
        <w:rPr>
          <w:rtl w:val="true"/>
        </w:rPr>
        <w:t>איננה יכולה להעלות או להוריד</w:t>
      </w:r>
      <w:r>
        <w:rPr>
          <w:rtl w:val="true"/>
        </w:rPr>
        <w:t xml:space="preserve">. </w:t>
      </w:r>
      <w:r>
        <w:rPr>
          <w:rtl w:val="true"/>
        </w:rPr>
        <w:t xml:space="preserve">איזה הסבר יכול היה ליתן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שישכנע בהגיונם של דברים</w:t>
      </w:r>
      <w:r>
        <w:rPr>
          <w:rtl w:val="true"/>
        </w:rPr>
        <w:t>?".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 xml:space="preserve">בדיון שהתקיים ביום </w:t>
      </w:r>
      <w:r>
        <w:rPr/>
        <w:t>6.9.2018</w:t>
      </w:r>
      <w:r>
        <w:rPr>
          <w:rtl w:val="true"/>
        </w:rPr>
        <w:t xml:space="preserve"> </w:t>
      </w:r>
      <w:r>
        <w:rPr>
          <w:rtl w:val="true"/>
        </w:rPr>
        <w:t>דחה בית המשפט את הבקשה להגשת ראיות נוספות</w:t>
      </w:r>
      <w:r>
        <w:rPr>
          <w:rtl w:val="true"/>
        </w:rPr>
        <w:t xml:space="preserve">, </w:t>
      </w:r>
      <w:r>
        <w:rPr>
          <w:rtl w:val="true"/>
        </w:rPr>
        <w:t xml:space="preserve">בקבעו כי הטענה לפיה לא ניתנה למערער הזדמנות להשלים את הגנתו </w:t>
      </w:r>
      <w:r>
        <w:rPr>
          <w:rtl w:val="true"/>
        </w:rPr>
        <w:t>"</w:t>
      </w:r>
      <w:r>
        <w:rPr>
          <w:rtl w:val="true"/>
        </w:rPr>
        <w:t>נשענת על פער נטען בין דברים שנאמרו לכאורה על ידי בית המשפט</w:t>
      </w:r>
      <w:r>
        <w:rPr>
          <w:rtl w:val="true"/>
        </w:rPr>
        <w:t xml:space="preserve">, </w:t>
      </w:r>
      <w:r>
        <w:rPr>
          <w:rtl w:val="true"/>
        </w:rPr>
        <w:t>במסגרת ניסיונות פישור בין הצדדים</w:t>
      </w:r>
      <w:r>
        <w:rPr>
          <w:rtl w:val="true"/>
        </w:rPr>
        <w:t xml:space="preserve">, </w:t>
      </w:r>
      <w:r>
        <w:rPr>
          <w:rtl w:val="true"/>
        </w:rPr>
        <w:t>לאחר הגשת הסיכומים</w:t>
      </w:r>
      <w:r>
        <w:rPr>
          <w:rtl w:val="true"/>
        </w:rPr>
        <w:t xml:space="preserve">, </w:t>
      </w:r>
      <w:r>
        <w:rPr>
          <w:rtl w:val="true"/>
        </w:rPr>
        <w:t>ובין התוצאה הסופית בהכרעת הדין</w:t>
      </w:r>
      <w:r>
        <w:rPr>
          <w:rtl w:val="true"/>
        </w:rPr>
        <w:t xml:space="preserve">". </w:t>
      </w:r>
      <w:r>
        <w:rPr>
          <w:rtl w:val="true"/>
        </w:rPr>
        <w:t>בהקשר זה ציין בית המשפט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]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באוזני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המשיבה</w:t>
      </w:r>
      <w:r>
        <w:rPr>
          <w:rtl w:val="true"/>
        </w:rPr>
        <w:t xml:space="preserve">] </w:t>
      </w:r>
      <w:r>
        <w:rPr>
          <w:rtl w:val="true"/>
        </w:rPr>
        <w:t>שהתייצבה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בישיבות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], </w:t>
      </w:r>
      <w:r>
        <w:rPr>
          <w:rtl w:val="true"/>
        </w:rPr>
        <w:t>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8.12.2019</w:t>
      </w:r>
      <w:r>
        <w:rPr>
          <w:rtl w:val="true"/>
        </w:rPr>
        <w:t xml:space="preserve"> </w:t>
      </w:r>
      <w:r>
        <w:rPr>
          <w:rtl w:val="true"/>
        </w:rPr>
        <w:t>ניתן גזר הדין בהליך</w:t>
      </w:r>
      <w:r>
        <w:rPr>
          <w:rtl w:val="true"/>
        </w:rPr>
        <w:t xml:space="preserve">, </w:t>
      </w:r>
      <w:r>
        <w:rPr>
          <w:rtl w:val="true"/>
        </w:rPr>
        <w:t xml:space="preserve">ועל המערער נגזרו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 וכן מאסרים מותנים וקנס כספי</w:t>
      </w:r>
      <w:r>
        <w:rPr>
          <w:rtl w:val="true"/>
        </w:rPr>
        <w:t xml:space="preserve">. </w:t>
      </w:r>
      <w:r>
        <w:rPr>
          <w:rtl w:val="true"/>
        </w:rPr>
        <w:t>בגזר הדין ציין בית המשפט כי במקום לקחת אחריות על מעשיו</w:t>
      </w:r>
      <w:r>
        <w:rPr>
          <w:rtl w:val="true"/>
        </w:rPr>
        <w:t xml:space="preserve">, </w:t>
      </w:r>
      <w:r>
        <w:rPr>
          <w:rtl w:val="true"/>
        </w:rPr>
        <w:t>בחר המערער להגיש מסמך כתוב בו לכאורה מצוטטים דברי בית המשפט אשר לא קיבלו ביטוי בפרוטוקול הדיונים שהתקיימו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כוחם יפה</w:t>
      </w:r>
      <w:r>
        <w:rPr>
          <w:rtl w:val="true"/>
        </w:rPr>
        <w:t xml:space="preserve">, </w:t>
      </w:r>
      <w:r>
        <w:rPr>
          <w:rtl w:val="true"/>
        </w:rPr>
        <w:t>באופן מוגבל</w:t>
      </w:r>
      <w:r>
        <w:rPr>
          <w:rtl w:val="true"/>
        </w:rPr>
        <w:t xml:space="preserve">, </w:t>
      </w:r>
      <w:r>
        <w:rPr>
          <w:rtl w:val="true"/>
        </w:rPr>
        <w:t>בניסיון להביא צדדים לפשרה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ערער לבית המשפט המחוזי על הרשעתו באישומים השני והרביעי ועל חומרת העונש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15357-01-20</w:t>
        </w:r>
      </w:hyperlink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והעלה טענות לגבי הדברים שנאמרו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בשלושת הדיונים שצוינו לעיל</w:t>
      </w:r>
      <w:r>
        <w:rPr>
          <w:rtl w:val="true"/>
        </w:rPr>
        <w:t xml:space="preserve">. </w:t>
      </w:r>
      <w:r>
        <w:rPr>
          <w:rtl w:val="true"/>
        </w:rPr>
        <w:t xml:space="preserve">המשיבה מצדה ערערה על זיכוי המערער מהאישומים הראשון והשלישי </w:t>
      </w:r>
      <w:r>
        <w:rPr>
          <w:rtl w:val="true"/>
        </w:rPr>
        <w:t>(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41913-01-20</w:t>
        </w:r>
      </w:hyperlink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בעיקרי הטיעון שהגישה המשיבה במסגרת הליכי הערעור נטען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כי המערער מציג את שהתרחש בשלושת הדיונים בצורה </w:t>
      </w:r>
      <w:r>
        <w:rPr>
          <w:rtl w:val="true"/>
        </w:rPr>
        <w:t>"</w:t>
      </w:r>
      <w:r>
        <w:rPr>
          <w:rtl w:val="true"/>
        </w:rPr>
        <w:t>מגמתית ושגויה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אם כי לא פורט מה סבורה המשיבה שנאמר בדיונים הללו ומה הייתה הצעת בית המשפט</w:t>
      </w:r>
      <w:r>
        <w:rPr>
          <w:rtl w:val="true"/>
        </w:rPr>
        <w:t xml:space="preserve">. </w:t>
      </w:r>
      <w:r>
        <w:rPr>
          <w:rtl w:val="true"/>
        </w:rPr>
        <w:t>בעיקרי הטיעון שהגיש המערער נטען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זכויותיו נפגעו עקב קיום שלושת הדיונים לאחר הגשת הסיכומים</w:t>
      </w:r>
      <w:r>
        <w:rPr>
          <w:rtl w:val="true"/>
        </w:rPr>
        <w:t xml:space="preserve">, </w:t>
      </w:r>
      <w:r>
        <w:rPr>
          <w:rtl w:val="true"/>
        </w:rPr>
        <w:t>דיונים שאותם הגדיר המותב בדיעבד כ</w:t>
      </w:r>
      <w:r>
        <w:rPr>
          <w:rtl w:val="true"/>
        </w:rPr>
        <w:t>"</w:t>
      </w:r>
      <w:r>
        <w:rPr>
          <w:rtl w:val="true"/>
        </w:rPr>
        <w:t>ישיבות גישור</w:t>
      </w:r>
      <w:r>
        <w:rPr>
          <w:rtl w:val="true"/>
        </w:rPr>
        <w:t xml:space="preserve">" </w:t>
      </w:r>
      <w:r>
        <w:rPr>
          <w:rtl w:val="true"/>
        </w:rPr>
        <w:t xml:space="preserve">ובכך </w:t>
      </w:r>
      <w:r>
        <w:rPr>
          <w:rtl w:val="true"/>
        </w:rPr>
        <w:t>"</w:t>
      </w:r>
      <w:r>
        <w:rPr>
          <w:rtl w:val="true"/>
        </w:rPr>
        <w:t>ערבב ערבוב חמור ומסוכן בין תפקידו כשופט הדן בתיק וכשופט מגשר</w:t>
      </w:r>
      <w:r>
        <w:rPr>
          <w:rtl w:val="true"/>
        </w:rPr>
        <w:t xml:space="preserve">". </w:t>
      </w:r>
      <w:r>
        <w:rPr>
          <w:rtl w:val="true"/>
        </w:rPr>
        <w:t>המערער הוסיף וטען כי בשלושת הדיונים הללו</w:t>
      </w:r>
      <w:r>
        <w:rPr>
          <w:rtl w:val="true"/>
        </w:rPr>
        <w:t xml:space="preserve">, </w:t>
      </w:r>
      <w:r>
        <w:rPr>
          <w:rtl w:val="true"/>
        </w:rPr>
        <w:t>ובפרט בדיון השלישי</w:t>
      </w:r>
      <w:r>
        <w:rPr>
          <w:rtl w:val="true"/>
        </w:rPr>
        <w:t xml:space="preserve">, </w:t>
      </w:r>
      <w:r>
        <w:rPr>
          <w:rtl w:val="true"/>
        </w:rPr>
        <w:t>בית המשפט קמא הביע את דעתו בצורה מפורשת כי לא ניתן להרשיע את המערער במיוחס לו</w:t>
      </w:r>
      <w:r>
        <w:rPr>
          <w:rtl w:val="true"/>
        </w:rPr>
        <w:t xml:space="preserve">, </w:t>
      </w:r>
      <w:r>
        <w:rPr>
          <w:rtl w:val="true"/>
        </w:rPr>
        <w:t>וכי בית המשפט קמא אף ציין בפני הצדדים שמרבית הכרעת הדין כבר כתובה ברוח דברים אלה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 לאמור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16.9.2020</w:t>
      </w:r>
      <w:r>
        <w:rPr>
          <w:rtl w:val="true"/>
        </w:rPr>
        <w:t xml:space="preserve"> </w:t>
      </w:r>
      <w:r>
        <w:rPr>
          <w:rtl w:val="true"/>
        </w:rPr>
        <w:t>הגיש המערער בקשה לטעון לאי</w:t>
      </w:r>
      <w:r>
        <w:rPr>
          <w:rtl w:val="true"/>
        </w:rPr>
        <w:t>-</w:t>
      </w:r>
      <w:r>
        <w:rPr>
          <w:rtl w:val="true"/>
        </w:rPr>
        <w:t>דיוקים בפרוטוקול הדיון השלישי ולהביא ראיות לטעויות בו</w:t>
      </w:r>
      <w:r>
        <w:rPr>
          <w:rtl w:val="true"/>
        </w:rPr>
        <w:t xml:space="preserve">, </w:t>
      </w:r>
      <w:r>
        <w:rPr>
          <w:rtl w:val="true"/>
        </w:rPr>
        <w:t xml:space="preserve">בהתאם להוראת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139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. </w:t>
      </w:r>
      <w:r>
        <w:rPr>
          <w:rtl w:val="true"/>
        </w:rPr>
        <w:t>המערער טען כי הקליט את הדיון השלישי מבלי לדעת שאין להקליט באולם בית המשפט ללא רשות</w:t>
      </w:r>
      <w:r>
        <w:rPr>
          <w:rtl w:val="true"/>
        </w:rPr>
        <w:t xml:space="preserve">, </w:t>
      </w:r>
      <w:r>
        <w:rPr>
          <w:rtl w:val="true"/>
        </w:rPr>
        <w:t>וכי הודיע על כך לבאי</w:t>
      </w:r>
      <w:r>
        <w:rPr>
          <w:rtl w:val="true"/>
        </w:rPr>
        <w:t>-</w:t>
      </w:r>
      <w:r>
        <w:rPr>
          <w:rtl w:val="true"/>
        </w:rPr>
        <w:t>כוחו רק בדיעבד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הוא ביקש להימנע משימוש בהקלטה זו ונתן למשיבה הזדמנויות רבות לאשר את תיאוריו לדברים שאירעו בדיון השלישי</w:t>
      </w:r>
      <w:r>
        <w:rPr>
          <w:rtl w:val="true"/>
        </w:rPr>
        <w:t xml:space="preserve">, </w:t>
      </w:r>
      <w:r>
        <w:rPr>
          <w:rtl w:val="true"/>
        </w:rPr>
        <w:t>אך משהמשיבה לא עשתה כן</w:t>
      </w:r>
      <w:r>
        <w:rPr>
          <w:rtl w:val="true"/>
        </w:rPr>
        <w:t xml:space="preserve">, </w:t>
      </w:r>
      <w:r>
        <w:rPr>
          <w:rtl w:val="true"/>
        </w:rPr>
        <w:t>ברצונו להגיש את תמלול ההקלטה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בדיון שהתקיים בערעורי הצדדים ביום </w:t>
      </w:r>
      <w:r>
        <w:rPr/>
        <w:t>10.11.2020</w:t>
      </w:r>
      <w:r>
        <w:rPr>
          <w:rtl w:val="true"/>
        </w:rPr>
        <w:t xml:space="preserve"> </w:t>
      </w:r>
      <w:r>
        <w:rPr>
          <w:rtl w:val="true"/>
        </w:rPr>
        <w:t>קבע בית המשפט המחוזי כי תמלול ההקלטה לא יתקבל כראיה וכי נימוקים בנושא יינתנו במסגרת פסק הדין</w:t>
      </w:r>
      <w:r>
        <w:rPr>
          <w:rtl w:val="true"/>
        </w:rPr>
        <w:t xml:space="preserve">. </w:t>
      </w:r>
      <w:r>
        <w:rPr>
          <w:rtl w:val="true"/>
        </w:rPr>
        <w:t xml:space="preserve">פסק הדין בערעורים ניתן ביום </w:t>
      </w:r>
      <w:r>
        <w:rPr/>
        <w:t>22.12.2020</w:t>
      </w:r>
      <w:r>
        <w:rPr>
          <w:rtl w:val="true"/>
        </w:rPr>
        <w:t xml:space="preserve">, </w:t>
      </w:r>
      <w:r>
        <w:rPr>
          <w:rtl w:val="true"/>
        </w:rPr>
        <w:t>ובו דחה בית המשפט המחוזי את ערעורו של המערער על הרשעתו באישומים השני והרביעי ועל חומרת העונש שנגזר עליו</w:t>
      </w:r>
      <w:r>
        <w:rPr>
          <w:rtl w:val="true"/>
        </w:rPr>
        <w:t xml:space="preserve">, </w:t>
      </w:r>
      <w:r>
        <w:rPr>
          <w:rtl w:val="true"/>
        </w:rPr>
        <w:t>וקיבל את ערעור המשיבה על זיכויו מהאישומים הראשון והשלישי</w:t>
      </w:r>
      <w:r>
        <w:rPr>
          <w:rtl w:val="true"/>
        </w:rPr>
        <w:t xml:space="preserve">. </w:t>
      </w:r>
      <w:r>
        <w:rPr>
          <w:rtl w:val="true"/>
        </w:rPr>
        <w:t xml:space="preserve">בהתייחסו לשלושת הדיונים שהוזכרו לעיל ציין בית המשפט המחוזי שמהחלטות המותב </w:t>
      </w:r>
      <w:r>
        <w:rPr>
          <w:rtl w:val="true"/>
        </w:rPr>
        <w:t>"</w:t>
      </w:r>
      <w:r>
        <w:rPr>
          <w:rtl w:val="true"/>
        </w:rPr>
        <w:t xml:space="preserve">עולה כי בית המשפט </w:t>
      </w:r>
      <w:r>
        <w:rPr>
          <w:rtl w:val="true"/>
        </w:rPr>
        <w:t>[</w:t>
      </w:r>
      <w:r>
        <w:rPr>
          <w:rtl w:val="true"/>
        </w:rPr>
        <w:t>קמא</w:t>
      </w:r>
      <w:r>
        <w:rPr>
          <w:rtl w:val="true"/>
        </w:rPr>
        <w:t xml:space="preserve">] </w:t>
      </w:r>
      <w:r>
        <w:rPr>
          <w:rtl w:val="true"/>
        </w:rPr>
        <w:t>ראה בכך ישיבות גישור ופישור</w:t>
      </w:r>
      <w:r>
        <w:rPr>
          <w:rtl w:val="true"/>
        </w:rPr>
        <w:t xml:space="preserve">, </w:t>
      </w:r>
      <w:r>
        <w:rPr>
          <w:rtl w:val="true"/>
        </w:rPr>
        <w:t xml:space="preserve">תוך אף מתן הצעות עונשיות </w:t>
      </w:r>
      <w:r>
        <w:rPr>
          <w:rtl w:val="true"/>
        </w:rPr>
        <w:t xml:space="preserve">[...].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מקיום ישיבות שכאלו ע</w:t>
      </w:r>
      <w:r>
        <w:rPr>
          <w:rtl w:val="true"/>
        </w:rPr>
        <w:t>"</w:t>
      </w:r>
      <w:r>
        <w:rPr>
          <w:rtl w:val="true"/>
        </w:rPr>
        <w:t>י מותב הדן בתיק העיקרי</w:t>
      </w:r>
      <w:r>
        <w:rPr>
          <w:rtl w:val="true"/>
        </w:rPr>
        <w:t xml:space="preserve">, </w:t>
      </w:r>
      <w:r>
        <w:rPr>
          <w:rtl w:val="true"/>
        </w:rPr>
        <w:t>עולה קושי של ממש</w:t>
      </w:r>
      <w:r>
        <w:rPr>
          <w:rtl w:val="true"/>
        </w:rPr>
        <w:t xml:space="preserve">".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בית המשפט המחוזי הוסיף וקבע כי אין ממש בטענות המערער בדבר פגיעה בזכויותיו או בדבר קיום עילת ההגנה מן הצדק</w:t>
      </w:r>
      <w:r>
        <w:rPr>
          <w:rtl w:val="true"/>
        </w:rPr>
        <w:t xml:space="preserve">. </w:t>
      </w:r>
      <w:r>
        <w:rPr>
          <w:rtl w:val="true"/>
        </w:rPr>
        <w:t>לעניין תמלול ההקלטה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כי </w:t>
      </w:r>
      <w:hyperlink r:id="rId19">
        <w:r>
          <w:rPr>
            <w:rStyle w:val="Hyperlink"/>
            <w:rtl w:val="true"/>
          </w:rPr>
          <w:t>מסעיף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68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>]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tl w:val="true"/>
        </w:rPr>
        <w:t xml:space="preserve">) </w:t>
      </w:r>
      <w:r>
        <w:rPr>
          <w:rtl w:val="true"/>
        </w:rPr>
        <w:t xml:space="preserve">עולה שהקלטת דיון ללא קבלת היתר מבית המשפט </w:t>
      </w:r>
      <w:r>
        <w:rPr>
          <w:rtl w:val="true"/>
        </w:rPr>
        <w:t>"</w:t>
      </w:r>
      <w:r>
        <w:rPr>
          <w:rtl w:val="true"/>
        </w:rPr>
        <w:t>אינה מותרת</w:t>
      </w:r>
      <w:r>
        <w:rPr>
          <w:rtl w:val="true"/>
        </w:rPr>
        <w:t xml:space="preserve">", </w:t>
      </w:r>
      <w:r>
        <w:rPr>
          <w:rtl w:val="true"/>
        </w:rPr>
        <w:t xml:space="preserve">והוסיף כי קבלת הקלטה כזו כראיה צריכה להיות שמורה לנסיבות </w:t>
      </w:r>
      <w:r>
        <w:rPr>
          <w:rtl w:val="true"/>
        </w:rPr>
        <w:t>"</w:t>
      </w:r>
      <w:r>
        <w:rPr>
          <w:rtl w:val="true"/>
        </w:rPr>
        <w:t>חריגות ביותר</w:t>
      </w:r>
      <w:r>
        <w:rPr>
          <w:rtl w:val="true"/>
        </w:rPr>
        <w:t xml:space="preserve">" </w:t>
      </w:r>
      <w:r>
        <w:rPr>
          <w:rtl w:val="true"/>
        </w:rPr>
        <w:t xml:space="preserve">והכלל צריך להיות שלא לאפשר </w:t>
      </w:r>
      <w:r>
        <w:rPr>
          <w:rtl w:val="true"/>
        </w:rPr>
        <w:t>"</w:t>
      </w:r>
      <w:r>
        <w:rPr>
          <w:rtl w:val="true"/>
        </w:rPr>
        <w:t>לחוטא לצאת נשכר</w:t>
      </w:r>
      <w:r>
        <w:rPr>
          <w:rtl w:val="true"/>
        </w:rPr>
        <w:t xml:space="preserve">". </w:t>
      </w: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החזיר בית המשפט המחוזי את ההליך למותב כדי לגזור את עונשו של המערער בשל הרשעתו באישומים הראשון והשלישי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24.12.2020</w:t>
      </w:r>
      <w:r>
        <w:rPr>
          <w:rtl w:val="true"/>
        </w:rPr>
        <w:t xml:space="preserve"> </w:t>
      </w:r>
      <w:r>
        <w:rPr>
          <w:rtl w:val="true"/>
        </w:rPr>
        <w:t xml:space="preserve">קבע המותב דיון טיעונים לעונש ביום </w:t>
      </w:r>
      <w:r>
        <w:rPr/>
        <w:t>10.1.2021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30.12.2020</w:t>
      </w:r>
      <w:r>
        <w:rPr>
          <w:rtl w:val="true"/>
        </w:rPr>
        <w:t xml:space="preserve"> </w:t>
      </w:r>
      <w:r>
        <w:rPr>
          <w:rtl w:val="true"/>
        </w:rPr>
        <w:t xml:space="preserve">ביקש המערער את דחיית הדיון וציין כי בכוונתו לבקש את פסילת המותב </w:t>
      </w:r>
      <w:r>
        <w:rPr>
          <w:rtl w:val="true"/>
        </w:rPr>
        <w:t>"</w:t>
      </w:r>
      <w:r>
        <w:rPr>
          <w:rtl w:val="true"/>
        </w:rPr>
        <w:t>בפתח הדיון הקרוב</w:t>
      </w:r>
      <w:r>
        <w:rPr>
          <w:rtl w:val="true"/>
        </w:rPr>
        <w:t xml:space="preserve">". </w:t>
      </w:r>
      <w:r>
        <w:rPr>
          <w:rtl w:val="true"/>
        </w:rPr>
        <w:t xml:space="preserve">ביום </w:t>
      </w:r>
      <w:r>
        <w:rPr/>
        <w:t>21.2.2021</w:t>
      </w:r>
      <w:r>
        <w:rPr>
          <w:rtl w:val="true"/>
        </w:rPr>
        <w:t xml:space="preserve"> </w:t>
      </w:r>
      <w:r>
        <w:rPr>
          <w:rtl w:val="true"/>
        </w:rPr>
        <w:t>התקיים דיון טיעונים לעונש בפני המותב</w:t>
      </w:r>
      <w:r>
        <w:rPr>
          <w:rtl w:val="true"/>
        </w:rPr>
        <w:t xml:space="preserve">, </w:t>
      </w:r>
      <w:r>
        <w:rPr>
          <w:rtl w:val="true"/>
        </w:rPr>
        <w:t>ובתחילתו טען ב</w:t>
      </w:r>
      <w:r>
        <w:rPr>
          <w:rtl w:val="true"/>
        </w:rPr>
        <w:t>"</w:t>
      </w:r>
      <w:r>
        <w:rPr>
          <w:rtl w:val="true"/>
        </w:rPr>
        <w:t>כ המערער כי על המותב לפסול את עצמו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המערער ביקש להגיש את תמלול הקלטת הדיון השלישי</w:t>
      </w:r>
      <w:r>
        <w:rPr>
          <w:rtl w:val="true"/>
        </w:rPr>
        <w:t xml:space="preserve">, </w:t>
      </w:r>
      <w:r>
        <w:rPr>
          <w:rtl w:val="true"/>
        </w:rPr>
        <w:t>וטען כי המותב הכחיש בהחלטותיו את הדברים שהמערער ייחס לו</w:t>
      </w:r>
      <w:r>
        <w:rPr>
          <w:rtl w:val="true"/>
        </w:rPr>
        <w:t xml:space="preserve">, </w:t>
      </w:r>
      <w:r>
        <w:rPr>
          <w:rtl w:val="true"/>
        </w:rPr>
        <w:t xml:space="preserve">אך כעת התברר כי דברי המערער על אודות האמור בשלושת הדיונים היו </w:t>
      </w:r>
      <w:r>
        <w:rPr>
          <w:rtl w:val="true"/>
        </w:rPr>
        <w:t>"</w:t>
      </w:r>
      <w:r>
        <w:rPr>
          <w:rtl w:val="true"/>
        </w:rPr>
        <w:t>אמת לאמיתה</w:t>
      </w:r>
      <w:r>
        <w:rPr>
          <w:rtl w:val="true"/>
        </w:rPr>
        <w:t xml:space="preserve">". </w:t>
      </w: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המערער</w:t>
      </w:r>
      <w:r>
        <w:rPr>
          <w:rtl w:val="true"/>
        </w:rPr>
        <w:t xml:space="preserve">, </w:t>
      </w:r>
      <w:r>
        <w:rPr>
          <w:rtl w:val="true"/>
        </w:rPr>
        <w:t>בדיון השלישי בית המשפט ציין כי פסק הדין כבר כתוב ברובו</w:t>
      </w:r>
      <w:r>
        <w:rPr>
          <w:rtl w:val="true"/>
        </w:rPr>
        <w:t xml:space="preserve">, </w:t>
      </w:r>
      <w:r>
        <w:rPr>
          <w:rtl w:val="true"/>
        </w:rPr>
        <w:t xml:space="preserve">ולאחר מכן הציע לצדדים הצעה עונשית קונקרטית </w:t>
      </w:r>
      <w:r>
        <w:rPr>
          <w:rtl w:val="true"/>
        </w:rPr>
        <w:t>–</w:t>
      </w:r>
      <w:r>
        <w:rPr>
          <w:rtl w:val="true"/>
        </w:rPr>
        <w:t xml:space="preserve"> שלושה חודשי עבודות שירות וקנס בסך של </w:t>
      </w:r>
      <w:r>
        <w:rPr/>
        <w:t>1,000,000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או שישה חודשי עבודות שירות וקנס נמוך יותר</w:t>
      </w:r>
      <w:r>
        <w:rPr>
          <w:rtl w:val="true"/>
        </w:rPr>
        <w:t xml:space="preserve">, </w:t>
      </w:r>
      <w:r>
        <w:rPr>
          <w:rtl w:val="true"/>
        </w:rPr>
        <w:t>ולטענת ב</w:t>
      </w:r>
      <w:r>
        <w:rPr>
          <w:rtl w:val="true"/>
        </w:rPr>
        <w:t>"</w:t>
      </w:r>
      <w:r>
        <w:rPr>
          <w:rtl w:val="true"/>
        </w:rPr>
        <w:t>כ המערער עיון בתמלול הדיון מעלה כי המותב לא סייג את הצעתו בשום שלב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המערער הוסיף וטען כי המותב מנוע מלדון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מכיוון שברשימת המניעויות של המותב בנוסח שפורסם בשנת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צוין כי המותב מנוע מלדון בעניינים הנוגעים לחברת רמי לוי שיווק השקמה בע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>) "</w:t>
      </w:r>
      <w:r>
        <w:rPr>
          <w:rtl w:val="true"/>
        </w:rPr>
        <w:t>וכל תאגיד קשור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והמערער הדגיש כי חברה שבבעלותו תבעה את חברת </w:t>
      </w:r>
      <w:r>
        <w:rPr>
          <w:rtl w:val="true"/>
        </w:rPr>
        <w:t>"</w:t>
      </w:r>
      <w:r>
        <w:rPr>
          <w:rtl w:val="true"/>
        </w:rPr>
        <w:t>קופיקס</w:t>
      </w:r>
      <w:r>
        <w:rPr>
          <w:rtl w:val="true"/>
        </w:rPr>
        <w:t xml:space="preserve">" </w:t>
      </w:r>
      <w:r>
        <w:rPr>
          <w:rtl w:val="true"/>
        </w:rPr>
        <w:t>שחברת רמי לוי היא בעלת שליטה בה</w:t>
      </w:r>
      <w:r>
        <w:rPr>
          <w:rtl w:val="true"/>
        </w:rPr>
        <w:t xml:space="preserve">. </w:t>
      </w:r>
      <w:r>
        <w:rPr>
          <w:rtl w:val="true"/>
        </w:rPr>
        <w:t xml:space="preserve">בעניין זה ביקש המערער להגיש כתבות מאתרי חדשות שבהן דווח על התביעה שהגישה החברה של המערער נגד </w:t>
      </w:r>
      <w:r>
        <w:rPr>
          <w:rtl w:val="true"/>
        </w:rPr>
        <w:t>"</w:t>
      </w:r>
      <w:r>
        <w:rPr>
          <w:rtl w:val="true"/>
        </w:rPr>
        <w:t>קופיקס</w:t>
      </w:r>
      <w:r>
        <w:rPr>
          <w:rtl w:val="true"/>
        </w:rPr>
        <w:t xml:space="preserve">", </w:t>
      </w:r>
      <w:r>
        <w:rPr>
          <w:rtl w:val="true"/>
        </w:rPr>
        <w:t>וכן את רשימת המניעויות של המותב כפי שהוצגה עד סמוך לפני הדיון</w:t>
      </w:r>
      <w:r>
        <w:rPr>
          <w:rtl w:val="true"/>
        </w:rPr>
        <w:t xml:space="preserve">. </w:t>
      </w:r>
      <w:r>
        <w:rPr>
          <w:rtl w:val="true"/>
        </w:rPr>
        <w:t>נוכח כל זאת נטען כי על המותב לפסול את עצמו מלגזור את עונשו של המערער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המשיבה התנגדה להגשת תמלול ההקלטה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שלושת הדיונים התקיימו בהסכמת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והמותב </w:t>
      </w:r>
      <w:r>
        <w:rPr>
          <w:rtl w:val="true"/>
        </w:rPr>
        <w:t>"</w:t>
      </w:r>
      <w:r>
        <w:rPr>
          <w:rtl w:val="true"/>
        </w:rPr>
        <w:t>הביע עמדות עונשיות שונות במהלך שלושת הדיונים במטרה להגיע לאיזשהו הסדר טיעון</w:t>
      </w:r>
      <w:r>
        <w:rPr>
          <w:rtl w:val="true"/>
        </w:rPr>
        <w:t xml:space="preserve">" </w:t>
      </w:r>
      <w:r>
        <w:rPr>
          <w:rtl w:val="true"/>
        </w:rPr>
        <w:t xml:space="preserve">אך מעולם לא הביע עמדה </w:t>
      </w:r>
      <w:r>
        <w:rPr>
          <w:rtl w:val="true"/>
        </w:rPr>
        <w:t>"</w:t>
      </w:r>
      <w:r>
        <w:rPr>
          <w:rtl w:val="true"/>
        </w:rPr>
        <w:t>שיש בה גמירות דעת</w:t>
      </w:r>
      <w:r>
        <w:rPr>
          <w:rtl w:val="true"/>
        </w:rPr>
        <w:t xml:space="preserve">". </w:t>
      </w:r>
      <w:r>
        <w:rPr>
          <w:rtl w:val="true"/>
        </w:rPr>
        <w:t>עוד טענה ב</w:t>
      </w:r>
      <w:r>
        <w:rPr>
          <w:rtl w:val="true"/>
        </w:rPr>
        <w:t>"</w:t>
      </w:r>
      <w:r>
        <w:rPr>
          <w:rtl w:val="true"/>
        </w:rPr>
        <w:t>כ המשיבה כי לא קם חשש ממשי למשוא פנים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15.3.2021</w:t>
      </w:r>
      <w:r>
        <w:rPr>
          <w:rtl w:val="true"/>
        </w:rPr>
        <w:t xml:space="preserve"> </w:t>
      </w:r>
      <w:r>
        <w:rPr>
          <w:rtl w:val="true"/>
        </w:rPr>
        <w:t>דחה המותב את בקשות המערער לפסילתו ולהגשת תמלול ההקלטה</w:t>
      </w:r>
      <w:r>
        <w:rPr>
          <w:rtl w:val="true"/>
        </w:rPr>
        <w:t xml:space="preserve">. </w:t>
      </w:r>
      <w:r>
        <w:rPr>
          <w:rtl w:val="true"/>
        </w:rPr>
        <w:t xml:space="preserve">לעניין תמלול ההקלטה קבע המותב כי אין </w:t>
      </w:r>
      <w:r>
        <w:rPr>
          <w:rtl w:val="true"/>
        </w:rPr>
        <w:t>"</w:t>
      </w:r>
      <w:r>
        <w:rPr>
          <w:rtl w:val="true"/>
        </w:rPr>
        <w:t>רבותא עניינית ומשפטית</w:t>
      </w:r>
      <w:r>
        <w:rPr>
          <w:rtl w:val="true"/>
        </w:rPr>
        <w:t xml:space="preserve">" </w:t>
      </w:r>
      <w:r>
        <w:rPr>
          <w:rtl w:val="true"/>
        </w:rPr>
        <w:t>להצעות שהציע לפני מתן הכרעת הדין</w:t>
      </w:r>
      <w:r>
        <w:rPr>
          <w:rtl w:val="true"/>
        </w:rPr>
        <w:t xml:space="preserve">, </w:t>
      </w:r>
      <w:r>
        <w:rPr>
          <w:rtl w:val="true"/>
        </w:rPr>
        <w:t>מאחר ש</w:t>
      </w:r>
      <w:r>
        <w:rPr>
          <w:rtl w:val="true"/>
        </w:rPr>
        <w:t>"</w:t>
      </w:r>
      <w:r>
        <w:rPr>
          <w:rtl w:val="true"/>
        </w:rPr>
        <w:t>המסד העובדתי והמשפטי</w:t>
      </w:r>
      <w:r>
        <w:rPr>
          <w:rtl w:val="true"/>
        </w:rPr>
        <w:t xml:space="preserve">" </w:t>
      </w:r>
      <w:r>
        <w:rPr>
          <w:rtl w:val="true"/>
        </w:rPr>
        <w:t>העומד לדיון כיום הוא זה שקבע בית המשפט המחוזי בערעור</w:t>
      </w:r>
      <w:r>
        <w:rPr>
          <w:rtl w:val="true"/>
        </w:rPr>
        <w:t xml:space="preserve">. </w:t>
      </w:r>
      <w:r>
        <w:rPr>
          <w:rtl w:val="true"/>
        </w:rPr>
        <w:t>המותב הוסיף כי המערער ביקש להגיש את תמלול ההקלטה גם במסגרת הערעור</w:t>
      </w:r>
      <w:r>
        <w:rPr>
          <w:rtl w:val="true"/>
        </w:rPr>
        <w:t xml:space="preserve">, </w:t>
      </w:r>
      <w:r>
        <w:rPr>
          <w:rtl w:val="true"/>
        </w:rPr>
        <w:t xml:space="preserve">ובקשתו נדחתה תוך שנקבע כי זכויותיו לא נפגעו ושאין לאפשר מצב בו </w:t>
      </w:r>
      <w:r>
        <w:rPr>
          <w:rtl w:val="true"/>
        </w:rPr>
        <w:t>"</w:t>
      </w:r>
      <w:r>
        <w:rPr>
          <w:rtl w:val="true"/>
        </w:rPr>
        <w:t>ייצא חוטא נשכר</w:t>
      </w:r>
      <w:r>
        <w:rPr>
          <w:rtl w:val="true"/>
        </w:rPr>
        <w:t xml:space="preserve">". </w:t>
      </w:r>
      <w:r>
        <w:rPr>
          <w:rtl w:val="true"/>
        </w:rPr>
        <w:t>המותב הוסיף כי אין מקום או צורך בבירור עובדתי</w:t>
      </w:r>
      <w:r>
        <w:rPr>
          <w:rtl w:val="true"/>
        </w:rPr>
        <w:t xml:space="preserve">, </w:t>
      </w:r>
      <w:r>
        <w:rPr>
          <w:rtl w:val="true"/>
        </w:rPr>
        <w:t>ולפיכך אין מקום להתיר את הגשת תמלול ההקלטה</w:t>
      </w:r>
      <w:r>
        <w:rPr>
          <w:rtl w:val="true"/>
        </w:rPr>
        <w:t xml:space="preserve">. </w:t>
      </w:r>
      <w:r>
        <w:rPr>
          <w:rtl w:val="true"/>
        </w:rPr>
        <w:t xml:space="preserve">עוד דחה המותב את הבקשה להגשת האסמכתאות בנוגע לתביעה נגד </w:t>
      </w:r>
      <w:r>
        <w:rPr>
          <w:rtl w:val="true"/>
        </w:rPr>
        <w:t>"</w:t>
      </w:r>
      <w:r>
        <w:rPr>
          <w:rtl w:val="true"/>
        </w:rPr>
        <w:t>קופיקס</w:t>
      </w:r>
      <w:r>
        <w:rPr>
          <w:rtl w:val="true"/>
        </w:rPr>
        <w:t xml:space="preserve">" </w:t>
      </w:r>
      <w:r>
        <w:rPr>
          <w:rtl w:val="true"/>
        </w:rPr>
        <w:t>ובנוגע לרשימת המניעויות שלו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באשר לבקשת הפסילה קבע המותב כי הליכי פסלות אינם </w:t>
      </w:r>
      <w:r>
        <w:rPr>
          <w:rtl w:val="true"/>
        </w:rPr>
        <w:t>"</w:t>
      </w:r>
      <w:r>
        <w:rPr>
          <w:rtl w:val="true"/>
        </w:rPr>
        <w:t>דלת אחורית</w:t>
      </w:r>
      <w:r>
        <w:rPr>
          <w:rtl w:val="true"/>
        </w:rPr>
        <w:t xml:space="preserve">" </w:t>
      </w:r>
      <w:r>
        <w:rPr>
          <w:rtl w:val="true"/>
        </w:rPr>
        <w:t>לערעור על גזר הדין</w:t>
      </w:r>
      <w:r>
        <w:rPr>
          <w:rtl w:val="true"/>
        </w:rPr>
        <w:t xml:space="preserve">, </w:t>
      </w:r>
      <w:r>
        <w:rPr>
          <w:rtl w:val="true"/>
        </w:rPr>
        <w:t>וכי הביקורת שמתח בית המשפט המחוזי על התנהלות המותב אינה מקימה חשש ממשי למשוא פנים</w:t>
      </w:r>
      <w:r>
        <w:rPr>
          <w:rtl w:val="true"/>
        </w:rPr>
        <w:t xml:space="preserve">. </w:t>
      </w:r>
      <w:r>
        <w:rPr>
          <w:rtl w:val="true"/>
        </w:rPr>
        <w:t>המותב הוסיף כי האמירות המיוחסות לו על ידי המערער אינן רלוונטיות עוד</w:t>
      </w:r>
      <w:r>
        <w:rPr>
          <w:rtl w:val="true"/>
        </w:rPr>
        <w:t xml:space="preserve">, </w:t>
      </w:r>
      <w:r>
        <w:rPr>
          <w:rtl w:val="true"/>
        </w:rPr>
        <w:t>מאחר שהכרעת הדין שעל בסיסה עליו לגזור את דינו של המערער היא זו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עוד נקבע כי הטענות בעניין הדיונים שאותם הגדיר כ</w:t>
      </w:r>
      <w:r>
        <w:rPr>
          <w:rtl w:val="true"/>
        </w:rPr>
        <w:t>"</w:t>
      </w:r>
      <w:r>
        <w:rPr>
          <w:rtl w:val="true"/>
        </w:rPr>
        <w:t>גישור</w:t>
      </w:r>
      <w:r>
        <w:rPr>
          <w:rtl w:val="true"/>
        </w:rPr>
        <w:t xml:space="preserve">" </w:t>
      </w:r>
      <w:r>
        <w:rPr>
          <w:rtl w:val="true"/>
        </w:rPr>
        <w:t>נגועות בשיהוי מאחר שלא הועלו בסמוך לאחר קיומם</w:t>
      </w:r>
      <w:r>
        <w:rPr>
          <w:rtl w:val="true"/>
        </w:rPr>
        <w:t xml:space="preserve">. </w:t>
      </w:r>
      <w:r>
        <w:rPr>
          <w:rtl w:val="true"/>
        </w:rPr>
        <w:t>עוד דחה בית המשפט קמא את הטענה כי הוא מנוע מלדון בהליך נוכח הקשר שלו לחברת רמי לוי</w:t>
      </w:r>
      <w:r>
        <w:rPr>
          <w:rtl w:val="true"/>
        </w:rPr>
        <w:t xml:space="preserve">, </w:t>
      </w:r>
      <w:r>
        <w:rPr>
          <w:rtl w:val="true"/>
        </w:rPr>
        <w:t xml:space="preserve">והדגיש כי אין לו כל </w:t>
      </w:r>
      <w:r>
        <w:rPr>
          <w:rtl w:val="true"/>
        </w:rPr>
        <w:t>"</w:t>
      </w:r>
      <w:r>
        <w:rPr>
          <w:rtl w:val="true"/>
        </w:rPr>
        <w:t>עניין אישי</w:t>
      </w:r>
      <w:r>
        <w:rPr>
          <w:rtl w:val="true"/>
        </w:rPr>
        <w:t xml:space="preserve">" </w:t>
      </w:r>
      <w:r>
        <w:rPr>
          <w:rtl w:val="true"/>
        </w:rPr>
        <w:t>בחברה</w:t>
      </w:r>
      <w:r>
        <w:rPr>
          <w:rtl w:val="true"/>
        </w:rPr>
        <w:t xml:space="preserve">. </w:t>
      </w:r>
      <w:r>
        <w:rPr>
          <w:rtl w:val="true"/>
        </w:rPr>
        <w:t>לפיכך קבע המותב כי הוא אינו רואה מקום לפסול את עצמו</w:t>
      </w:r>
      <w:r>
        <w:rPr>
          <w:rtl w:val="true"/>
        </w:rPr>
        <w:t xml:space="preserve">, </w:t>
      </w:r>
      <w:r>
        <w:rPr>
          <w:rtl w:val="true"/>
        </w:rPr>
        <w:t>אף לא מטעמים של מראית פני הצדק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הערעור</w:t>
      </w:r>
      <w:r>
        <w:rPr>
          <w:rtl w:val="true"/>
        </w:rPr>
        <w:t xml:space="preserve">, </w:t>
      </w:r>
      <w:r>
        <w:rPr>
          <w:rtl w:val="true"/>
        </w:rPr>
        <w:t>בו חוזר המערער על טענותיו ומוסיף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היה על המותב לקבל את תמלול ההקלטה ולדון בטענות שהעלה המערער על בסיסו</w:t>
      </w:r>
      <w:r>
        <w:rPr>
          <w:rtl w:val="true"/>
        </w:rPr>
        <w:t xml:space="preserve">. </w:t>
      </w:r>
      <w:r>
        <w:rPr>
          <w:rtl w:val="true"/>
        </w:rPr>
        <w:t>לפי המערער</w:t>
      </w:r>
      <w:r>
        <w:rPr>
          <w:rtl w:val="true"/>
        </w:rPr>
        <w:t xml:space="preserve">, </w:t>
      </w:r>
      <w:r>
        <w:rPr>
          <w:rtl w:val="true"/>
        </w:rPr>
        <w:t>המותב הכחיש את האמירות שיוחסו לו בדיון השלישי</w:t>
      </w:r>
      <w:r>
        <w:rPr>
          <w:rtl w:val="true"/>
        </w:rPr>
        <w:t xml:space="preserve">, </w:t>
      </w:r>
      <w:r>
        <w:rPr>
          <w:rtl w:val="true"/>
        </w:rPr>
        <w:t xml:space="preserve">אך הודות לתמלול התברר שאין בהכחשות אלו אמת </w:t>
      </w:r>
      <w:r>
        <w:rPr>
          <w:rtl w:val="true"/>
        </w:rPr>
        <w:t>–</w:t>
      </w:r>
      <w:r>
        <w:rPr>
          <w:rtl w:val="true"/>
        </w:rPr>
        <w:t xml:space="preserve"> והדבר יוצר פגיעה חמורה באמונו של המערער וביכולתו של המותב לשבת בדין בעניינו</w:t>
      </w:r>
      <w:r>
        <w:rPr>
          <w:rtl w:val="true"/>
        </w:rPr>
        <w:t xml:space="preserve">. </w:t>
      </w:r>
      <w:r>
        <w:rPr>
          <w:rtl w:val="true"/>
        </w:rPr>
        <w:t>עוד לטענת המערער</w:t>
      </w:r>
      <w:r>
        <w:rPr>
          <w:rtl w:val="true"/>
        </w:rPr>
        <w:t xml:space="preserve">, </w:t>
      </w:r>
      <w:r>
        <w:rPr>
          <w:rtl w:val="true"/>
        </w:rPr>
        <w:t>העובדה שהמותב הגדיר את שלושת הדיונים כ</w:t>
      </w:r>
      <w:r>
        <w:rPr>
          <w:rtl w:val="true"/>
        </w:rPr>
        <w:t>"</w:t>
      </w:r>
      <w:r>
        <w:rPr>
          <w:rtl w:val="true"/>
        </w:rPr>
        <w:t>הליכי גישור</w:t>
      </w:r>
      <w:r>
        <w:rPr>
          <w:rtl w:val="true"/>
        </w:rPr>
        <w:t xml:space="preserve">" </w:t>
      </w:r>
      <w:r>
        <w:rPr>
          <w:rtl w:val="true"/>
        </w:rPr>
        <w:t>בהכרעת הדין מקימה אף היא חשש ממשי למשוא פנים ומצדיקה את פסילתו</w:t>
      </w:r>
      <w:r>
        <w:rPr>
          <w:rtl w:val="true"/>
        </w:rPr>
        <w:t xml:space="preserve">, </w:t>
      </w:r>
      <w:r>
        <w:rPr>
          <w:rtl w:val="true"/>
        </w:rPr>
        <w:t>מאחר שלפי הפסיקה שופט שדן בהליך העיקרי אינו יכול לשמש כשופט מגשר</w:t>
      </w:r>
      <w:r>
        <w:rPr>
          <w:rtl w:val="true"/>
        </w:rPr>
        <w:t xml:space="preserve">. </w:t>
      </w:r>
      <w:r>
        <w:rPr>
          <w:rtl w:val="true"/>
        </w:rPr>
        <w:t xml:space="preserve">המערער מוסיף כי הימנעותו של המותב ממתן גילוי נאות בנוגע לקשריו עם בכירים בחברת </w:t>
      </w:r>
      <w:r>
        <w:rPr>
          <w:rtl w:val="true"/>
        </w:rPr>
        <w:t>"</w:t>
      </w:r>
      <w:r>
        <w:rPr>
          <w:rtl w:val="true"/>
        </w:rPr>
        <w:t>רמי לוי</w:t>
      </w:r>
      <w:r>
        <w:rPr>
          <w:rtl w:val="true"/>
        </w:rPr>
        <w:t xml:space="preserve">" </w:t>
      </w:r>
      <w:r>
        <w:rPr>
          <w:rtl w:val="true"/>
        </w:rPr>
        <w:t>מחזקת את החשש מפני משוא פנים</w:t>
      </w:r>
      <w:r>
        <w:rPr>
          <w:rtl w:val="true"/>
        </w:rPr>
        <w:t xml:space="preserve">, </w:t>
      </w:r>
      <w:r>
        <w:rPr>
          <w:rtl w:val="true"/>
        </w:rPr>
        <w:t>ולטענתו יש לפסול את המותב לכל הפחות מטעמי מראית פני הצדק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טוענת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דין הערעור להידחות מאחר שבקשת הפסלות הוגשה בשיהוי</w:t>
      </w:r>
      <w:r>
        <w:rPr>
          <w:rtl w:val="true"/>
        </w:rPr>
        <w:t xml:space="preserve">, </w:t>
      </w:r>
      <w:r>
        <w:rPr>
          <w:rtl w:val="true"/>
        </w:rPr>
        <w:t>זמן רב לאחר שלושת הדיונים</w:t>
      </w:r>
      <w:r>
        <w:rPr>
          <w:rtl w:val="true"/>
        </w:rPr>
        <w:t xml:space="preserve">. </w:t>
      </w:r>
      <w:r>
        <w:rPr>
          <w:rtl w:val="true"/>
        </w:rPr>
        <w:t>לפי המשיבה</w:t>
      </w:r>
      <w:r>
        <w:rPr>
          <w:rtl w:val="true"/>
        </w:rPr>
        <w:t xml:space="preserve">, </w:t>
      </w:r>
      <w:r>
        <w:rPr>
          <w:rtl w:val="true"/>
        </w:rPr>
        <w:t xml:space="preserve">במהלך אותם דיונים בית המשפט קמא העלה </w:t>
      </w:r>
      <w:r>
        <w:rPr>
          <w:rtl w:val="true"/>
        </w:rPr>
        <w:t>"</w:t>
      </w:r>
      <w:r>
        <w:rPr>
          <w:rtl w:val="true"/>
        </w:rPr>
        <w:t>תהיות וקשיים</w:t>
      </w:r>
      <w:r>
        <w:rPr>
          <w:rtl w:val="true"/>
        </w:rPr>
        <w:t xml:space="preserve">" </w:t>
      </w:r>
      <w:r>
        <w:rPr>
          <w:rtl w:val="true"/>
        </w:rPr>
        <w:t>בנוגע לראיות ו</w:t>
      </w:r>
      <w:r>
        <w:rPr>
          <w:rtl w:val="true"/>
        </w:rPr>
        <w:t>"</w:t>
      </w:r>
      <w:r>
        <w:rPr>
          <w:rtl w:val="true"/>
        </w:rPr>
        <w:t>נשמעו הצעות לסיום ההליך בדרכים שונות ובמנעד רחב של אפשרויות</w:t>
      </w:r>
      <w:r>
        <w:rPr>
          <w:rtl w:val="true"/>
        </w:rPr>
        <w:t xml:space="preserve">", </w:t>
      </w:r>
      <w:r>
        <w:rPr>
          <w:rtl w:val="true"/>
        </w:rPr>
        <w:t>אך בית המשפט סייג עצמו בנוגע לגמירות דעתו והבהיר כי אל למערער להסתמך על כך</w:t>
      </w:r>
      <w:r>
        <w:rPr>
          <w:rtl w:val="true"/>
        </w:rPr>
        <w:t xml:space="preserve">. </w:t>
      </w:r>
      <w:r>
        <w:rPr>
          <w:rtl w:val="true"/>
        </w:rPr>
        <w:t>המשיבה מדגישה כי בית המשפט המחוזי נדרש לדיונים אלה וקבע כי זכויותיו של המערער לא נפגעו בעקבותיהם</w:t>
      </w:r>
      <w:r>
        <w:rPr>
          <w:rtl w:val="true"/>
        </w:rPr>
        <w:t xml:space="preserve">. </w:t>
      </w:r>
      <w:r>
        <w:rPr>
          <w:rtl w:val="true"/>
        </w:rPr>
        <w:t xml:space="preserve">עוד טוענת המשיבה כי אין ממש בטענה שהמותב נמנע מגילוי נאות בעניין קשריו עם חברת </w:t>
      </w:r>
      <w:r>
        <w:rPr>
          <w:rtl w:val="true"/>
        </w:rPr>
        <w:t>"</w:t>
      </w:r>
      <w:r>
        <w:rPr>
          <w:rtl w:val="true"/>
        </w:rPr>
        <w:t>רמי לוי</w:t>
      </w:r>
      <w:r>
        <w:rPr>
          <w:rtl w:val="true"/>
        </w:rPr>
        <w:t xml:space="preserve">" </w:t>
      </w:r>
      <w:r>
        <w:rPr>
          <w:rtl w:val="true"/>
        </w:rPr>
        <w:t>או כי יש לו עניין אישי ממשי המצדיק את פסילתו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קבלת רשות</w:t>
      </w:r>
      <w:r>
        <w:rPr>
          <w:rtl w:val="true"/>
        </w:rPr>
        <w:t xml:space="preserve">, </w:t>
      </w:r>
      <w:r>
        <w:rPr>
          <w:rtl w:val="true"/>
        </w:rPr>
        <w:t xml:space="preserve">השיב המערער לתגובת המשיבה ביום </w:t>
      </w:r>
      <w:r>
        <w:rPr/>
        <w:t>5.5.2021</w:t>
      </w:r>
      <w:r>
        <w:rPr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לא דבק שיהוי בבקשת הפסלות שכן היא מושתתת על ה</w:t>
      </w:r>
      <w:r>
        <w:rPr>
          <w:rtl w:val="true"/>
        </w:rPr>
        <w:t>"</w:t>
      </w:r>
      <w:r>
        <w:rPr>
          <w:rtl w:val="true"/>
        </w:rPr>
        <w:t>היפוך הקיצוני</w:t>
      </w:r>
      <w:r>
        <w:rPr>
          <w:rtl w:val="true"/>
        </w:rPr>
        <w:t xml:space="preserve">" </w:t>
      </w:r>
      <w:r>
        <w:rPr>
          <w:rtl w:val="true"/>
        </w:rPr>
        <w:t xml:space="preserve">בין הדברים שאמר המותב בשלושת הדיונים ובין הדברים שקבע בפסק דינו </w:t>
      </w:r>
      <w:r>
        <w:rPr>
          <w:rtl w:val="true"/>
        </w:rPr>
        <w:t>–</w:t>
      </w:r>
      <w:r>
        <w:rPr>
          <w:rtl w:val="true"/>
        </w:rPr>
        <w:t xml:space="preserve"> והמערער מדגיש כי הוא טען טענה זו מיד לאחר שההליך הוחזר לבית המשפט קמא</w:t>
      </w:r>
      <w:r>
        <w:rPr>
          <w:rtl w:val="true"/>
        </w:rPr>
        <w:t xml:space="preserve">. </w:t>
      </w:r>
      <w:r>
        <w:rPr>
          <w:rtl w:val="true"/>
        </w:rPr>
        <w:t>עוד לפי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העובדה שהמותב ביקש חוות דעת מטעם הממונה על עבודות שירות מיוזמתו אך בסמוך לאחר מכן גזר על המערער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מהווה אף היא פגיעה במראית פני הצדק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לצד תשובתו לתגובת המשיבה</w:t>
      </w:r>
      <w:r>
        <w:rPr>
          <w:rtl w:val="true"/>
        </w:rPr>
        <w:t xml:space="preserve">, </w:t>
      </w:r>
      <w:r>
        <w:rPr>
          <w:rtl w:val="true"/>
        </w:rPr>
        <w:t>ביקש המערער את עיכוב ההליך בפני 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ונעתרתי לבקשה זו בהחלטתי מיום </w:t>
      </w:r>
      <w:r>
        <w:rPr/>
        <w:t>6.5.2021</w:t>
      </w:r>
      <w:r>
        <w:rPr>
          <w:rtl w:val="true"/>
        </w:rPr>
        <w:t xml:space="preserve">.   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בטענות הצדדים באתי לידי מסקנה כי דין הערעור להתקבל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 xml:space="preserve">בצדק קבעו המותב ובית המשפט המחוזי כי אין לאפשר את הגשת תמלול דיון שהוקלט ללא רשותו של בית המשפט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9055/18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ליולקו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13.1.2019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ליולקו</w:t>
      </w:r>
      <w:r>
        <w:rPr>
          <w:rtl w:val="true"/>
        </w:rPr>
        <w:t xml:space="preserve">)). </w:t>
      </w:r>
      <w:r>
        <w:rPr>
          <w:rtl w:val="true"/>
        </w:rPr>
        <w:t>מאותו הטעם ראוי היה שלא לצרפו לערעור ולפיכך</w:t>
      </w:r>
      <w:r>
        <w:rPr>
          <w:rtl w:val="true"/>
        </w:rPr>
        <w:t xml:space="preserve">, </w:t>
      </w:r>
      <w:r>
        <w:rPr>
          <w:rtl w:val="true"/>
        </w:rPr>
        <w:t>אין בכוונתי להידרש אליו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אף לא מצאתי ממש בטענות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אשר הועלו בעלמא וללא ביסוס בדבר ניגוד עניינים או עניין אישי של המותב בשל קשריו הנטענים עם בכירים בחברת </w:t>
      </w:r>
      <w:r>
        <w:rPr>
          <w:rtl w:val="true"/>
        </w:rPr>
        <w:t>"</w:t>
      </w:r>
      <w:r>
        <w:rPr>
          <w:rtl w:val="true"/>
        </w:rPr>
        <w:t>רמי לוי</w:t>
      </w:r>
      <w:r>
        <w:rPr>
          <w:rtl w:val="true"/>
        </w:rPr>
        <w:t xml:space="preserve">". </w:t>
      </w:r>
      <w:r>
        <w:rPr>
          <w:rtl w:val="true"/>
        </w:rPr>
        <w:t>ממילא לא הובהר מדוע קשרים נטענים אלו של המותב משליכים על ההליך דנן</w:t>
      </w:r>
      <w:r>
        <w:rPr>
          <w:rtl w:val="true"/>
        </w:rPr>
        <w:t xml:space="preserve">, </w:t>
      </w:r>
      <w:r>
        <w:rPr>
          <w:rtl w:val="true"/>
        </w:rPr>
        <w:t>שאין לו כל קשר לחברת רמי לוי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אין מחלוקת כי לאחר הגשת סיכומי הצדדים התקיימו שלושה דיונים שאותם הגדיר המותב בדיעבד כישיבות </w:t>
      </w:r>
      <w:r>
        <w:rPr>
          <w:rtl w:val="true"/>
        </w:rPr>
        <w:t>"</w:t>
      </w:r>
      <w:r>
        <w:rPr>
          <w:rtl w:val="true"/>
        </w:rPr>
        <w:t>גישור</w:t>
      </w:r>
      <w:r>
        <w:rPr>
          <w:rtl w:val="true"/>
        </w:rPr>
        <w:t xml:space="preserve">", </w:t>
      </w:r>
      <w:r>
        <w:rPr>
          <w:rtl w:val="true"/>
        </w:rPr>
        <w:t>ובהם הוצעו הצעות מצד המותב לסיום ההליך בהסדר טיעון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מפרוטוקול הדיון השני עולה כי המותב עמד על קשיים ראייתיים שמצא בטענות המשיבה והציע הצעה להסדר טיעון</w:t>
      </w:r>
      <w:r>
        <w:rPr>
          <w:rtl w:val="true"/>
        </w:rPr>
        <w:t xml:space="preserve">. </w:t>
      </w:r>
      <w:r>
        <w:rPr>
          <w:rtl w:val="true"/>
        </w:rPr>
        <w:t>זאת ניתן להבין מדברי ב</w:t>
      </w:r>
      <w:r>
        <w:rPr>
          <w:rtl w:val="true"/>
        </w:rPr>
        <w:t>"</w:t>
      </w:r>
      <w:r>
        <w:rPr>
          <w:rtl w:val="true"/>
        </w:rPr>
        <w:t xml:space="preserve">כ המשיבה המתועדים בפרוטוקול ולפיהם </w:t>
      </w:r>
      <w:r>
        <w:rPr>
          <w:rtl w:val="true"/>
        </w:rPr>
        <w:t>"</w:t>
      </w:r>
      <w:r>
        <w:rPr>
          <w:rtl w:val="true"/>
        </w:rPr>
        <w:t xml:space="preserve">אעביר לממונה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הצביע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456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שורות </w:t>
      </w:r>
      <w:r>
        <w:rPr>
          <w:rFonts w:cs="Century" w:ascii="Century" w:hAnsi="Century"/>
          <w:sz w:val="22"/>
        </w:rPr>
        <w:t>5-3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לפרוטוקול הדיון מיום </w:t>
      </w:r>
      <w:r>
        <w:rPr>
          <w:rFonts w:cs="Century" w:ascii="Century" w:hAnsi="Century"/>
          <w:sz w:val="22"/>
        </w:rPr>
        <w:t>25.3.2018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עוד פורט בפרוטוקול אותו הדיון מפי ב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כ הצדדים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שמענו את הצעת בית המשפט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שורה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ובהחלטה שניתנה בסיום הדיון ציין המותב 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 הצדדים מתבקשים לשקול היטב את הצעת בית המשפט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יתר 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המשיבה בתגובתה לערעור אינה מכחישה </w:t>
      </w:r>
      <w:r>
        <w:rPr>
          <w:rtl w:val="true"/>
        </w:rPr>
        <w:t xml:space="preserve">כי בשלושת הדיונים המותב העלה תהיות וקשיים בנוגע לראיות וכי </w:t>
      </w:r>
      <w:r>
        <w:rPr>
          <w:rtl w:val="true"/>
        </w:rPr>
        <w:t>"</w:t>
      </w:r>
      <w:r>
        <w:rPr>
          <w:rtl w:val="true"/>
        </w:rPr>
        <w:t xml:space="preserve">נשמעו הצעות לסיום ההליך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בדרכים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ובמנעד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אפשרויות</w:t>
      </w:r>
      <w:r>
        <w:rPr>
          <w:rtl w:val="true"/>
        </w:rPr>
        <w:t xml:space="preserve">", </w:t>
      </w:r>
      <w:r>
        <w:rPr>
          <w:rtl w:val="true"/>
        </w:rPr>
        <w:t xml:space="preserve">אך לטענתה בית המשפט </w:t>
      </w:r>
      <w:r>
        <w:rPr>
          <w:rtl w:val="true"/>
        </w:rPr>
        <w:t>"</w:t>
      </w:r>
      <w:r>
        <w:rPr>
          <w:rtl w:val="true"/>
        </w:rPr>
        <w:t xml:space="preserve">סייג עצמו </w:t>
      </w:r>
      <w:r>
        <w:rPr>
          <w:rtl w:val="true"/>
        </w:rPr>
        <w:t xml:space="preserve">[...] </w:t>
      </w:r>
      <w:r>
        <w:rPr>
          <w:rtl w:val="true"/>
        </w:rPr>
        <w:t>באשר לגמירות דעתו ובאשר לאפשרות ההסתמכות והציפייה מצד המערער</w:t>
      </w:r>
      <w:r>
        <w:rPr>
          <w:rtl w:val="true"/>
        </w:rPr>
        <w:t xml:space="preserve">". </w:t>
      </w:r>
      <w:r>
        <w:rPr>
          <w:rtl w:val="true"/>
        </w:rPr>
        <w:t>עוד יוזכר כי גם בתגובתה לבקשת הפסלות טענה ב</w:t>
      </w:r>
      <w:r>
        <w:rPr>
          <w:rtl w:val="true"/>
        </w:rPr>
        <w:t>"</w:t>
      </w:r>
      <w:r>
        <w:rPr>
          <w:rtl w:val="true"/>
        </w:rPr>
        <w:t xml:space="preserve">כ המשיבה כי </w:t>
      </w:r>
      <w:r>
        <w:rPr>
          <w:rtl w:val="true"/>
        </w:rPr>
        <w:t>"</w:t>
      </w:r>
      <w:r>
        <w:rPr>
          <w:rtl w:val="true"/>
        </w:rPr>
        <w:t>בית המשפט הביע עמדות עונשיות שונות במהלך שלושת הדיונים במטרה להגיע לאיזשהו הסדר טיעון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507</w:t>
      </w:r>
      <w:r>
        <w:rPr>
          <w:rtl w:val="true"/>
        </w:rPr>
        <w:t xml:space="preserve"> </w:t>
      </w:r>
      <w:r>
        <w:rPr>
          <w:rtl w:val="true"/>
        </w:rPr>
        <w:t xml:space="preserve">שורה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הדיון מיום </w:t>
      </w:r>
      <w:r>
        <w:rPr/>
        <w:t>21.2.2021</w:t>
      </w:r>
      <w:r>
        <w:rPr>
          <w:rtl w:val="true"/>
        </w:rPr>
        <w:t xml:space="preserve">).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בעבר נפסק כי ככל שמוגשת בקשת פסלות על בסיס התבטאויות המיוחסות למותב</w:t>
      </w:r>
      <w:r>
        <w:rPr>
          <w:rtl w:val="true"/>
        </w:rPr>
        <w:t xml:space="preserve">, </w:t>
      </w:r>
      <w:r>
        <w:rPr>
          <w:rtl w:val="true"/>
        </w:rPr>
        <w:t>ראוי שהמותב יבהיר מה בדיוק נאמר על</w:t>
      </w:r>
      <w:r>
        <w:rPr>
          <w:rtl w:val="true"/>
        </w:rPr>
        <w:t>-</w:t>
      </w:r>
      <w:r>
        <w:rPr>
          <w:rtl w:val="true"/>
        </w:rPr>
        <w:t>ידו ובאיזה הקשר נאמרו הדברים</w:t>
      </w:r>
      <w:r>
        <w:rPr>
          <w:rtl w:val="true"/>
        </w:rPr>
        <w:t xml:space="preserve">, </w:t>
      </w:r>
      <w:r>
        <w:rPr>
          <w:rtl w:val="true"/>
        </w:rPr>
        <w:t xml:space="preserve">ככל שנאמרו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8916/20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21.2.2021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1020/21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24.2.2021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אף שכאמור שאין מחלוקת כי לאחר הגשת הסיכומים הוצעו הצעות שונות להסדר טיעון מצד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ואף שעובדה זו עומדת בלב טענותיו של המערער </w:t>
      </w:r>
      <w:r>
        <w:rPr>
          <w:rtl w:val="true"/>
        </w:rPr>
        <w:t>–</w:t>
      </w:r>
      <w:r>
        <w:rPr>
          <w:rtl w:val="true"/>
        </w:rPr>
        <w:t xml:space="preserve"> נמנע המותב מלהבהיר האם האמירות שמייחס לו המערער נאמרו</w:t>
      </w:r>
      <w:r>
        <w:rPr>
          <w:rtl w:val="true"/>
        </w:rPr>
        <w:t xml:space="preserve">, </w:t>
      </w:r>
      <w:r>
        <w:rPr>
          <w:rtl w:val="true"/>
        </w:rPr>
        <w:t>אם לאו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שהודתה כי הוצעו הצעות שונות</w:t>
      </w:r>
      <w:r>
        <w:rPr>
          <w:rtl w:val="true"/>
        </w:rPr>
        <w:t xml:space="preserve">, </w:t>
      </w:r>
      <w:r>
        <w:rPr>
          <w:rtl w:val="true"/>
        </w:rPr>
        <w:t>נמנעה אף היא מלהתייחס לתוכנן</w:t>
      </w:r>
      <w:r>
        <w:rPr>
          <w:rtl w:val="true"/>
        </w:rPr>
        <w:t xml:space="preserve">, </w:t>
      </w:r>
      <w:r>
        <w:rPr>
          <w:rtl w:val="true"/>
        </w:rPr>
        <w:t>וטענה כי הובהר למערער שאין מקום להסתמך עליהן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: </w:t>
      </w:r>
      <w:r>
        <w:rPr>
          <w:rtl w:val="true"/>
        </w:rPr>
        <w:t>הערות בית המשפט קמא וההצעות שהציע להסדר טיעון אינן מופיעות בפרוטוקול הדיונים</w:t>
      </w:r>
      <w:r>
        <w:rPr>
          <w:rtl w:val="true"/>
        </w:rPr>
        <w:t xml:space="preserve">, </w:t>
      </w:r>
      <w:r>
        <w:rPr>
          <w:rtl w:val="true"/>
        </w:rPr>
        <w:t>הגם שאין מדובר בדיון שהוסכם כי יתנהל מחוץ לפרוטוקול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פסול בכך שבית המשפט יביע</w:t>
      </w:r>
      <w:r>
        <w:rPr>
          <w:rtl w:val="true"/>
        </w:rPr>
        <w:t xml:space="preserve">, </w:t>
      </w:r>
      <w:r>
        <w:rPr>
          <w:rtl w:val="true"/>
        </w:rPr>
        <w:t>במשנה זהירות</w:t>
      </w:r>
      <w:r>
        <w:rPr>
          <w:rtl w:val="true"/>
        </w:rPr>
        <w:t xml:space="preserve">, </w:t>
      </w:r>
      <w:r>
        <w:rPr>
          <w:rtl w:val="true"/>
        </w:rPr>
        <w:t>את דעתו הלכאורית על הראיות בהליך פלילי</w:t>
      </w:r>
      <w:r>
        <w:rPr>
          <w:rtl w:val="true"/>
        </w:rPr>
        <w:t xml:space="preserve">, </w:t>
      </w:r>
      <w:r>
        <w:rPr>
          <w:rtl w:val="true"/>
        </w:rPr>
        <w:t>וניסיון מצד בית המשפט למקד את הצדדים בעניינים השנויים במחלוקת או להעלות הצעה כללית לצדדים לקראת הידברות מתוכננת ביניהם</w:t>
      </w:r>
      <w:r>
        <w:rPr>
          <w:rtl w:val="true"/>
        </w:rPr>
        <w:t xml:space="preserve">, </w:t>
      </w:r>
      <w:r>
        <w:rPr>
          <w:rtl w:val="true"/>
        </w:rPr>
        <w:t xml:space="preserve">לא יובילו בהכרח לפסילת המותב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205/21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(</w:t>
      </w:r>
      <w:r>
        <w:rPr/>
        <w:t>22.2.2021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8544/17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7.11.2017</w:t>
      </w:r>
      <w:r>
        <w:rPr>
          <w:rtl w:val="true"/>
        </w:rPr>
        <w:t xml:space="preserve">); </w:t>
      </w:r>
      <w:hyperlink r:id="rId26"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אשקר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ישראל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5.5.2019</w:t>
      </w:r>
      <w:r>
        <w:rPr>
          <w:rtl w:val="true"/>
        </w:rPr>
        <w:t xml:space="preserve">)).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על בית המשפט הדן בהליך העיקרי להימנע מליטול על עצמו תפקיד בגיבושם של הסדרי טיעון</w:t>
      </w:r>
      <w:r>
        <w:rPr>
          <w:rtl w:val="true"/>
        </w:rPr>
        <w:t xml:space="preserve">, </w:t>
      </w:r>
      <w:r>
        <w:rPr>
          <w:rtl w:val="true"/>
        </w:rPr>
        <w:t>ואין מקום שבית המשפט יתערב במשא</w:t>
      </w:r>
      <w:r>
        <w:rPr>
          <w:rtl w:val="true"/>
        </w:rPr>
        <w:t>-</w:t>
      </w:r>
      <w:r>
        <w:rPr>
          <w:rtl w:val="true"/>
        </w:rPr>
        <w:t>ומתן בין הצדדים ויאיץ בהם להגיע להסדר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מחשש לפגיעה במעמדו הניטרלי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7096/05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ניזרי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גרוניס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28.9.2008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ניזרי</w:t>
      </w:r>
      <w:r>
        <w:rPr>
          <w:rtl w:val="true"/>
        </w:rPr>
        <w:t xml:space="preserve">)). </w:t>
      </w:r>
      <w:r>
        <w:rPr>
          <w:rtl w:val="true"/>
        </w:rPr>
        <w:t xml:space="preserve">עוד הודגש כי </w:t>
      </w:r>
      <w:r>
        <w:rPr>
          <w:rtl w:val="true"/>
        </w:rPr>
        <w:t>"</w:t>
      </w:r>
      <w:r>
        <w:rPr>
          <w:rtl w:val="true"/>
        </w:rPr>
        <w:t xml:space="preserve">לא ניתן להשלים עם אמירות והתבטאויות מצד השופטים אשר הצדדים עשויים לפרש אותן </w:t>
      </w:r>
      <w:r>
        <w:rPr>
          <w:rtl w:val="true"/>
        </w:rPr>
        <w:t xml:space="preserve">[...] </w:t>
      </w:r>
      <w:r>
        <w:rPr>
          <w:rtl w:val="true"/>
        </w:rPr>
        <w:t>כהבעת עמדה לעניין פרטי ההסדר הראויים</w:t>
      </w:r>
      <w:r>
        <w:rPr>
          <w:rtl w:val="true"/>
        </w:rPr>
        <w:t>" (</w:t>
      </w:r>
      <w:r>
        <w:rPr>
          <w:rtl w:val="true"/>
        </w:rPr>
        <w:t xml:space="preserve">ראו חוות דעתי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ניזרי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קיים בית המשפט ערב מתן הכרעת הדין על ידו שלוש ישיבות שהוא עצמו הגדירן כישיבות </w:t>
      </w:r>
      <w:r>
        <w:rPr>
          <w:rtl w:val="true"/>
        </w:rPr>
        <w:t>"</w:t>
      </w:r>
      <w:r>
        <w:rPr>
          <w:rtl w:val="true"/>
        </w:rPr>
        <w:t>גישור</w:t>
      </w:r>
      <w:r>
        <w:rPr>
          <w:rtl w:val="true"/>
        </w:rPr>
        <w:t xml:space="preserve">" </w:t>
      </w:r>
      <w:r>
        <w:rPr>
          <w:rtl w:val="true"/>
        </w:rPr>
        <w:t>ובכך שגה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כמותב ששמע את ההליך העיקרי היה עליו להימנע מליטול על עצמו את תפקיד השופט המגשר</w:t>
      </w:r>
      <w:r>
        <w:rPr>
          <w:rtl w:val="true"/>
        </w:rPr>
        <w:t xml:space="preserve">. </w:t>
      </w:r>
      <w:r>
        <w:rPr>
          <w:rtl w:val="true"/>
        </w:rPr>
        <w:t>משנטל על עצמו תפקיד זה</w:t>
      </w:r>
      <w:r>
        <w:rPr>
          <w:rtl w:val="true"/>
        </w:rPr>
        <w:t xml:space="preserve">, </w:t>
      </w:r>
      <w:r>
        <w:rPr>
          <w:rtl w:val="true"/>
        </w:rPr>
        <w:t xml:space="preserve">ובמהלך אותן ישיבות הציע לצדדים הצעות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קונקרטיות</w:t>
      </w:r>
      <w:r>
        <w:rPr>
          <w:rtl w:val="true"/>
        </w:rPr>
        <w:t xml:space="preserve"> להסדר טיעון </w:t>
      </w:r>
      <w:r>
        <w:rPr>
          <w:rtl w:val="true"/>
        </w:rPr>
        <w:t>–</w:t>
      </w:r>
      <w:r>
        <w:rPr>
          <w:rtl w:val="true"/>
        </w:rPr>
        <w:t xml:space="preserve"> שעל תוכנן לא ניתן להתחקות בוודאות משלא קיבלו ביטוי בפרוטוקול </w:t>
      </w:r>
      <w:r>
        <w:rPr>
          <w:rtl w:val="true"/>
        </w:rPr>
        <w:t>–</w:t>
      </w:r>
      <w:r>
        <w:rPr>
          <w:rtl w:val="true"/>
        </w:rPr>
        <w:t xml:space="preserve"> ואף האיץ בצדדים להסכים להן תוך הבעת דעה באשר לטיב הראיות שהוצגו</w:t>
      </w:r>
      <w:r>
        <w:rPr>
          <w:rtl w:val="true"/>
        </w:rPr>
        <w:t xml:space="preserve">, </w:t>
      </w:r>
      <w:r>
        <w:rPr>
          <w:rtl w:val="true"/>
        </w:rPr>
        <w:t>דומה כי אין מנוס מטעמים של מראית פני הצדק שמותב אחר ימשיך לדון בעניינו של המערער לאחר החזרת התיק לערכאה קמא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מתקבל</w:t>
      </w:r>
      <w:r>
        <w:rPr>
          <w:rtl w:val="true"/>
        </w:rPr>
        <w:t xml:space="preserve">.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15265-03-11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הזיכוי</w:t>
      </w:r>
      <w:r>
        <w:rPr>
          <w:rtl w:val="true"/>
        </w:rPr>
        <w:t xml:space="preserve">, </w:t>
      </w:r>
      <w:r>
        <w:rPr>
          <w:rtl w:val="true"/>
        </w:rPr>
        <w:t>יתקיים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    </w:t>
      </w:r>
    </w:p>
    <w:p>
      <w:pPr>
        <w:pStyle w:val="Ruller4"/>
        <w:ind w:end="0"/>
        <w:jc w:val="both"/>
        <w:rPr/>
      </w:pPr>
      <w:bookmarkStart w:id="16" w:name="Nitan"/>
      <w:r>
        <w:rPr>
          <w:rFonts w:eastAsia="Garamond" w:cs="Garamond" w:ascii="Garamond" w:hAnsi="Garamond"/>
          <w:sz w:val="24"/>
          <w:rtl w:val="true"/>
        </w:rPr>
        <w:t xml:space="preserve">  </w:t>
      </w:r>
      <w:r>
        <w:rPr>
          <w:rFonts w:ascii="Garamond" w:hAnsi="Garamond" w:cs="Garamond"/>
          <w:sz w:val="24"/>
          <w:sz w:val="24"/>
          <w:rtl w:val="true"/>
        </w:rPr>
        <w:t>ניתן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היום</w:t>
      </w:r>
      <w:r>
        <w:rPr>
          <w:rFonts w:cs="Garamond" w:ascii="Garamond" w:hAnsi="Garamond"/>
          <w:sz w:val="24"/>
          <w:rtl w:val="true"/>
        </w:rPr>
        <w:t>, ‏</w:t>
      </w:r>
      <w:r>
        <w:rPr>
          <w:rFonts w:ascii="Garamond" w:hAnsi="Garamond" w:cs="Garamond"/>
          <w:sz w:val="24"/>
          <w:sz w:val="24"/>
          <w:rtl w:val="true"/>
        </w:rPr>
        <w:t>ז</w:t>
      </w:r>
      <w:r>
        <w:rPr>
          <w:rFonts w:cs="Garamond" w:ascii="Garamond" w:hAnsi="Garamond"/>
          <w:sz w:val="24"/>
          <w:rtl w:val="true"/>
        </w:rPr>
        <w:t xml:space="preserve">' </w:t>
      </w:r>
      <w:r>
        <w:rPr>
          <w:rFonts w:ascii="Garamond" w:hAnsi="Garamond" w:cs="Garamond"/>
          <w:sz w:val="24"/>
          <w:sz w:val="24"/>
          <w:rtl w:val="true"/>
        </w:rPr>
        <w:t>בסיון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התשפ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א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cs="Garamond" w:ascii="Garamond" w:hAnsi="Garamond"/>
          <w:sz w:val="24"/>
          <w:rtl w:val="true"/>
        </w:rPr>
        <w:t>(‏</w:t>
      </w:r>
      <w:r>
        <w:rPr>
          <w:rFonts w:cs="Garamond" w:ascii="Garamond" w:hAnsi="Garamond"/>
          <w:sz w:val="24"/>
        </w:rPr>
        <w:t>18.5.2021</w:t>
      </w:r>
      <w:r>
        <w:rPr>
          <w:rFonts w:cs="Garamond" w:ascii="Garamond" w:hAnsi="Garamond"/>
          <w:sz w:val="24"/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21022020</w:t>
      </w:r>
      <w:r>
        <w:rPr>
          <w:sz w:val="16"/>
          <w:rtl w:val="true"/>
        </w:rPr>
        <w:t>_</w:t>
      </w:r>
      <w:r>
        <w:rPr>
          <w:sz w:val="16"/>
        </w:rPr>
        <w:t>V04.docx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רי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ה 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חיות </w:t>
      </w:r>
      <w:r>
        <w:rPr>
          <w:rFonts w:cs="David" w:ascii="David" w:hAnsi="David"/>
          <w:color w:val="000000"/>
          <w:szCs w:val="22"/>
        </w:rPr>
        <w:t>54678313-2202/21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2202/21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דקל בן לולו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bidi="he-IL"/>
    </w:rPr>
  </w:style>
  <w:style w:type="character" w:styleId="WW8Num12z0">
    <w:name w:val="WW8Num12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538371" TargetMode="External"/><Relationship Id="rId3" Type="http://schemas.openxmlformats.org/officeDocument/2006/relationships/hyperlink" Target="http://www.nevo.co.il/law/72813" TargetMode="External"/><Relationship Id="rId4" Type="http://schemas.openxmlformats.org/officeDocument/2006/relationships/hyperlink" Target="http://www.nevo.co.il/law/72769" TargetMode="External"/><Relationship Id="rId5" Type="http://schemas.openxmlformats.org/officeDocument/2006/relationships/hyperlink" Target="http://www.nevo.co.il/law/74903" TargetMode="External"/><Relationship Id="rId6" Type="http://schemas.openxmlformats.org/officeDocument/2006/relationships/hyperlink" Target="http://www.nevo.co.il/law/74903/139" TargetMode="External"/><Relationship Id="rId7" Type="http://schemas.openxmlformats.org/officeDocument/2006/relationships/hyperlink" Target="http://www.nevo.co.il/law/74903/167" TargetMode="External"/><Relationship Id="rId8" Type="http://schemas.openxmlformats.org/officeDocument/2006/relationships/hyperlink" Target="http://www.nevo.co.il/law/74849" TargetMode="External"/><Relationship Id="rId9" Type="http://schemas.openxmlformats.org/officeDocument/2006/relationships/hyperlink" Target="http://www.nevo.co.il/law/74849/68b" TargetMode="External"/><Relationship Id="rId10" Type="http://schemas.openxmlformats.org/officeDocument/2006/relationships/hyperlink" Target="http://www.nevo.co.il/case/3538371" TargetMode="External"/><Relationship Id="rId11" Type="http://schemas.openxmlformats.org/officeDocument/2006/relationships/hyperlink" Target="http://www.nevo.co.il/law/72813" TargetMode="External"/><Relationship Id="rId12" Type="http://schemas.openxmlformats.org/officeDocument/2006/relationships/hyperlink" Target="http://www.nevo.co.il/law/72769" TargetMode="External"/><Relationship Id="rId13" Type="http://schemas.openxmlformats.org/officeDocument/2006/relationships/hyperlink" Target="http://www.nevo.co.il/law/74903/167" TargetMode="External"/><Relationship Id="rId14" Type="http://schemas.openxmlformats.org/officeDocument/2006/relationships/hyperlink" Target="http://www.nevo.co.il/law/74903" TargetMode="External"/><Relationship Id="rId15" Type="http://schemas.openxmlformats.org/officeDocument/2006/relationships/hyperlink" Target="http://www.nevo.co.il/case/26340080" TargetMode="External"/><Relationship Id="rId16" Type="http://schemas.openxmlformats.org/officeDocument/2006/relationships/hyperlink" Target="http://www.nevo.co.il/case/26340080" TargetMode="External"/><Relationship Id="rId17" Type="http://schemas.openxmlformats.org/officeDocument/2006/relationships/hyperlink" Target="http://www.nevo.co.il/law/74903/139" TargetMode="External"/><Relationship Id="rId18" Type="http://schemas.openxmlformats.org/officeDocument/2006/relationships/hyperlink" Target="http://www.nevo.co.il/law/74903" TargetMode="External"/><Relationship Id="rId19" Type="http://schemas.openxmlformats.org/officeDocument/2006/relationships/hyperlink" Target="http://www.nevo.co.il/law/74849/68b" TargetMode="External"/><Relationship Id="rId20" Type="http://schemas.openxmlformats.org/officeDocument/2006/relationships/hyperlink" Target="http://www.nevo.co.il/law/74849" TargetMode="External"/><Relationship Id="rId21" Type="http://schemas.openxmlformats.org/officeDocument/2006/relationships/hyperlink" Target="http://www.nevo.co.il/case/25254065" TargetMode="External"/><Relationship Id="rId22" Type="http://schemas.openxmlformats.org/officeDocument/2006/relationships/hyperlink" Target="http://www.nevo.co.il/case/27256351" TargetMode="External"/><Relationship Id="rId23" Type="http://schemas.openxmlformats.org/officeDocument/2006/relationships/hyperlink" Target="http://www.nevo.co.il/case/27400827" TargetMode="External"/><Relationship Id="rId24" Type="http://schemas.openxmlformats.org/officeDocument/2006/relationships/hyperlink" Target="http://www.nevo.co.il/case/27316563" TargetMode="External"/><Relationship Id="rId25" Type="http://schemas.openxmlformats.org/officeDocument/2006/relationships/hyperlink" Target="http://www.nevo.co.il/case/23353996" TargetMode="External"/><Relationship Id="rId26" Type="http://schemas.openxmlformats.org/officeDocument/2006/relationships/hyperlink" Target="http://www.nevo.co.il/case/25647405" TargetMode="External"/><Relationship Id="rId27" Type="http://schemas.openxmlformats.org/officeDocument/2006/relationships/hyperlink" Target="http://www.nevo.co.il/case/6079220" TargetMode="External"/><Relationship Id="rId28" Type="http://schemas.openxmlformats.org/officeDocument/2006/relationships/hyperlink" Target="http://www.nevo.co.il/case/3538371" TargetMode="External"/><Relationship Id="rId29" Type="http://schemas.openxmlformats.org/officeDocument/2006/relationships/hyperlink" Target="https://supreme.court.gov.il/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2021-05-19T10:02:00Z</dcterms:created>
  <dc:creator>h4</dc:creator>
  <dc:description/>
  <cp:keywords/>
  <dc:language>en-IL</dc:language>
  <cp:lastModifiedBy>orly</cp:lastModifiedBy>
  <cp:lastPrinted>2021-05-18T10:31:00Z</cp:lastPrinted>
  <dcterms:modified xsi:type="dcterms:W3CDTF">2021-05-19T10:02:00Z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דקל בן לולו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3538371:3;26340080:2;25254065;27256351;27400827;27316563;23353996;25647405;6079220</vt:lpwstr>
  </property>
  <property fmtid="{D5CDD505-2E9C-101B-9397-08002B2CF9AE}" pid="9" name="CITY">
    <vt:lpwstr/>
  </property>
  <property fmtid="{D5CDD505-2E9C-101B-9397-08002B2CF9AE}" pid="10" name="DATE">
    <vt:lpwstr>20210518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</vt:lpwstr>
  </property>
  <property fmtid="{D5CDD505-2E9C-101B-9397-08002B2CF9AE}" pid="14" name="LAWLISTTMP1">
    <vt:lpwstr>72813</vt:lpwstr>
  </property>
  <property fmtid="{D5CDD505-2E9C-101B-9397-08002B2CF9AE}" pid="15" name="LAWLISTTMP2">
    <vt:lpwstr>72769</vt:lpwstr>
  </property>
  <property fmtid="{D5CDD505-2E9C-101B-9397-08002B2CF9AE}" pid="16" name="LAWLISTTMP3">
    <vt:lpwstr>74903/167;139</vt:lpwstr>
  </property>
  <property fmtid="{D5CDD505-2E9C-101B-9397-08002B2CF9AE}" pid="17" name="LAWLISTTMP4">
    <vt:lpwstr>74849/068b</vt:lpwstr>
  </property>
  <property fmtid="{D5CDD505-2E9C-101B-9397-08002B2CF9AE}" pid="18" name="LAWYER">
    <vt:lpwstr>יובל קדר;שמואל קליין;עמית חדד;עדי כרמלי;נועה מילשטיין;דריה גולדין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קרן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בתי-משפט</vt:lpwstr>
  </property>
  <property fmtid="{D5CDD505-2E9C-101B-9397-08002B2CF9AE}" pid="30" name="NOSE110">
    <vt:lpwstr/>
  </property>
  <property fmtid="{D5CDD505-2E9C-101B-9397-08002B2CF9AE}" pid="31" name="NOSE12">
    <vt:lpwstr>בתי-משפט</vt:lpwstr>
  </property>
  <property fmtid="{D5CDD505-2E9C-101B-9397-08002B2CF9AE}" pid="32" name="NOSE13">
    <vt:lpwstr>דיון פלילי</vt:lpwstr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14;14;18</vt:lpwstr>
  </property>
  <property fmtid="{D5CDD505-2E9C-101B-9397-08002B2CF9AE}" pid="40" name="NOSE21">
    <vt:lpwstr>שופטים</vt:lpwstr>
  </property>
  <property fmtid="{D5CDD505-2E9C-101B-9397-08002B2CF9AE}" pid="41" name="NOSE210">
    <vt:lpwstr/>
  </property>
  <property fmtid="{D5CDD505-2E9C-101B-9397-08002B2CF9AE}" pid="42" name="NOSE22">
    <vt:lpwstr>פסלות שופט</vt:lpwstr>
  </property>
  <property fmtid="{D5CDD505-2E9C-101B-9397-08002B2CF9AE}" pid="43" name="NOSE23">
    <vt:lpwstr>הסדר טיעון</vt:lpwstr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341;336;461</vt:lpwstr>
  </property>
  <property fmtid="{D5CDD505-2E9C-101B-9397-08002B2CF9AE}" pid="51" name="NOSE31">
    <vt:lpwstr>פסילה</vt:lpwstr>
  </property>
  <property fmtid="{D5CDD505-2E9C-101B-9397-08002B2CF9AE}" pid="52" name="NOSE310">
    <vt:lpwstr/>
  </property>
  <property fmtid="{D5CDD505-2E9C-101B-9397-08002B2CF9AE}" pid="53" name="NOSE32">
    <vt:lpwstr>מראית פני הצדק</vt:lpwstr>
  </property>
  <property fmtid="{D5CDD505-2E9C-101B-9397-08002B2CF9AE}" pid="54" name="NOSE33">
    <vt:lpwstr>מעורבות בית-המשפט</vt:lpwstr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2803;16428;3610</vt:lpwstr>
  </property>
  <property fmtid="{D5CDD505-2E9C-101B-9397-08002B2CF9AE}" pid="62" name="PADIDATE">
    <vt:lpwstr>20210519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2202</vt:lpwstr>
  </property>
  <property fmtid="{D5CDD505-2E9C-101B-9397-08002B2CF9AE}" pid="68" name="PROCYEAR">
    <vt:lpwstr>21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410120210518</vt:lpwstr>
  </property>
  <property fmtid="{D5CDD505-2E9C-101B-9397-08002B2CF9AE}" pid="72" name="TYPE_N_DATE">
    <vt:lpwstr>41020210518</vt:lpwstr>
  </property>
  <property fmtid="{D5CDD505-2E9C-101B-9397-08002B2CF9AE}" pid="73" name="VOLUME">
    <vt:lpwstr/>
  </property>
  <property fmtid="{D5CDD505-2E9C-101B-9397-08002B2CF9AE}" pid="74" name="WORDNUMPAGES">
    <vt:lpwstr>11</vt:lpwstr>
  </property>
</Properties>
</file>