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2204/22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כשר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הייב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נצרת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20.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.2022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54820-01-20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שיטרית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25.7.2022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כרמון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הייב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עילית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מידן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480"/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inks_Start"/>
      <w:bookmarkEnd w:id="5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  <w:sz w:val="24"/>
        </w:rPr>
      </w:pPr>
      <w:r>
        <w:rPr>
          <w:rFonts w:ascii="FrankRuehl" w:hAnsi="FrankRuehl" w:cs="FrankRuehl"/>
          <w:color w:val="000000"/>
          <w:sz w:val="24"/>
          <w:sz w:val="24"/>
          <w:rtl w:val="true"/>
        </w:rPr>
        <w:t>יורם רבין</w:t>
      </w:r>
      <w:r>
        <w:rPr>
          <w:rFonts w:cs="FrankRuehl" w:ascii="FrankRuehl" w:hAnsi="FrankRuehl"/>
          <w:color w:val="000000"/>
          <w:sz w:val="24"/>
          <w:rtl w:val="true"/>
        </w:rPr>
        <w:t xml:space="preserve">,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יניב ואקי   </w:t>
      </w:r>
      <w:r>
        <w:rPr>
          <w:rFonts w:ascii="FrankRuehl" w:hAnsi="FrankRuehl" w:cs="FrankRuehl"/>
          <w:b/>
          <w:b/>
          <w:bCs/>
          <w:color w:val="000000"/>
          <w:sz w:val="24"/>
          <w:sz w:val="24"/>
          <w:rtl w:val="true"/>
        </w:rPr>
        <w:t xml:space="preserve">דיני עונשין 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00"/>
          <w:sz w:val="24"/>
        </w:rPr>
      </w:pPr>
      <w:r>
        <w:rPr>
          <w:rFonts w:cs="FrankRuehl" w:ascii="FrankRuehl" w:hAnsi="FrankRuehl"/>
          <w:color w:val="000000"/>
          <w:sz w:val="24"/>
          <w:rtl w:val="true"/>
        </w:rPr>
      </w:r>
      <w:bookmarkStart w:id="6" w:name="LawTable"/>
      <w:bookmarkStart w:id="7" w:name="Links_End"/>
      <w:bookmarkStart w:id="8" w:name="LawTable"/>
      <w:bookmarkStart w:id="9" w:name="Links_End"/>
      <w:bookmarkEnd w:id="8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31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66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70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71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71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72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72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72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74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76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sz w:val="24"/>
            <w:u w:val="none"/>
          </w:rPr>
          <w:t>228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5">
        <w:r>
          <w:rPr>
            <w:rStyle w:val="Hyperlink"/>
            <w:rFonts w:cs="FrankRuehl" w:ascii="FrankRuehl" w:hAnsi="FrankRuehl"/>
            <w:sz w:val="24"/>
            <w:u w:val="none"/>
          </w:rPr>
          <w:t>340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6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'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7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'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18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פקודת המסים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גביה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auto" w:line="480"/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10" w:name="LawTable_End"/>
      <w:bookmarkStart w:id="11" w:name="LawTable_End"/>
      <w:bookmarkEnd w:id="11"/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12" w:name="ABSTRACT_START"/>
      <w:bookmarkEnd w:id="12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הסוגיה העקרונית לה טענו הצדדים – מיהו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המוסמך לגזור מאסר חלף סכום ההתחייבות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מקום שבו ההתחייבות להימנע מעבירה מופרת</w:t>
      </w:r>
      <w:r>
        <w:rPr>
          <w:rFonts w:cs="Times New Roman" w:ascii="Times New Roman" w:hAnsi="Times New Roman"/>
          <w:spacing w:val="0"/>
          <w:szCs w:val="26"/>
          <w:rtl w:val="true"/>
        </w:rPr>
        <w:t>?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– </w:t>
      </w:r>
      <w:r>
        <w:rPr>
          <w:rFonts w:ascii="Times New Roman" w:hAnsi="Times New Roman" w:cs="Times New Roman"/>
          <w:spacing w:val="0"/>
          <w:szCs w:val="26"/>
          <w:rtl w:val="true"/>
        </w:rPr>
        <w:t>כלל אינה טעונה הכרעה בענייננו וניתן להותירה לעת מצוא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לא גזר על המערער מאסר חלף סכום ההתחייבות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אלא מאסר למקרה שהמערער יסרב למתן ההתחייבות – בהתאם לסמכותו מכוח סעיף </w:t>
      </w:r>
      <w:r>
        <w:rPr>
          <w:rFonts w:cs="Times New Roman" w:ascii="Times New Roman" w:hAnsi="Times New Roman"/>
          <w:spacing w:val="0"/>
          <w:szCs w:val="26"/>
        </w:rPr>
        <w:t>74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19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העונשין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>. (</w:t>
      </w:r>
      <w:r>
        <w:rPr>
          <w:rFonts w:ascii="Times New Roman" w:hAnsi="Times New Roman" w:cs="Times New Roman"/>
          <w:spacing w:val="0"/>
          <w:szCs w:val="26"/>
          <w:rtl w:val="true"/>
        </w:rPr>
        <w:t>השופט כשר מציין את עמדתו בסוגיה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בבחינת למעלה מן הצורך</w:t>
      </w:r>
      <w:r>
        <w:rPr>
          <w:rFonts w:cs="Times New Roman" w:ascii="Times New Roman" w:hAnsi="Times New Roman"/>
          <w:spacing w:val="0"/>
          <w:szCs w:val="26"/>
          <w:rtl w:val="true"/>
        </w:rPr>
        <w:t>).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התחייבות להימנע מעבירה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בתי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משפט – סמכות – קביעתה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דרכי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התחייבות להימנע מביצוע עבירה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דרכי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תנאי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פרשנות – דין – חוק העונשין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על גז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ד </w:t>
      </w:r>
      <w:r>
        <w:rPr>
          <w:rFonts w:ascii="Times New Roman" w:hAnsi="Times New Roman" w:cs="Times New Roman"/>
          <w:spacing w:val="0"/>
          <w:szCs w:val="26"/>
          <w:rtl w:val="true"/>
        </w:rPr>
        <w:t>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שבו נגזרו על המערער </w:t>
      </w:r>
      <w:r>
        <w:rPr>
          <w:rFonts w:cs="Times New Roman" w:ascii="Times New Roman" w:hAnsi="Times New Roman"/>
          <w:spacing w:val="0"/>
          <w:szCs w:val="26"/>
        </w:rPr>
        <w:t>15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לריצוי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ועונשים נלווים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בעקבות הרשעתו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פי הודעתו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בעבירות של סיוע לירי מנשק חם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וסיוע להצתה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 מופנה כלפיי שניים מרכיבי הענישה הנלווית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השגה אחת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אשר שני הצדדים </w:t>
      </w:r>
      <w:r>
        <w:rPr>
          <w:rFonts w:ascii="Times New Roman" w:hAnsi="Times New Roman" w:cs="Times New Roman"/>
          <w:spacing w:val="0"/>
          <w:szCs w:val="26"/>
          <w:rtl w:val="true"/>
        </w:rPr>
        <w:t>תמימי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דעים כי הערעור מעורר שאלה עקרונית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לגביה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בהיותה </w:t>
      </w:r>
      <w:r>
        <w:rPr>
          <w:rFonts w:ascii="Times New Roman" w:hAnsi="Times New Roman" w:cs="Times New Roman"/>
          <w:spacing w:val="0"/>
          <w:szCs w:val="26"/>
          <w:rtl w:val="true"/>
        </w:rPr>
        <w:t>נתונה במחלוקת בערכאות הדיוניות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היא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מיהו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המוסמך לגזור מאסר חלף סכום ההתחייבות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מקום שבו ה</w:t>
      </w:r>
      <w:r>
        <w:rPr>
          <w:rFonts w:ascii="Times New Roman" w:hAnsi="Times New Roman" w:cs="Times New Roman"/>
          <w:spacing w:val="0"/>
          <w:szCs w:val="26"/>
          <w:rtl w:val="true"/>
        </w:rPr>
        <w:t>התחייבות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מופרת</w:t>
      </w:r>
      <w:r>
        <w:rPr>
          <w:rFonts w:cs="Times New Roman" w:ascii="Times New Roman" w:hAnsi="Times New Roman"/>
          <w:spacing w:val="0"/>
          <w:szCs w:val="26"/>
          <w:rtl w:val="true"/>
        </w:rPr>
        <w:t>?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האם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הראשון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המטיל את ההתחייבות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כעמדת המשיבה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שמא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השני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המפעיל אותה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כעמדת ב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כ המערער מטעם הסנגוריה הציבורית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? </w:t>
      </w:r>
      <w:r>
        <w:rPr>
          <w:rFonts w:ascii="Times New Roman" w:hAnsi="Times New Roman" w:cs="Times New Roman"/>
          <w:spacing w:val="0"/>
          <w:szCs w:val="26"/>
          <w:rtl w:val="true"/>
        </w:rPr>
        <w:t>השגה נוספת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פרטנית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נוגעת להיקף ה</w:t>
      </w:r>
      <w:r>
        <w:rPr>
          <w:rFonts w:ascii="Times New Roman" w:hAnsi="Times New Roman" w:cs="Times New Roman"/>
          <w:spacing w:val="0"/>
          <w:szCs w:val="26"/>
          <w:rtl w:val="true"/>
        </w:rPr>
        <w:t>מאסר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תנאי שנגזר 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בהקשר זה נטען 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הגדרתן של העבירות שנכללו בגדרו של אותו מאסר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תנאי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עבירת נשק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רכוש ואלימות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– </w:t>
      </w:r>
      <w:r>
        <w:rPr>
          <w:rFonts w:ascii="Times New Roman" w:hAnsi="Times New Roman" w:cs="Times New Roman"/>
          <w:spacing w:val="0"/>
          <w:szCs w:val="26"/>
          <w:rtl w:val="true"/>
        </w:rPr>
        <w:t>רחבות יתר על המידה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נעם סולברג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בהסכמת </w:t>
      </w:r>
      <w:r>
        <w:rPr>
          <w:rFonts w:ascii="Times New Roman" w:hAnsi="Times New Roman" w:cs="Times New Roman"/>
          <w:spacing w:val="0"/>
          <w:szCs w:val="26"/>
          <w:rtl w:val="true"/>
        </w:rPr>
        <w:t>המשנה לנשיאה 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פוגלמן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והשופט 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כשר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מטעמים הבאים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בכל הנוגע ל</w:t>
      </w:r>
      <w:r>
        <w:rPr>
          <w:rFonts w:ascii="Times New Roman" w:hAnsi="Times New Roman" w:cs="Times New Roman"/>
          <w:spacing w:val="0"/>
          <w:szCs w:val="26"/>
          <w:rtl w:val="true"/>
        </w:rPr>
        <w:t>סוגיה העקרונית לה טענו הצדדים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כמה מסעיפי </w:t>
      </w:r>
      <w:hyperlink r:id="rId20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העונשין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רלבנטיים לענייננו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Cs w:val="26"/>
        </w:rPr>
        <w:t>72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עוסק בנאשם שהורשע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הוטלה עליו התחייבות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</w:t>
      </w:r>
      <w:r>
        <w:rPr>
          <w:rFonts w:ascii="Times New Roman" w:hAnsi="Times New Roman" w:cs="Times New Roman"/>
          <w:spacing w:val="0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קובע כך</w:t>
      </w:r>
      <w:r>
        <w:rPr>
          <w:rFonts w:cs="Times New Roman" w:ascii="Times New Roman" w:hAnsi="Times New Roman"/>
          <w:spacing w:val="0"/>
          <w:szCs w:val="26"/>
          <w:rtl w:val="true"/>
        </w:rPr>
        <w:t>: "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שהרשיע אדם רשאי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נוסף על העונש שהטיל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לצוות שהנידון ייתן התחייבות להימנע מעבירה בתוך תקופה שיקבע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ושלא תעלה על שלוש שנים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Cs w:val="26"/>
        </w:rPr>
        <w:t>74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21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העונשין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שכותרתו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מאסר על אי מתן התחייבות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עניינו בנאשם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המסרב ליתן את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>התחייבות עצמה</w:t>
      </w:r>
      <w:r>
        <w:rPr>
          <w:rFonts w:cs="Times New Roman" w:ascii="Times New Roman" w:hAnsi="Times New Roman"/>
          <w:spacing w:val="0"/>
          <w:szCs w:val="26"/>
          <w:rtl w:val="true"/>
        </w:rPr>
        <w:t>: "</w:t>
      </w:r>
      <w:r>
        <w:rPr>
          <w:rFonts w:ascii="Times New Roman" w:hAnsi="Times New Roman" w:cs="Times New Roman"/>
          <w:spacing w:val="0"/>
          <w:szCs w:val="26"/>
          <w:rtl w:val="true"/>
        </w:rPr>
        <w:t>ציווה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על אדם לפי סעיף </w:t>
      </w:r>
      <w:r>
        <w:rPr>
          <w:rFonts w:cs="Times New Roman" w:ascii="Times New Roman" w:hAnsi="Times New Roman"/>
          <w:spacing w:val="0"/>
          <w:szCs w:val="26"/>
        </w:rPr>
        <w:t>72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ליתן התחייבות להימנע מעבירה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רשאי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לכפותו לציית לצו וליתן את ההתחייבות על ידי שיטיל עליו מאסר לתקופה שלא תעלה על שלושה חדשים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Cs w:val="26"/>
        </w:rPr>
        <w:t>76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22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העונשין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נכנס לפעולה בשלב מאוחר 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לאחר שנאשם התחייב שלא לעבור עבירה נוספת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כפי שהורה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לא עמד בהתחייבותו</w:t>
      </w:r>
      <w:r>
        <w:rPr>
          <w:rFonts w:cs="Times New Roman" w:ascii="Times New Roman" w:hAnsi="Times New Roman"/>
          <w:spacing w:val="0"/>
          <w:szCs w:val="26"/>
          <w:rtl w:val="true"/>
        </w:rPr>
        <w:t>: 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התחייב אדם לפי סעיף </w:t>
      </w:r>
      <w:r>
        <w:rPr>
          <w:rFonts w:cs="Times New Roman" w:ascii="Times New Roman" w:hAnsi="Times New Roman"/>
          <w:spacing w:val="0"/>
          <w:szCs w:val="26"/>
        </w:rPr>
        <w:t>72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להימנע מעבירה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ולאחר מכן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הרשיעו בעבירה שהתחייב להימנע ממנה או קבע כי הוא ביצע את העבירה כאמור אך לא הרשיעו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יצווה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שהרשיע או שקבע כאמור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תשלום סכום ההתחייבות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לא שולם סכום ההתחייבות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יהא דינו של סכום זה כדין קנס ויחולו עליו הוראות סעיפים </w:t>
      </w:r>
      <w:r>
        <w:rPr>
          <w:rFonts w:cs="Times New Roman" w:ascii="Times New Roman" w:hAnsi="Times New Roman"/>
          <w:spacing w:val="0"/>
          <w:szCs w:val="26"/>
        </w:rPr>
        <w:t>66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עד </w:t>
      </w:r>
      <w:r>
        <w:rPr>
          <w:rFonts w:cs="Times New Roman" w:ascii="Times New Roman" w:hAnsi="Times New Roman"/>
          <w:spacing w:val="0"/>
          <w:szCs w:val="26"/>
        </w:rPr>
        <w:t>70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ולעניין התחייבות שהוטלה על אדם לפי סעיף </w:t>
      </w:r>
      <w:r>
        <w:rPr>
          <w:rFonts w:cs="Times New Roman" w:ascii="Times New Roman" w:hAnsi="Times New Roman"/>
          <w:spacing w:val="0"/>
          <w:szCs w:val="26"/>
        </w:rPr>
        <w:t>72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–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גם הוראות סעיף </w:t>
      </w:r>
      <w:r>
        <w:rPr>
          <w:rFonts w:cs="Times New Roman" w:ascii="Times New Roman" w:hAnsi="Times New Roman"/>
          <w:spacing w:val="0"/>
          <w:szCs w:val="26"/>
        </w:rPr>
        <w:t>71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Cs w:val="26"/>
        </w:rPr>
        <w:t>71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23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העונשין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מאפשר להטיל על מי שחויב בתשלום קנס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 שילמו</w:t>
      </w:r>
      <w:r>
        <w:rPr>
          <w:rFonts w:ascii="Times New Roman" w:hAnsi="Times New Roman" w:cs="Times New Roman"/>
          <w:spacing w:val="0"/>
          <w:szCs w:val="26"/>
          <w:rtl w:val="true"/>
        </w:rPr>
        <w:t>ֹ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 חלף קנס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הצדדים מתגוששים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סביב פרשנותו הנכונה של סעיף </w:t>
      </w:r>
      <w:r>
        <w:rPr>
          <w:rFonts w:cs="Times New Roman" w:ascii="Times New Roman" w:hAnsi="Times New Roman"/>
          <w:spacing w:val="0"/>
          <w:szCs w:val="26"/>
        </w:rPr>
        <w:t>76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24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העונשין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מיהו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שרשאי להפעיל את הוראות סעיף </w:t>
      </w:r>
      <w:r>
        <w:rPr>
          <w:rFonts w:cs="Times New Roman" w:ascii="Times New Roman" w:hAnsi="Times New Roman"/>
          <w:spacing w:val="0"/>
          <w:szCs w:val="26"/>
        </w:rPr>
        <w:t>71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ולקבוע מאסר חלף סכום ההתחייבות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מקום שבו ההתחייבות להימנע מעבירה מופרת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ברם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שאלה עקרונית זו </w:t>
      </w:r>
      <w:r>
        <w:rPr>
          <w:rFonts w:ascii="Times New Roman" w:hAnsi="Times New Roman" w:cs="Times New Roman"/>
          <w:spacing w:val="0"/>
          <w:szCs w:val="26"/>
          <w:rtl w:val="true"/>
        </w:rPr>
        <w:t>כלל אינה טעונה הכרעה בענייננו וניתן להותירה לעת מצוא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בגזר הדין של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נקבע כך</w:t>
      </w:r>
      <w:r>
        <w:rPr>
          <w:rFonts w:cs="Times New Roman" w:ascii="Times New Roman" w:hAnsi="Times New Roman"/>
          <w:spacing w:val="0"/>
          <w:szCs w:val="26"/>
          <w:rtl w:val="true"/>
        </w:rPr>
        <w:t>: 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אני מחייבת את הנאשם בחתימה על התחייבות כספית בסך </w:t>
      </w:r>
      <w:r>
        <w:rPr>
          <w:rFonts w:cs="Times New Roman" w:ascii="Times New Roman" w:hAnsi="Times New Roman"/>
          <w:spacing w:val="0"/>
          <w:szCs w:val="26"/>
        </w:rPr>
        <w:t>5,000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₪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או </w:t>
      </w:r>
      <w:r>
        <w:rPr>
          <w:rFonts w:cs="Times New Roman" w:ascii="Times New Roman" w:hAnsi="Times New Roman"/>
          <w:spacing w:val="0"/>
          <w:szCs w:val="26"/>
        </w:rPr>
        <w:t>25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ימי מאסר תמורתה להימנע במשך שנתיים מלעבור כל עבירה בנשק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כל עבירת אלימות מסוג פשע או כל עבירת רכוש מסוג פשע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קריאה פשטנית של </w:t>
      </w:r>
      <w:r>
        <w:rPr>
          <w:rFonts w:ascii="Times New Roman" w:hAnsi="Times New Roman" w:cs="Times New Roman"/>
          <w:spacing w:val="0"/>
          <w:szCs w:val="26"/>
          <w:rtl w:val="true"/>
        </w:rPr>
        <w:t>הדברים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מוליכה למסקנה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כי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לא גזר על המערער מאסר חלף סכום ההתחייבות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אלא מאסר למקרה שהמערער יסרב למתן ההתחייבות – בהתאם לסמכותו מכוח סעיף </w:t>
      </w:r>
      <w:r>
        <w:rPr>
          <w:rFonts w:cs="Times New Roman" w:ascii="Times New Roman" w:hAnsi="Times New Roman"/>
          <w:spacing w:val="0"/>
          <w:szCs w:val="26"/>
        </w:rPr>
        <w:t>74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25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העונשין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עיון ב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תדפיס המידע הפלילי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בעניינו של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ובפרוטוקול הדיון בביהמ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תומכים אף 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בפרשנות האמורה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גם בטענה ה</w:t>
      </w:r>
      <w:r>
        <w:rPr>
          <w:rFonts w:ascii="Times New Roman" w:hAnsi="Times New Roman" w:cs="Times New Roman"/>
          <w:spacing w:val="0"/>
          <w:szCs w:val="26"/>
          <w:rtl w:val="true"/>
        </w:rPr>
        <w:t>פרטנית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הנוגעת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ascii="Times New Roman" w:hAnsi="Times New Roman" w:cs="Times New Roman"/>
          <w:spacing w:val="0"/>
          <w:szCs w:val="26"/>
          <w:rtl w:val="true"/>
        </w:rPr>
        <w:t>היקף פריש</w:t>
      </w:r>
      <w:r>
        <w:rPr>
          <w:rFonts w:ascii="Times New Roman" w:hAnsi="Times New Roman" w:cs="Times New Roman"/>
          <w:spacing w:val="0"/>
          <w:szCs w:val="26"/>
          <w:rtl w:val="true"/>
        </w:rPr>
        <w:t>ׂ</w:t>
      </w:r>
      <w:r>
        <w:rPr>
          <w:rFonts w:ascii="Times New Roman" w:hAnsi="Times New Roman" w:cs="Times New Roman"/>
          <w:spacing w:val="0"/>
          <w:szCs w:val="26"/>
          <w:rtl w:val="true"/>
        </w:rPr>
        <w:t>תן הרחבה של העבירות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הנכללות בגדרו של המאסר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תנאי שהושת עליו לא </w:t>
      </w:r>
      <w:r>
        <w:rPr>
          <w:rFonts w:ascii="Times New Roman" w:hAnsi="Times New Roman" w:cs="Times New Roman"/>
          <w:spacing w:val="0"/>
          <w:szCs w:val="26"/>
          <w:rtl w:val="true"/>
        </w:rPr>
        <w:t>נ</w:t>
      </w:r>
      <w:r>
        <w:rPr>
          <w:rFonts w:ascii="Times New Roman" w:hAnsi="Times New Roman" w:cs="Times New Roman"/>
          <w:spacing w:val="0"/>
          <w:szCs w:val="26"/>
          <w:rtl w:val="true"/>
        </w:rPr>
        <w:t>מצא ממש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הורשע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פי הודעתו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בעבירות של סיוע לירי מנשק חם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וסיוע להצתה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הטלת עונש מאסר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תנאי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בעבירות נשק או בעבירות רכוש ואלימות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היא צעד מתבקש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 בפרט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בהינתן נסיבות ביצוע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סכסוך שפרץ בין המתלוננת לבין קרוב משפחתו של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משכו של המאסר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תנאי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שנקבע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ידי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– מדורג ומדוד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ומושפע מחומרתה של העבירה שת</w:t>
      </w:r>
      <w:r>
        <w:rPr>
          <w:rFonts w:ascii="Times New Roman" w:hAnsi="Times New Roman" w:cs="Times New Roman"/>
          <w:spacing w:val="0"/>
          <w:szCs w:val="26"/>
          <w:rtl w:val="true"/>
        </w:rPr>
        <w:t>בוצע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אם תבוצע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בהמשך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גם בהיבט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ניכר כי עונש המאסר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תנאי – מידתי ומאוזן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ואינו מגלה עילה להתערבות בו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השופט 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כשר מוסיף ומפרט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בבחינת למעלה מן הצורך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כי </w:t>
      </w:r>
      <w:r>
        <w:rPr>
          <w:rFonts w:ascii="Times New Roman" w:hAnsi="Times New Roman" w:cs="Times New Roman"/>
          <w:spacing w:val="0"/>
          <w:szCs w:val="26"/>
          <w:rtl w:val="true"/>
        </w:rPr>
        <w:t>לשיטת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bookmarkStart w:id="13" w:name="_Hlk113770608"/>
      <w:r>
        <w:rPr>
          <w:rFonts w:ascii="Times New Roman" w:hAnsi="Times New Roman" w:cs="Times New Roman"/>
          <w:spacing w:val="0"/>
          <w:szCs w:val="26"/>
          <w:rtl w:val="true"/>
        </w:rPr>
        <w:t>הן לשון הסעיפים הרלוונטיים ב</w:t>
      </w:r>
      <w:hyperlink r:id="rId26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העונשין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והן תכליתם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מכתיבות כי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השני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המפעיל את ההתחייבות לאחר הפרתה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הוא אשר מוסמך לקבוע מאסר חלף סכום ההתחייבות ולא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הראשון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המצווה על מתן ההתחייבות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bookmarkEnd w:id="13"/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</w:p>
    <w:p>
      <w:pPr>
        <w:pStyle w:val="Normal"/>
        <w:tabs>
          <w:tab w:val="clear" w:pos="720"/>
          <w:tab w:val="left" w:pos="2552" w:leader="none"/>
        </w:tabs>
        <w:spacing w:lineRule="auto" w:line="480"/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14" w:name="ABSTRACT_END"/>
      <w:bookmarkStart w:id="15" w:name="ABSTRACT_END"/>
      <w:bookmarkEnd w:id="15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6" w:name="PsakDin"/>
            <w:bookmarkStart w:id="17" w:name="BeginProtocol"/>
            <w:bookmarkStart w:id="18" w:name="secretary"/>
            <w:bookmarkEnd w:id="16"/>
            <w:bookmarkEnd w:id="17"/>
            <w:bookmarkEnd w:id="18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9" w:name="Writer_Name"/>
      <w:bookmarkEnd w:id="19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20" w:name="Start_Write"/>
      <w:bookmarkStart w:id="21" w:name="Start_Write"/>
      <w:bookmarkEnd w:id="21"/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shd w:fill="FFFFFF" w:val="clear"/>
        </w:rPr>
      </w:pPr>
      <w:r>
        <w:rPr>
          <w:rtl w:val="true"/>
        </w:rPr>
        <w:t>ערעור על גזר הדין של בית המשפט המחוזי בנצרת</w:t>
      </w:r>
      <w:r>
        <w:rPr>
          <w:rtl w:val="true"/>
        </w:rPr>
        <w:t xml:space="preserve">, </w:t>
      </w:r>
      <w:r>
        <w:rPr>
          <w:rtl w:val="true"/>
        </w:rPr>
        <w:t xml:space="preserve">מיום </w:t>
      </w:r>
      <w:r>
        <w:rPr/>
        <w:t>20.2.2022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2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54820-01-20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שיטרית</w:t>
      </w:r>
      <w:r>
        <w:rPr>
          <w:rtl w:val="true"/>
        </w:rPr>
        <w:t xml:space="preserve">), </w:t>
      </w:r>
      <w:r>
        <w:rPr>
          <w:shd w:fill="FFFFFF" w:val="clear"/>
          <w:rtl w:val="true"/>
        </w:rPr>
        <w:t>שבו נגזרו על המערער</w:t>
      </w:r>
      <w:r>
        <w:rPr>
          <w:shd w:fill="FFFFFF" w:val="clear"/>
          <w:rtl w:val="true"/>
        </w:rPr>
        <w:t xml:space="preserve">, </w:t>
      </w:r>
      <w:r>
        <w:rPr>
          <w:rtl w:val="true"/>
        </w:rPr>
        <w:t>מחמד אל הייב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</w:rPr>
        <w:t>15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חודשי מאסר לריצוי בפועל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ועונשים נלווים</w:t>
      </w:r>
      <w:r>
        <w:rPr>
          <w:shd w:fill="FFFFFF" w:val="clear"/>
          <w:rtl w:val="true"/>
        </w:rPr>
        <w:t>.</w:t>
      </w:r>
    </w:p>
    <w:p>
      <w:pPr>
        <w:pStyle w:val="Ruller41"/>
        <w:ind w:end="0"/>
        <w:jc w:val="both"/>
        <w:rPr>
          <w:shd w:fill="FFFFFF" w:val="clear"/>
        </w:rPr>
      </w:pPr>
      <w:r>
        <w:rPr>
          <w:shd w:fill="FFFFFF" w:val="clear"/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15.2.2019</w:t>
      </w:r>
      <w:r>
        <w:rPr>
          <w:rtl w:val="true"/>
        </w:rPr>
        <w:t xml:space="preserve">, </w:t>
      </w:r>
      <w:r>
        <w:rPr>
          <w:rtl w:val="true"/>
        </w:rPr>
        <w:t>בעקבות סכסוך בין המתלוננת לבין אחד מקרובי משפחתו של מחמד</w:t>
      </w:r>
      <w:r>
        <w:rPr>
          <w:rtl w:val="true"/>
        </w:rPr>
        <w:t xml:space="preserve">, </w:t>
      </w:r>
      <w:r>
        <w:rPr>
          <w:rtl w:val="true"/>
        </w:rPr>
        <w:t>הצית מי מבני משפחתו</w:t>
      </w:r>
      <w:r>
        <w:rPr>
          <w:rtl w:val="true"/>
        </w:rPr>
        <w:t xml:space="preserve">, </w:t>
      </w:r>
      <w:r>
        <w:rPr>
          <w:rtl w:val="true"/>
        </w:rPr>
        <w:t>בסיועו</w:t>
      </w:r>
      <w:r>
        <w:rPr>
          <w:rtl w:val="true"/>
        </w:rPr>
        <w:t xml:space="preserve">, </w:t>
      </w:r>
      <w:r>
        <w:rPr>
          <w:rtl w:val="true"/>
        </w:rPr>
        <w:t>את כלי הרכב של המתלוננת ושל בעלה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סייע מחמד לבני משפחתו לירות לעבר כלי הרכב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>חנ</w:t>
      </w:r>
      <w:r>
        <w:rPr>
          <w:rtl w:val="true"/>
        </w:rPr>
        <w:t>ו בחניית ביתה של המתלוננת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FrankRuehl" w:hAnsi="FrankRuehl" w:cs="FrankRuehl"/>
          <w:color w:val="000000"/>
          <w:sz w:val="28"/>
          <w:sz w:val="28"/>
          <w:rtl w:val="true"/>
        </w:rPr>
        <w:t>במהלך הדיון במשפט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ולאחר הליך גישור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הגיעו הצדדים להסדר טיעון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שלפיו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הודה מחמד במיוחס לו בכתב האישום המתוקן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והורשע בביצוע עבירה של סיוע לירי מנשק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חם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עבירה לפי </w:t>
      </w:r>
      <w:hyperlink r:id="rId28">
        <w:r>
          <w:rPr>
            <w:rStyle w:val="Hyperlink"/>
            <w:rFonts w:ascii="FrankRuehl" w:hAnsi="FrankRuehl" w:cs="FrankRuehl"/>
            <w:sz w:val="28"/>
            <w:sz w:val="28"/>
            <w:shd w:fill="FFFFFF" w:val="clear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hd w:fill="FFFFFF" w:val="clear"/>
          </w:rPr>
          <w:t>340</w:t>
        </w:r>
        <w:r>
          <w:rPr>
            <w:rStyle w:val="Hyperlink"/>
            <w:rFonts w:cs="FrankRuehl" w:ascii="FrankRuehl" w:hAnsi="FrankRuehl"/>
            <w:sz w:val="28"/>
            <w:shd w:fill="FFFFFF" w:val="clear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hd w:fill="FFFFFF" w:val="clear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shd w:fill="FFFFFF" w:val="clear"/>
            <w:rtl w:val="true"/>
          </w:rPr>
          <w:t>)(</w:t>
        </w:r>
        <w:r>
          <w:rPr>
            <w:rStyle w:val="Hyperlink"/>
            <w:rFonts w:cs="FrankRuehl" w:ascii="FrankRuehl" w:hAnsi="FrankRuehl"/>
            <w:sz w:val="28"/>
            <w:shd w:fill="FFFFFF" w:val="clear"/>
          </w:rPr>
          <w:t>1</w:t>
        </w:r>
        <w:r>
          <w:rPr>
            <w:rStyle w:val="Hyperlink"/>
            <w:rFonts w:cs="FrankRuehl" w:ascii="FrankRuehl" w:hAnsi="FrankRuehl"/>
            <w:sz w:val="28"/>
            <w:shd w:fill="FFFFFF" w:val="clear"/>
            <w:rtl w:val="true"/>
          </w:rPr>
          <w:t>)</w:t>
        </w:r>
      </w:hyperlink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ל</w:t>
      </w:r>
      <w:hyperlink r:id="rId29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shd w:fill="FFFFFF" w:val="clear"/>
            <w:rtl w:val="true"/>
          </w:rPr>
          <w:t>חוק העונשין</w:t>
        </w:r>
      </w:hyperlink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,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התשל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ז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-</w:t>
      </w:r>
      <w:r>
        <w:rPr>
          <w:rFonts w:cs="FrankRuehl" w:ascii="FrankRuehl" w:hAnsi="FrankRuehl"/>
          <w:color w:val="000000"/>
          <w:sz w:val="28"/>
          <w:shd w:fill="FFFFFF" w:val="clear"/>
        </w:rPr>
        <w:t>1977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(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להלן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חוק</w:t>
      </w:r>
      <w:r>
        <w:rPr>
          <w:rFonts w:cs="Century" w:ascii="Century" w:hAnsi="Century"/>
          <w:sz w:val="22"/>
          <w:shd w:fill="FFFFFF" w:val="clear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 xml:space="preserve">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העונשין</w:t>
      </w:r>
      <w:r>
        <w:rPr>
          <w:rFonts w:cs="Century" w:ascii="Century" w:hAnsi="Century"/>
          <w:sz w:val="22"/>
          <w:shd w:fill="FFFFFF" w:val="clear"/>
          <w:rtl w:val="true"/>
        </w:rPr>
        <w:t>)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בצירוף </w:t>
      </w:r>
      <w:hyperlink r:id="rId30">
        <w:r>
          <w:rPr>
            <w:rStyle w:val="Hyperlink"/>
            <w:rFonts w:ascii="FrankRuehl" w:hAnsi="FrankRuehl" w:cs="FrankRuehl"/>
            <w:sz w:val="28"/>
            <w:sz w:val="28"/>
            <w:shd w:fill="FFFFFF" w:val="clear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hd w:fill="FFFFFF" w:val="clear"/>
          </w:rPr>
          <w:t>31</w:t>
        </w:r>
      </w:hyperlink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לחוק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;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ועבירה של סיוע להצתה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עבירה לפי </w:t>
      </w:r>
      <w:hyperlink r:id="rId31">
        <w:r>
          <w:rPr>
            <w:rStyle w:val="Hyperlink"/>
            <w:rFonts w:ascii="FrankRuehl" w:hAnsi="FrankRuehl" w:cs="FrankRuehl"/>
            <w:sz w:val="28"/>
            <w:sz w:val="28"/>
            <w:shd w:fill="FFFFFF" w:val="clear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hd w:fill="FFFFFF" w:val="clear"/>
          </w:rPr>
          <w:t>228</w:t>
        </w:r>
        <w:r>
          <w:rPr>
            <w:rStyle w:val="Hyperlink"/>
            <w:rFonts w:cs="FrankRuehl" w:ascii="FrankRuehl" w:hAnsi="FrankRuehl"/>
            <w:sz w:val="28"/>
            <w:shd w:fill="FFFFFF" w:val="clear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hd w:fill="FFFFFF" w:val="clear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8"/>
            <w:shd w:fill="FFFFFF" w:val="clear"/>
            <w:rtl w:val="true"/>
          </w:rPr>
          <w:t>)</w:t>
        </w:r>
      </w:hyperlink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רישא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בצירוף </w:t>
      </w:r>
      <w:hyperlink r:id="rId32">
        <w:r>
          <w:rPr>
            <w:rStyle w:val="Hyperlink"/>
            <w:rFonts w:ascii="FrankRuehl" w:hAnsi="FrankRuehl" w:cs="FrankRuehl"/>
            <w:sz w:val="28"/>
            <w:sz w:val="28"/>
            <w:shd w:fill="FFFFFF" w:val="clear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hd w:fill="FFFFFF" w:val="clear"/>
          </w:rPr>
          <w:t>31</w:t>
        </w:r>
      </w:hyperlink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לחוק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עוד הוסכם במסגרת הסדר הטיעון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כי הצדדים יעתרו במשותף לכך שהעונש שיוטל על מחמד יעמוד על </w:t>
      </w:r>
      <w:r>
        <w:rPr>
          <w:rFonts w:cs="FrankRuehl" w:ascii="FrankRuehl" w:hAnsi="FrankRuehl"/>
          <w:color w:val="000000"/>
          <w:sz w:val="28"/>
          <w:shd w:fill="FFFFFF" w:val="clear"/>
        </w:rPr>
        <w:t>15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חודשי מאסר בפועל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ומאסר על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-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תנאי לפי שיקול דעת בית המשפט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וכי בנוסף לעונשי המאסר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תעתור המשיבה לחיובו של מחמד בתשלום קנס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ואילו מחמד מצדו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יעתור לכך שתוטל עליו התחייבות כספית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חלף הקנס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20.2.2022</w:t>
      </w:r>
      <w:r>
        <w:rPr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גזר בית המשפט המחוזי את דינו של מחמד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תחילה עמד בית המשפט המחוזי על השיקולים השונים הצריכים לעניין</w:t>
      </w:r>
      <w:r>
        <w:rPr>
          <w:rtl w:val="true"/>
        </w:rPr>
        <w:t xml:space="preserve">; </w:t>
      </w:r>
      <w:r>
        <w:rPr>
          <w:rtl w:val="true"/>
        </w:rPr>
        <w:t>הן נסיבות ביצוע העבירות</w:t>
      </w:r>
      <w:r>
        <w:rPr>
          <w:rtl w:val="true"/>
        </w:rPr>
        <w:t xml:space="preserve">, </w:t>
      </w:r>
      <w:r>
        <w:rPr>
          <w:rtl w:val="true"/>
        </w:rPr>
        <w:t>הן נסיבות חייו של מחמד</w:t>
      </w:r>
      <w:r>
        <w:rPr>
          <w:rtl w:val="true"/>
        </w:rPr>
        <w:t xml:space="preserve">. </w:t>
      </w:r>
      <w:r>
        <w:rPr>
          <w:rtl w:val="true"/>
        </w:rPr>
        <w:t>בסופו של דבר</w:t>
      </w:r>
      <w:r>
        <w:rPr>
          <w:rtl w:val="true"/>
        </w:rPr>
        <w:t xml:space="preserve">, </w:t>
      </w:r>
      <w:r>
        <w:rPr>
          <w:rtl w:val="true"/>
        </w:rPr>
        <w:t>השית בית המ</w:t>
      </w:r>
      <w:r>
        <w:rPr>
          <w:rtl w:val="true"/>
        </w:rPr>
        <w:t>ש</w:t>
      </w:r>
      <w:r>
        <w:rPr>
          <w:rtl w:val="true"/>
        </w:rPr>
        <w:t>פט המחוזי על מחמד את העונשים הבאים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firstLine="516" w:end="1282"/>
        <w:jc w:val="both"/>
        <w:rPr>
          <w:rFonts w:ascii="Century" w:hAnsi="Century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Miriam" w:ascii="Century" w:hAnsi="Century"/>
          <w:b/>
          <w:spacing w:val="0"/>
          <w:szCs w:val="24"/>
        </w:rPr>
        <w:t>15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חודשי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בפועל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בניכוי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מעצרו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[...].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5"/>
        <w:ind w:firstLine="516" w:end="1282"/>
        <w:jc w:val="both"/>
        <w:rPr>
          <w:rFonts w:ascii="Century" w:hAnsi="Century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</w:rPr>
        <w:t>12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חודשי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תנאי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והתנאי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יעבור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תקופה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שנתיים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בנשק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מסוג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פשע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רכוש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מסוג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פשע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מסוג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פשע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ויורשע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בגין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מאלה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5"/>
        <w:ind w:firstLine="516" w:end="1282"/>
        <w:jc w:val="both"/>
        <w:rPr/>
      </w:pPr>
      <w:r>
        <w:rPr>
          <w:rFonts w:cs="Miriam" w:ascii="Century" w:hAnsi="Century"/>
          <w:b/>
          <w:spacing w:val="0"/>
          <w:szCs w:val="24"/>
        </w:rPr>
        <w:t>6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חודשי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תנאי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והתנאי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יעבור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תקופה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שנתיים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בנשק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מסוג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עוון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רכוש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מסוג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מסוג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לרבות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ויורשע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בגין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מאלה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5"/>
        <w:ind w:firstLine="516" w:end="1282"/>
        <w:jc w:val="both"/>
        <w:rPr/>
      </w:pPr>
      <w:r>
        <w:rPr>
          <w:rFonts w:cs="Miriam" w:ascii="Century" w:hAnsi="Century"/>
          <w:b/>
          <w:spacing w:val="0"/>
          <w:szCs w:val="24"/>
        </w:rPr>
        <w:t>3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חודשי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תנאי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והתנאי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יעבור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תקופה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שנתיים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מנשק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5"/>
        <w:ind w:firstLine="516" w:end="1282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מחייבת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בחתימה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התחייבות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כספית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5,000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25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תמורתה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להימנע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במשך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שנתיים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מלעבור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בנשק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מסוג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פשע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רכוש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מסוג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פשע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>.</w:t>
      </w:r>
    </w:p>
    <w:p>
      <w:pPr>
        <w:pStyle w:val="Ruller5"/>
        <w:spacing w:lineRule="auto" w:line="480"/>
        <w:ind w:end="1282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שניתן גזר הדין</w:t>
      </w:r>
      <w:r>
        <w:rPr>
          <w:rtl w:val="true"/>
        </w:rPr>
        <w:t xml:space="preserve">, </w:t>
      </w:r>
      <w:r>
        <w:rPr>
          <w:rtl w:val="true"/>
        </w:rPr>
        <w:t>הצהיר מחמד כדברים האלה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מצהיר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מתחייב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להימנע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מביצוע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שהוטל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עליי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מחמד אינו מבקש להשיג על עונש המאסר בפועל שנגזר עליו</w:t>
      </w:r>
      <w:r>
        <w:rPr>
          <w:rtl w:val="true"/>
        </w:rPr>
        <w:t xml:space="preserve">; </w:t>
      </w:r>
      <w:r>
        <w:rPr>
          <w:rtl w:val="true"/>
        </w:rPr>
        <w:t>ערעורו מופנה כלפי שניים מרכיבי הענישה הנלווים</w:t>
      </w:r>
      <w:r>
        <w:rPr>
          <w:rtl w:val="true"/>
        </w:rPr>
        <w:t xml:space="preserve">. </w:t>
      </w:r>
      <w:r>
        <w:rPr>
          <w:rtl w:val="true"/>
        </w:rPr>
        <w:t>השגה אחת</w:t>
      </w:r>
      <w:r>
        <w:rPr>
          <w:rtl w:val="true"/>
        </w:rPr>
        <w:t xml:space="preserve">, </w:t>
      </w:r>
      <w:r>
        <w:rPr>
          <w:rtl w:val="true"/>
        </w:rPr>
        <w:t>עקרונית</w:t>
      </w:r>
      <w:r>
        <w:rPr>
          <w:rtl w:val="true"/>
        </w:rPr>
        <w:t xml:space="preserve">, </w:t>
      </w:r>
      <w:r>
        <w:rPr>
          <w:rtl w:val="true"/>
        </w:rPr>
        <w:t>בעניינה של ההתחייבות שבה חויב מחמד</w:t>
      </w:r>
      <w:r>
        <w:rPr>
          <w:rtl w:val="true"/>
        </w:rPr>
        <w:t xml:space="preserve">. </w:t>
      </w:r>
      <w:r>
        <w:rPr>
          <w:rtl w:val="true"/>
        </w:rPr>
        <w:t>באות</w:t>
      </w:r>
      <w:r>
        <w:rPr>
          <w:rtl w:val="true"/>
        </w:rPr>
        <w:t>-</w:t>
      </w:r>
      <w:r>
        <w:rPr>
          <w:rtl w:val="true"/>
        </w:rPr>
        <w:t xml:space="preserve">כוחו של מחמד סבורות כי פרשנותם של אותם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ימי מאסר</w:t>
      </w:r>
      <w:r>
        <w:rPr>
          <w:rtl w:val="true"/>
        </w:rPr>
        <w:t xml:space="preserve">, </w:t>
      </w:r>
      <w:r>
        <w:rPr>
          <w:rtl w:val="true"/>
        </w:rPr>
        <w:t>שהושתו עליו חלף ההתחייבות היא</w:t>
      </w:r>
      <w:r>
        <w:rPr>
          <w:rtl w:val="true"/>
        </w:rPr>
        <w:t xml:space="preserve">, </w:t>
      </w:r>
      <w:r>
        <w:rPr>
          <w:rtl w:val="true"/>
        </w:rPr>
        <w:t>כי אם יפר את ההתחייבות</w:t>
      </w:r>
      <w:r>
        <w:rPr>
          <w:rtl w:val="true"/>
        </w:rPr>
        <w:t xml:space="preserve">, </w:t>
      </w:r>
      <w:r>
        <w:rPr>
          <w:rtl w:val="true"/>
        </w:rPr>
        <w:t xml:space="preserve">ההתחייבות </w:t>
      </w:r>
      <w:r>
        <w:rPr>
          <w:rtl w:val="true"/>
        </w:rPr>
        <w:t>'</w:t>
      </w:r>
      <w:r>
        <w:rPr>
          <w:rtl w:val="true"/>
        </w:rPr>
        <w:t>תופעל</w:t>
      </w:r>
      <w:r>
        <w:rPr>
          <w:rtl w:val="true"/>
        </w:rPr>
        <w:t xml:space="preserve">', </w:t>
      </w:r>
      <w:r>
        <w:rPr>
          <w:rtl w:val="true"/>
        </w:rPr>
        <w:t xml:space="preserve">והוא לא ישלם את סכום הכסף שנקבע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פיה</w:t>
      </w:r>
      <w:r>
        <w:rPr>
          <w:rtl w:val="true"/>
        </w:rPr>
        <w:t xml:space="preserve">, </w:t>
      </w:r>
      <w:r>
        <w:rPr>
          <w:rtl w:val="true"/>
        </w:rPr>
        <w:t>או אז</w:t>
      </w:r>
      <w:r>
        <w:rPr>
          <w:rtl w:val="true"/>
        </w:rPr>
        <w:t xml:space="preserve"> י</w:t>
      </w:r>
      <w:r>
        <w:rPr>
          <w:rtl w:val="true"/>
        </w:rPr>
        <w:t>ֵ</w:t>
      </w:r>
      <w:r>
        <w:rPr>
          <w:rtl w:val="true"/>
        </w:rPr>
        <w:t>אסר ל</w:t>
      </w:r>
      <w:r>
        <w:rPr>
          <w:rtl w:val="true"/>
        </w:rPr>
        <w:t>-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; </w:t>
      </w:r>
      <w:r>
        <w:rPr>
          <w:rtl w:val="true"/>
        </w:rPr>
        <w:t>הווי אומר</w:t>
      </w:r>
      <w:r>
        <w:rPr>
          <w:rtl w:val="true"/>
        </w:rPr>
        <w:t xml:space="preserve">: </w:t>
      </w:r>
      <w:r>
        <w:rPr>
          <w:rtl w:val="true"/>
        </w:rPr>
        <w:t xml:space="preserve">מאסר חלף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סכום</w:t>
      </w:r>
      <w:r>
        <w:rPr>
          <w:rtl w:val="true"/>
        </w:rPr>
        <w:t xml:space="preserve"> ההתחייבות</w:t>
      </w:r>
      <w:r>
        <w:rPr>
          <w:rtl w:val="true"/>
        </w:rPr>
        <w:t xml:space="preserve">. </w:t>
      </w:r>
      <w:r>
        <w:rPr>
          <w:rtl w:val="true"/>
        </w:rPr>
        <w:t>משזוהי הפרשנות שניתנה על</w:t>
      </w:r>
      <w:r>
        <w:rPr>
          <w:rtl w:val="true"/>
        </w:rPr>
        <w:t>-</w:t>
      </w:r>
      <w:r>
        <w:rPr>
          <w:rtl w:val="true"/>
        </w:rPr>
        <w:t>ידן לגזר הדין</w:t>
      </w:r>
      <w:r>
        <w:rPr>
          <w:rtl w:val="true"/>
        </w:rPr>
        <w:t xml:space="preserve">, </w:t>
      </w:r>
      <w:r>
        <w:rPr>
          <w:rtl w:val="true"/>
        </w:rPr>
        <w:t>טוענות באות</w:t>
      </w:r>
      <w:r>
        <w:rPr>
          <w:rtl w:val="true"/>
        </w:rPr>
        <w:t>-</w:t>
      </w:r>
      <w:r>
        <w:rPr>
          <w:rtl w:val="true"/>
        </w:rPr>
        <w:t>כוחו של מחמד</w:t>
      </w:r>
      <w:r>
        <w:rPr>
          <w:rtl w:val="true"/>
        </w:rPr>
        <w:t xml:space="preserve">, </w:t>
      </w:r>
      <w:r>
        <w:rPr>
          <w:rtl w:val="true"/>
        </w:rPr>
        <w:t>כי גזר הדין מעורר שאלה משפטית עקרונית</w:t>
      </w:r>
      <w:r>
        <w:rPr>
          <w:rtl w:val="true"/>
        </w:rPr>
        <w:t xml:space="preserve">, </w:t>
      </w:r>
      <w:r>
        <w:rPr>
          <w:rtl w:val="true"/>
        </w:rPr>
        <w:t>הנתונה במחלוקת בערכאות הדיוניות</w:t>
      </w:r>
      <w:r>
        <w:rPr>
          <w:rtl w:val="true"/>
        </w:rPr>
        <w:t xml:space="preserve">: </w:t>
      </w:r>
      <w:r>
        <w:rPr>
          <w:rtl w:val="true"/>
        </w:rPr>
        <w:t>מיהו בית המשפט המוסמך לגזור מאסר חלף סכום ההתחייבות</w:t>
      </w:r>
      <w:r>
        <w:rPr>
          <w:rtl w:val="true"/>
        </w:rPr>
        <w:t xml:space="preserve">, </w:t>
      </w:r>
      <w:r>
        <w:rPr>
          <w:rtl w:val="true"/>
        </w:rPr>
        <w:t>מקום שבו ה</w:t>
      </w:r>
      <w:r>
        <w:rPr>
          <w:rtl w:val="true"/>
        </w:rPr>
        <w:t>התחייבות</w:t>
      </w:r>
      <w:r>
        <w:rPr>
          <w:rtl w:val="true"/>
        </w:rPr>
        <w:t xml:space="preserve"> מופרת</w:t>
      </w:r>
      <w:r>
        <w:rPr>
          <w:rtl w:val="true"/>
        </w:rPr>
        <w:t xml:space="preserve">? </w:t>
      </w:r>
      <w:r>
        <w:rPr>
          <w:rtl w:val="true"/>
        </w:rPr>
        <w:t>דעה אחת סבורה</w:t>
      </w:r>
      <w:r>
        <w:rPr>
          <w:rtl w:val="true"/>
        </w:rPr>
        <w:t xml:space="preserve">, </w:t>
      </w:r>
      <w:r>
        <w:rPr>
          <w:rtl w:val="true"/>
        </w:rPr>
        <w:t>כי בית המשפט ה</w:t>
      </w:r>
      <w:r>
        <w:rPr>
          <w:rtl w:val="true"/>
        </w:rPr>
        <w:t>'</w:t>
      </w:r>
      <w:r>
        <w:rPr>
          <w:rtl w:val="true"/>
        </w:rPr>
        <w:t>ראשון</w:t>
      </w:r>
      <w:r>
        <w:rPr>
          <w:rtl w:val="true"/>
        </w:rPr>
        <w:t xml:space="preserve">', </w:t>
      </w:r>
      <w:r>
        <w:rPr>
          <w:rtl w:val="true"/>
        </w:rPr>
        <w:t>המצווה על ההתחייבות</w:t>
      </w:r>
      <w:r>
        <w:rPr>
          <w:rtl w:val="true"/>
        </w:rPr>
        <w:t xml:space="preserve">, </w:t>
      </w:r>
      <w:r>
        <w:rPr>
          <w:rtl w:val="true"/>
        </w:rPr>
        <w:t>הוא שרשאי לקבוע מאסר חלף סכום ההתחייבות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נשמעה דעה חולקת</w:t>
      </w:r>
      <w:r>
        <w:rPr>
          <w:rtl w:val="true"/>
        </w:rPr>
        <w:t xml:space="preserve">, </w:t>
      </w:r>
      <w:r>
        <w:rPr>
          <w:rtl w:val="true"/>
        </w:rPr>
        <w:t>שלפיה בית המשפט ה</w:t>
      </w:r>
      <w:r>
        <w:rPr>
          <w:rtl w:val="true"/>
        </w:rPr>
        <w:t>'</w:t>
      </w:r>
      <w:r>
        <w:rPr>
          <w:rtl w:val="true"/>
        </w:rPr>
        <w:t>שני</w:t>
      </w:r>
      <w:r>
        <w:rPr>
          <w:rtl w:val="true"/>
        </w:rPr>
        <w:t xml:space="preserve">', </w:t>
      </w:r>
      <w:r>
        <w:rPr>
          <w:rtl w:val="true"/>
        </w:rPr>
        <w:t>המפעיל את ההתחייבות</w:t>
      </w:r>
      <w:r>
        <w:rPr>
          <w:rtl w:val="true"/>
        </w:rPr>
        <w:t xml:space="preserve">, </w:t>
      </w:r>
      <w:r>
        <w:rPr>
          <w:rtl w:val="true"/>
        </w:rPr>
        <w:t>לאחר הפרתה</w:t>
      </w:r>
      <w:r>
        <w:rPr>
          <w:rtl w:val="true"/>
        </w:rPr>
        <w:t xml:space="preserve">, </w:t>
      </w:r>
      <w:r>
        <w:rPr>
          <w:rtl w:val="true"/>
        </w:rPr>
        <w:t xml:space="preserve">הוא </w:t>
      </w:r>
      <w:r>
        <w:rPr>
          <w:rtl w:val="true"/>
        </w:rPr>
        <w:t xml:space="preserve">אשר </w:t>
      </w:r>
      <w:r>
        <w:rPr>
          <w:rtl w:val="true"/>
        </w:rPr>
        <w:t>רשאי לקבוע מאסר חלף סכום ההתחייבות</w:t>
      </w:r>
      <w:r>
        <w:rPr>
          <w:rtl w:val="true"/>
        </w:rPr>
        <w:t xml:space="preserve">; </w:t>
      </w:r>
      <w:r>
        <w:rPr>
          <w:rtl w:val="true"/>
        </w:rPr>
        <w:t>לא בית המשפט ה</w:t>
      </w:r>
      <w:r>
        <w:rPr>
          <w:rtl w:val="true"/>
        </w:rPr>
        <w:t>'</w:t>
      </w:r>
      <w:r>
        <w:rPr>
          <w:rtl w:val="true"/>
        </w:rPr>
        <w:t>ראשון</w:t>
      </w:r>
      <w:r>
        <w:rPr>
          <w:rtl w:val="true"/>
        </w:rPr>
        <w:t xml:space="preserve">'. </w:t>
      </w:r>
      <w:r>
        <w:rPr>
          <w:rtl w:val="true"/>
        </w:rPr>
        <w:t>באות</w:t>
      </w:r>
      <w:r>
        <w:rPr>
          <w:rtl w:val="true"/>
        </w:rPr>
        <w:t>-</w:t>
      </w:r>
      <w:r>
        <w:rPr>
          <w:rtl w:val="true"/>
        </w:rPr>
        <w:t>כוחו של מחמד</w:t>
      </w:r>
      <w:r>
        <w:rPr>
          <w:rtl w:val="true"/>
        </w:rPr>
        <w:t xml:space="preserve">, </w:t>
      </w:r>
      <w:r>
        <w:rPr>
          <w:rtl w:val="true"/>
        </w:rPr>
        <w:t>מאמצות את העמדה השנייה</w:t>
      </w:r>
      <w:r>
        <w:rPr>
          <w:rtl w:val="true"/>
        </w:rPr>
        <w:t xml:space="preserve">, </w:t>
      </w:r>
      <w:r>
        <w:rPr>
          <w:rtl w:val="true"/>
        </w:rPr>
        <w:t>וטוענות כי יש לקבוע הלכה מחייבת</w:t>
      </w:r>
      <w:r>
        <w:rPr>
          <w:rtl w:val="true"/>
        </w:rPr>
        <w:t xml:space="preserve">, </w:t>
      </w:r>
      <w:r>
        <w:rPr>
          <w:rtl w:val="true"/>
        </w:rPr>
        <w:t>מפיו של בית משפט זה</w:t>
      </w:r>
      <w:r>
        <w:rPr>
          <w:rtl w:val="true"/>
        </w:rPr>
        <w:t xml:space="preserve">, </w:t>
      </w:r>
      <w:r>
        <w:rPr>
          <w:rtl w:val="true"/>
        </w:rPr>
        <w:t xml:space="preserve">שלפיה בית המשפט </w:t>
      </w:r>
      <w:r>
        <w:rPr>
          <w:rtl w:val="true"/>
        </w:rPr>
        <w:t>'</w:t>
      </w:r>
      <w:r>
        <w:rPr>
          <w:rtl w:val="true"/>
        </w:rPr>
        <w:t>השני</w:t>
      </w:r>
      <w:r>
        <w:rPr>
          <w:rtl w:val="true"/>
        </w:rPr>
        <w:t xml:space="preserve">', </w:t>
      </w:r>
      <w:r>
        <w:rPr>
          <w:rtl w:val="true"/>
        </w:rPr>
        <w:t>המפעיל את ההתחייבות</w:t>
      </w:r>
      <w:r>
        <w:rPr>
          <w:rtl w:val="true"/>
        </w:rPr>
        <w:t xml:space="preserve">, </w:t>
      </w:r>
      <w:r>
        <w:rPr>
          <w:rtl w:val="true"/>
        </w:rPr>
        <w:t>הוא המוסמך להטיל מאסר חלף סכום ההתחייבות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השגה נוספת</w:t>
      </w:r>
      <w:r>
        <w:rPr>
          <w:rtl w:val="true"/>
        </w:rPr>
        <w:t xml:space="preserve">, </w:t>
      </w:r>
      <w:r>
        <w:rPr>
          <w:rtl w:val="true"/>
        </w:rPr>
        <w:t>פרטנית</w:t>
      </w:r>
      <w:r>
        <w:rPr>
          <w:rtl w:val="true"/>
        </w:rPr>
        <w:t xml:space="preserve">, </w:t>
      </w:r>
      <w:r>
        <w:rPr>
          <w:rtl w:val="true"/>
        </w:rPr>
        <w:t>בפיו של מחמד</w:t>
      </w:r>
      <w:r>
        <w:rPr>
          <w:rtl w:val="true"/>
        </w:rPr>
        <w:t xml:space="preserve">, </w:t>
      </w:r>
      <w:r>
        <w:rPr>
          <w:rtl w:val="true"/>
        </w:rPr>
        <w:t>בעניינו של המאסר על</w:t>
      </w:r>
      <w:r>
        <w:rPr>
          <w:rtl w:val="true"/>
        </w:rPr>
        <w:t>-</w:t>
      </w:r>
      <w:r>
        <w:rPr>
          <w:rtl w:val="true"/>
        </w:rPr>
        <w:t>תנאי שנגזר עליו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הגדרתן של העבירות שנכללו בגדרו של אותו מאסר 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רחבות יתר על המידה</w:t>
      </w:r>
      <w:r>
        <w:rPr>
          <w:rtl w:val="true"/>
        </w:rPr>
        <w:t xml:space="preserve">. </w:t>
      </w:r>
      <w:r>
        <w:rPr>
          <w:rtl w:val="true"/>
        </w:rPr>
        <w:t>הן אינן חופפות ל</w:t>
      </w:r>
      <w:r>
        <w:rPr>
          <w:rtl w:val="true"/>
        </w:rPr>
        <w:t>סוגי ה</w:t>
      </w:r>
      <w:r>
        <w:rPr>
          <w:rtl w:val="true"/>
        </w:rPr>
        <w:t>עבירות שבהן הורשע</w:t>
      </w:r>
      <w:r>
        <w:rPr>
          <w:rtl w:val="true"/>
        </w:rPr>
        <w:t xml:space="preserve">, </w:t>
      </w:r>
      <w:r>
        <w:rPr>
          <w:rtl w:val="true"/>
        </w:rPr>
        <w:t>וחורגות מעיקרון ההלימה</w:t>
      </w:r>
      <w:r>
        <w:rPr>
          <w:rtl w:val="true"/>
        </w:rPr>
        <w:t xml:space="preserve">. </w:t>
      </w: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>כי יש לתת משקל לחלקו המצומצם יחסית</w:t>
      </w:r>
      <w:r>
        <w:rPr>
          <w:rtl w:val="true"/>
        </w:rPr>
        <w:t xml:space="preserve">, </w:t>
      </w:r>
      <w:r>
        <w:rPr>
          <w:rtl w:val="true"/>
        </w:rPr>
        <w:t>במעשים בהם הורשע</w:t>
      </w:r>
      <w:r>
        <w:rPr>
          <w:rtl w:val="true"/>
        </w:rPr>
        <w:t xml:space="preserve">, </w:t>
      </w:r>
      <w:r>
        <w:rPr>
          <w:rtl w:val="true"/>
        </w:rPr>
        <w:t>וכך גם להתחייבותו להימנע מביצוע העבירות</w:t>
      </w:r>
      <w:r>
        <w:rPr>
          <w:rtl w:val="true"/>
        </w:rPr>
        <w:t xml:space="preserve">, </w:t>
      </w:r>
      <w:r>
        <w:rPr>
          <w:rtl w:val="true"/>
        </w:rPr>
        <w:t>שניתנה במקביל לעונש המאסר 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בדיון שנערך לפנינו</w:t>
      </w:r>
      <w:r>
        <w:rPr>
          <w:rtl w:val="true"/>
        </w:rPr>
        <w:t xml:space="preserve">, </w:t>
      </w:r>
      <w:r>
        <w:rPr>
          <w:rtl w:val="true"/>
        </w:rPr>
        <w:t xml:space="preserve">סברה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 המשיבה גם היא</w:t>
      </w:r>
      <w:r>
        <w:rPr>
          <w:rtl w:val="true"/>
        </w:rPr>
        <w:t xml:space="preserve">, </w:t>
      </w:r>
      <w:r>
        <w:rPr>
          <w:rtl w:val="true"/>
        </w:rPr>
        <w:t>כי שאלה משפטית עקרונית מונחת לפתחנו</w:t>
      </w:r>
      <w:r>
        <w:rPr>
          <w:rtl w:val="true"/>
        </w:rPr>
        <w:t xml:space="preserve">. </w:t>
      </w:r>
      <w:r>
        <w:rPr>
          <w:rtl w:val="true"/>
        </w:rPr>
        <w:t>לגופו של עניין</w:t>
      </w:r>
      <w:r>
        <w:rPr>
          <w:rtl w:val="true"/>
        </w:rPr>
        <w:t xml:space="preserve">, </w:t>
      </w:r>
      <w:r>
        <w:rPr>
          <w:rtl w:val="true"/>
        </w:rPr>
        <w:t>טענה באת</w:t>
      </w:r>
      <w:r>
        <w:rPr>
          <w:rtl w:val="true"/>
        </w:rPr>
        <w:t>-</w:t>
      </w:r>
      <w:r>
        <w:rPr>
          <w:rtl w:val="true"/>
        </w:rPr>
        <w:t>כוח המשיבה</w:t>
      </w:r>
      <w:r>
        <w:rPr>
          <w:rtl w:val="true"/>
        </w:rPr>
        <w:t xml:space="preserve">, </w:t>
      </w:r>
      <w:r>
        <w:rPr>
          <w:rtl w:val="true"/>
        </w:rPr>
        <w:t>כי בניגוד לנטען על</w:t>
      </w:r>
      <w:r>
        <w:rPr>
          <w:rtl w:val="true"/>
        </w:rPr>
        <w:t>-</w:t>
      </w:r>
      <w:r>
        <w:rPr>
          <w:rtl w:val="true"/>
        </w:rPr>
        <w:t>ידי באות</w:t>
      </w:r>
      <w:r>
        <w:rPr>
          <w:rtl w:val="true"/>
        </w:rPr>
        <w:t>-</w:t>
      </w:r>
      <w:r>
        <w:rPr>
          <w:rtl w:val="true"/>
        </w:rPr>
        <w:t>כוחו של מחמד</w:t>
      </w:r>
      <w:r>
        <w:rPr>
          <w:rtl w:val="true"/>
        </w:rPr>
        <w:t xml:space="preserve">, </w:t>
      </w:r>
      <w:r>
        <w:rPr>
          <w:rtl w:val="true"/>
        </w:rPr>
        <w:t>עמדת המשיבה היא</w:t>
      </w:r>
      <w:r>
        <w:rPr>
          <w:rtl w:val="true"/>
        </w:rPr>
        <w:t xml:space="preserve">, </w:t>
      </w:r>
      <w:r>
        <w:rPr>
          <w:rtl w:val="true"/>
        </w:rPr>
        <w:t>כי בית המשפט ה</w:t>
      </w:r>
      <w:r>
        <w:rPr>
          <w:rtl w:val="true"/>
        </w:rPr>
        <w:t>'</w:t>
      </w:r>
      <w:r>
        <w:rPr>
          <w:rtl w:val="true"/>
        </w:rPr>
        <w:t>ראשון</w:t>
      </w:r>
      <w:r>
        <w:rPr>
          <w:rtl w:val="true"/>
        </w:rPr>
        <w:t xml:space="preserve">' </w:t>
      </w:r>
      <w:r>
        <w:rPr>
          <w:rtl w:val="true"/>
        </w:rPr>
        <w:t>המצווה על ההתחייבות</w:t>
      </w:r>
      <w:r>
        <w:rPr>
          <w:rtl w:val="true"/>
        </w:rPr>
        <w:t xml:space="preserve">, </w:t>
      </w:r>
      <w:r>
        <w:rPr>
          <w:rtl w:val="true"/>
        </w:rPr>
        <w:t>הוא המוסמך להטיל מאסר חלף סכום ההתחייבות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באשר לטענות הנוגעות להיקף פריש</w:t>
      </w:r>
      <w:r>
        <w:rPr>
          <w:rtl w:val="true"/>
        </w:rPr>
        <w:t>ׂ</w:t>
      </w:r>
      <w:r>
        <w:rPr>
          <w:rtl w:val="true"/>
        </w:rPr>
        <w:t>תו של המאסר 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טענה ב</w:t>
      </w:r>
      <w:r>
        <w:rPr>
          <w:rtl w:val="true"/>
        </w:rPr>
        <w:t>"</w:t>
      </w:r>
      <w:r>
        <w:rPr>
          <w:rtl w:val="true"/>
        </w:rPr>
        <w:t>כ המשיבה</w:t>
      </w:r>
      <w:r>
        <w:rPr>
          <w:rtl w:val="true"/>
        </w:rPr>
        <w:t xml:space="preserve">, </w:t>
      </w:r>
      <w:r>
        <w:rPr>
          <w:rtl w:val="true"/>
        </w:rPr>
        <w:t>כי העבירות שבהן הורשע המערער</w:t>
      </w:r>
      <w:r>
        <w:rPr>
          <w:rtl w:val="true"/>
        </w:rPr>
        <w:t xml:space="preserve">, </w:t>
      </w:r>
      <w:r>
        <w:rPr>
          <w:rtl w:val="true"/>
        </w:rPr>
        <w:t>הן עבירות נשק</w:t>
      </w:r>
      <w:r>
        <w:rPr>
          <w:rtl w:val="true"/>
        </w:rPr>
        <w:t xml:space="preserve">, </w:t>
      </w:r>
      <w:r>
        <w:rPr>
          <w:rtl w:val="true"/>
        </w:rPr>
        <w:t>רכוש ואלימות במהותן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לא נפל פגם בגזר הדין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שהטיל על מחמד עונש מאסר 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אם יעבור עבירת נשק</w:t>
      </w:r>
      <w:r>
        <w:rPr>
          <w:rtl w:val="true"/>
        </w:rPr>
        <w:t xml:space="preserve">, </w:t>
      </w:r>
      <w:r>
        <w:rPr>
          <w:rtl w:val="true"/>
        </w:rPr>
        <w:t>רכוש ואלימות כלשהי</w:t>
      </w:r>
      <w:r>
        <w:rPr>
          <w:rtl w:val="true"/>
        </w:rPr>
        <w:t xml:space="preserve">, </w:t>
      </w:r>
      <w:r>
        <w:rPr>
          <w:rtl w:val="true"/>
        </w:rPr>
        <w:t>מבלי לתחו</w:t>
      </w:r>
      <w:r>
        <w:rPr>
          <w:rtl w:val="true"/>
        </w:rPr>
        <w:t>ֹ</w:t>
      </w:r>
      <w:r>
        <w:rPr>
          <w:rtl w:val="true"/>
        </w:rPr>
        <w:t>ם זאת לעבירות הספציפיות שבהן הורשע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שנתתי דעתי על טענות הצדדים</w:t>
      </w:r>
      <w:r>
        <w:rPr>
          <w:rtl w:val="true"/>
        </w:rPr>
        <w:t xml:space="preserve">, </w:t>
      </w:r>
      <w:r>
        <w:rPr>
          <w:rtl w:val="true"/>
        </w:rPr>
        <w:t>בכתב ובעל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באתי לכלל מסקנה כי דין הערעור</w:t>
      </w:r>
      <w:r>
        <w:rPr>
          <w:rtl w:val="true"/>
        </w:rPr>
        <w:t xml:space="preserve">, </w:t>
      </w:r>
      <w:r>
        <w:rPr>
          <w:rtl w:val="true"/>
        </w:rPr>
        <w:t xml:space="preserve">על </w:t>
      </w:r>
      <w:r>
        <w:rPr>
          <w:rtl w:val="true"/>
        </w:rPr>
        <w:t>שני</w:t>
      </w:r>
      <w:r>
        <w:rPr>
          <w:rtl w:val="true"/>
        </w:rPr>
        <w:t xml:space="preserve"> רכיביו – להידחות</w:t>
      </w:r>
      <w:r>
        <w:rPr>
          <w:rtl w:val="true"/>
        </w:rPr>
        <w:t xml:space="preserve">, </w:t>
      </w:r>
      <w:r>
        <w:rPr>
          <w:rtl w:val="true"/>
        </w:rPr>
        <w:t>וכך אציע לחברַי כי נעשה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אפתח בעניינו של המאסר חלף סכום ההתחייבות</w:t>
      </w:r>
      <w:r>
        <w:rPr>
          <w:rtl w:val="true"/>
        </w:rPr>
        <w:t xml:space="preserve">: </w:t>
      </w:r>
      <w:r>
        <w:rPr>
          <w:rtl w:val="true"/>
        </w:rPr>
        <w:t>הן מחמד</w:t>
      </w:r>
      <w:r>
        <w:rPr>
          <w:rtl w:val="true"/>
        </w:rPr>
        <w:t xml:space="preserve">, </w:t>
      </w:r>
      <w:r>
        <w:rPr>
          <w:rtl w:val="true"/>
        </w:rPr>
        <w:t>הן המשיבה</w:t>
      </w:r>
      <w:r>
        <w:rPr>
          <w:rtl w:val="true"/>
        </w:rPr>
        <w:t xml:space="preserve">, </w:t>
      </w:r>
      <w:r>
        <w:rPr>
          <w:rtl w:val="true"/>
        </w:rPr>
        <w:t>תמימי</w:t>
      </w:r>
      <w:r>
        <w:rPr>
          <w:rtl w:val="true"/>
        </w:rPr>
        <w:t>-</w:t>
      </w:r>
      <w:r>
        <w:rPr>
          <w:rtl w:val="true"/>
        </w:rPr>
        <w:t>דעים כי הערעור מעורר שאלה עקרונית</w:t>
      </w:r>
      <w:r>
        <w:rPr>
          <w:rtl w:val="true"/>
        </w:rPr>
        <w:t xml:space="preserve">, </w:t>
      </w:r>
      <w:r>
        <w:rPr>
          <w:rtl w:val="true"/>
        </w:rPr>
        <w:t>שעניינה</w:t>
      </w:r>
      <w:r>
        <w:rPr>
          <w:rtl w:val="true"/>
        </w:rPr>
        <w:t xml:space="preserve">, </w:t>
      </w:r>
      <w:r>
        <w:rPr>
          <w:rtl w:val="true"/>
        </w:rPr>
        <w:t>מיהו בית המשפט המוסמך להטיל מאסר חלף סכום ההתחייבות</w:t>
      </w:r>
      <w:r>
        <w:rPr>
          <w:rtl w:val="true"/>
        </w:rPr>
        <w:t xml:space="preserve">. </w:t>
      </w:r>
      <w:r>
        <w:rPr>
          <w:rtl w:val="true"/>
        </w:rPr>
        <w:t>האם בית המשפט הראשון</w:t>
      </w:r>
      <w:r>
        <w:rPr>
          <w:rtl w:val="true"/>
        </w:rPr>
        <w:t xml:space="preserve">, </w:t>
      </w:r>
      <w:r>
        <w:rPr>
          <w:rtl w:val="true"/>
        </w:rPr>
        <w:t>המטיל את ההתחייבות</w:t>
      </w:r>
      <w:r>
        <w:rPr>
          <w:rtl w:val="true"/>
        </w:rPr>
        <w:t xml:space="preserve">, </w:t>
      </w:r>
      <w:r>
        <w:rPr>
          <w:rtl w:val="true"/>
        </w:rPr>
        <w:t>או שמא בית המשפט השני</w:t>
      </w:r>
      <w:r>
        <w:rPr>
          <w:rtl w:val="true"/>
        </w:rPr>
        <w:t xml:space="preserve">, </w:t>
      </w:r>
      <w:r>
        <w:rPr>
          <w:rtl w:val="true"/>
        </w:rPr>
        <w:t>המפעיל אותה</w:t>
      </w:r>
      <w:r>
        <w:rPr>
          <w:rtl w:val="true"/>
        </w:rPr>
        <w:t xml:space="preserve">? </w:t>
      </w:r>
      <w:r>
        <w:rPr>
          <w:rtl w:val="true"/>
        </w:rPr>
        <w:t>מחמת</w:t>
      </w:r>
      <w:r>
        <w:rPr>
          <w:rtl w:val="true"/>
        </w:rPr>
        <w:t xml:space="preserve"> אותה שאלה עקרונית</w:t>
      </w:r>
      <w:r>
        <w:rPr>
          <w:rtl w:val="true"/>
        </w:rPr>
        <w:t xml:space="preserve">, </w:t>
      </w:r>
      <w:r>
        <w:rPr>
          <w:rtl w:val="true"/>
        </w:rPr>
        <w:t>יוצג מחמד בערעור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 הסנגוריה הציבורית הארצית</w:t>
      </w:r>
      <w:r>
        <w:rPr>
          <w:rtl w:val="true"/>
        </w:rPr>
        <w:t xml:space="preserve">. </w:t>
      </w:r>
      <w:r>
        <w:rPr>
          <w:rtl w:val="true"/>
        </w:rPr>
        <w:t>באות</w:t>
      </w:r>
      <w:r>
        <w:rPr>
          <w:rtl w:val="true"/>
        </w:rPr>
        <w:t>-</w:t>
      </w:r>
      <w:r>
        <w:rPr>
          <w:rtl w:val="true"/>
        </w:rPr>
        <w:t>כוחו של מחמד</w:t>
      </w:r>
      <w:r>
        <w:rPr>
          <w:rtl w:val="true"/>
        </w:rPr>
        <w:t xml:space="preserve">, </w:t>
      </w:r>
      <w:r>
        <w:rPr>
          <w:rtl w:val="true"/>
        </w:rPr>
        <w:t>פרש</w:t>
      </w:r>
      <w:r>
        <w:rPr>
          <w:rtl w:val="true"/>
        </w:rPr>
        <w:t>ׂ</w:t>
      </w:r>
      <w:r>
        <w:rPr>
          <w:rtl w:val="true"/>
        </w:rPr>
        <w:t>ו לפנינו את השיקולים השונים</w:t>
      </w:r>
      <w:r>
        <w:rPr>
          <w:rtl w:val="true"/>
        </w:rPr>
        <w:t xml:space="preserve">, </w:t>
      </w:r>
      <w:r>
        <w:rPr>
          <w:rtl w:val="true"/>
        </w:rPr>
        <w:t>והציגו את הנימוקים התומכים בעמדתן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 המשיבה הציגה גם היא שיקולי מדיניות</w:t>
      </w:r>
      <w:r>
        <w:rPr>
          <w:rtl w:val="true"/>
        </w:rPr>
        <w:t xml:space="preserve">, </w:t>
      </w:r>
      <w:r>
        <w:rPr>
          <w:rtl w:val="true"/>
        </w:rPr>
        <w:t>ונימוקים פרשניים</w:t>
      </w:r>
      <w:r>
        <w:rPr>
          <w:rtl w:val="true"/>
        </w:rPr>
        <w:t xml:space="preserve">, </w:t>
      </w:r>
      <w:r>
        <w:rPr>
          <w:rtl w:val="true"/>
        </w:rPr>
        <w:t>התומכים דווקא בעמד</w:t>
      </w:r>
      <w:r>
        <w:rPr>
          <w:rtl w:val="true"/>
        </w:rPr>
        <w:t>ת</w:t>
      </w:r>
      <w:r>
        <w:rPr>
          <w:rtl w:val="true"/>
        </w:rPr>
        <w:t>ה</w:t>
      </w:r>
      <w:r>
        <w:rPr>
          <w:rtl w:val="true"/>
        </w:rPr>
        <w:t>-</w:t>
      </w:r>
      <w:r>
        <w:rPr>
          <w:rtl w:val="true"/>
        </w:rPr>
        <w:t>שלה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דומה כי הסניגוריה הציבורית מן העבר האחד</w:t>
      </w:r>
      <w:r>
        <w:rPr>
          <w:rtl w:val="true"/>
        </w:rPr>
        <w:t xml:space="preserve">, </w:t>
      </w:r>
      <w:r>
        <w:rPr>
          <w:rtl w:val="true"/>
        </w:rPr>
        <w:t>והמשיבה מן העבר השני</w:t>
      </w:r>
      <w:r>
        <w:rPr>
          <w:rtl w:val="true"/>
        </w:rPr>
        <w:t xml:space="preserve">, </w:t>
      </w:r>
      <w:r>
        <w:rPr>
          <w:rtl w:val="true"/>
        </w:rPr>
        <w:t>ברצונן לקדם הכרעה</w:t>
      </w:r>
      <w:r>
        <w:rPr>
          <w:rtl w:val="true"/>
        </w:rPr>
        <w:t xml:space="preserve"> במחלוקת העקרונית שנפלה ביניהן</w:t>
      </w:r>
      <w:r>
        <w:rPr>
          <w:rtl w:val="true"/>
        </w:rPr>
        <w:t>, '</w:t>
      </w:r>
      <w:r>
        <w:rPr>
          <w:rtl w:val="true"/>
        </w:rPr>
        <w:t>רתמו את העגלה לפני הסוסים</w:t>
      </w:r>
      <w:r>
        <w:rPr>
          <w:rtl w:val="true"/>
        </w:rPr>
        <w:t xml:space="preserve">'. </w:t>
      </w:r>
      <w:r>
        <w:rPr>
          <w:rtl w:val="true"/>
        </w:rPr>
        <w:t>ל</w:t>
      </w:r>
      <w:r>
        <w:rPr>
          <w:rtl w:val="true"/>
        </w:rPr>
        <w:t>גבי דידי</w:t>
      </w:r>
      <w:r>
        <w:rPr>
          <w:rtl w:val="true"/>
        </w:rPr>
        <w:t xml:space="preserve">, </w:t>
      </w:r>
      <w:r>
        <w:rPr>
          <w:rtl w:val="true"/>
        </w:rPr>
        <w:t>אותה סוגיה עקרונית</w:t>
      </w:r>
      <w:r>
        <w:rPr>
          <w:rtl w:val="true"/>
        </w:rPr>
        <w:t xml:space="preserve">, </w:t>
      </w:r>
      <w:r>
        <w:rPr>
          <w:rtl w:val="true"/>
        </w:rPr>
        <w:t>שלגביה טענו הצדדים בהרחבה</w:t>
      </w:r>
      <w:r>
        <w:rPr>
          <w:rtl w:val="true"/>
        </w:rPr>
        <w:t xml:space="preserve">, </w:t>
      </w:r>
      <w:r>
        <w:rPr>
          <w:rtl w:val="true"/>
        </w:rPr>
        <w:t>כלל אינה מתעוררת בנידון דידן</w:t>
      </w:r>
      <w:r>
        <w:rPr>
          <w:rtl w:val="true"/>
        </w:rPr>
        <w:t xml:space="preserve">. </w:t>
      </w:r>
      <w:r>
        <w:rPr>
          <w:rtl w:val="true"/>
        </w:rPr>
        <w:t>ראוי</w:t>
      </w:r>
      <w:r>
        <w:rPr>
          <w:rtl w:val="true"/>
        </w:rPr>
        <w:t xml:space="preserve"> להותירה אפוא לעת מצוא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כמה מסעיפי </w:t>
      </w:r>
      <w:hyperlink r:id="rId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רלבנטיים לענייננו</w:t>
      </w:r>
      <w:r>
        <w:rPr>
          <w:rtl w:val="true"/>
        </w:rPr>
        <w:t xml:space="preserve">: </w:t>
      </w:r>
      <w:hyperlink r:id="rId3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, </w:t>
      </w:r>
      <w:r>
        <w:rPr>
          <w:rtl w:val="true"/>
        </w:rPr>
        <w:t>עוסק בנאשם שהורשע</w:t>
      </w:r>
      <w:r>
        <w:rPr>
          <w:rtl w:val="true"/>
        </w:rPr>
        <w:t xml:space="preserve">, </w:t>
      </w:r>
      <w:r>
        <w:rPr>
          <w:rtl w:val="true"/>
        </w:rPr>
        <w:t>הוטלה עליו התחייבות</w:t>
      </w:r>
      <w:r>
        <w:rPr>
          <w:rtl w:val="true"/>
        </w:rPr>
        <w:t xml:space="preserve">, </w:t>
      </w:r>
      <w:r>
        <w:rPr>
          <w:rtl w:val="true"/>
        </w:rPr>
        <w:t>וה</w:t>
      </w:r>
      <w:r>
        <w:rPr>
          <w:rtl w:val="true"/>
        </w:rPr>
        <w:t>סעיף</w:t>
      </w:r>
      <w:r>
        <w:rPr>
          <w:rtl w:val="true"/>
        </w:rPr>
        <w:t xml:space="preserve"> קובע כך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שהרשיע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רשאי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נוסף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שהטיל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לצוות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שהנידון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ייתן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התחייבות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להימנע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תקופה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שיקבע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ושלא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תעלה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hyperlink r:id="rId3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שכותרתו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התחייבות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עניינו בנאשם</w:t>
      </w:r>
      <w:r>
        <w:rPr>
          <w:rtl w:val="true"/>
        </w:rPr>
        <w:t xml:space="preserve">, </w:t>
      </w:r>
      <w:r>
        <w:rPr>
          <w:rtl w:val="true"/>
        </w:rPr>
        <w:t xml:space="preserve">המסרב ליתן את </w:t>
      </w:r>
      <w:r>
        <w:rPr>
          <w:rtl w:val="true"/>
        </w:rPr>
        <w:t>ה</w:t>
      </w:r>
      <w:r>
        <w:rPr>
          <w:rtl w:val="true"/>
        </w:rPr>
        <w:t>התחייבות עצמה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ציווה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סעיף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72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התחייבות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להימנע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מעבירה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רשאי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לכפותו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לציית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לצו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וליתן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ההתחייבות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שיטיל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לתקופה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תעלה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שלושה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חדשים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hyperlink r:id="rId3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נכנס לפעולה בשלב מאוחר יותר</w:t>
      </w:r>
      <w:r>
        <w:rPr>
          <w:rtl w:val="true"/>
        </w:rPr>
        <w:t xml:space="preserve">, </w:t>
      </w:r>
      <w:r>
        <w:rPr>
          <w:rtl w:val="true"/>
        </w:rPr>
        <w:t>לאחר שנאשם התחייב שלא לעבור עבירה נוספת</w:t>
      </w:r>
      <w:r>
        <w:rPr>
          <w:rtl w:val="true"/>
        </w:rPr>
        <w:t xml:space="preserve">, </w:t>
      </w:r>
      <w:r>
        <w:rPr>
          <w:rtl w:val="true"/>
        </w:rPr>
        <w:t>כפי שהורה בית המשפט</w:t>
      </w:r>
      <w:r>
        <w:rPr>
          <w:rtl w:val="true"/>
        </w:rPr>
        <w:t xml:space="preserve">, </w:t>
      </w:r>
      <w:r>
        <w:rPr>
          <w:rtl w:val="true"/>
        </w:rPr>
        <w:t>אך לא עמד בהתחייבותו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התחייב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סעיף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72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להימנע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מעבירה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הרשיעו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שהתחייב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להימנע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קבע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ביצע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כאמור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הרשיעו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יצווה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שהרשיע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שקבע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כאמור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תשלום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סכום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ההתחייבות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סכום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ההתחייבות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יהא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סכום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קנס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ויחולו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הוראות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סעיפים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66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70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התחייבות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שהוטלה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סעיף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72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) </w:t>
      </w:r>
      <w:r>
        <w:rPr>
          <w:rFonts w:cs="Century" w:ascii="Century" w:hAnsi="Century"/>
          <w:sz w:val="22"/>
          <w:rtl w:val="true"/>
        </w:rPr>
        <w:t>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הוראות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סעיף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71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hyperlink r:id="rId3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מאפשר להטיל על מי שחויב בתשלום קנס</w:t>
      </w:r>
      <w:r>
        <w:rPr>
          <w:rtl w:val="true"/>
        </w:rPr>
        <w:t xml:space="preserve">, </w:t>
      </w:r>
      <w:r>
        <w:rPr>
          <w:rtl w:val="true"/>
        </w:rPr>
        <w:t>ולא שילמו</w:t>
      </w:r>
      <w:r>
        <w:rPr>
          <w:rtl w:val="true"/>
        </w:rPr>
        <w:t>ֹ</w:t>
      </w:r>
      <w:r>
        <w:rPr>
          <w:rtl w:val="true"/>
        </w:rPr>
        <w:t xml:space="preserve">, </w:t>
      </w:r>
      <w:r>
        <w:rPr>
          <w:rtl w:val="true"/>
        </w:rPr>
        <w:t>מאסר חלף קנס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מחמד</w:t>
      </w:r>
      <w:r>
        <w:rPr>
          <w:rtl w:val="true"/>
        </w:rPr>
        <w:t xml:space="preserve">, </w:t>
      </w:r>
      <w:r>
        <w:rPr>
          <w:rtl w:val="true"/>
        </w:rPr>
        <w:t>המיוצג כאמור על</w:t>
      </w:r>
      <w:r>
        <w:rPr>
          <w:rtl w:val="true"/>
        </w:rPr>
        <w:t>-</w:t>
      </w:r>
      <w:r>
        <w:rPr>
          <w:rtl w:val="true"/>
        </w:rPr>
        <w:t>ידי הסנגוריה הציבורית</w:t>
      </w:r>
      <w:r>
        <w:rPr>
          <w:rtl w:val="true"/>
        </w:rPr>
        <w:t xml:space="preserve">, </w:t>
      </w:r>
      <w:r>
        <w:rPr>
          <w:rtl w:val="true"/>
        </w:rPr>
        <w:t>והמשיבה</w:t>
      </w:r>
      <w:r>
        <w:rPr>
          <w:rtl w:val="true"/>
        </w:rPr>
        <w:t xml:space="preserve">, </w:t>
      </w:r>
      <w:r>
        <w:rPr>
          <w:rtl w:val="true"/>
        </w:rPr>
        <w:t xml:space="preserve">מתגוששים סביב פרשנותו הנכונה של </w:t>
      </w:r>
      <w:hyperlink r:id="rId4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: </w:t>
      </w:r>
      <w:r>
        <w:rPr>
          <w:rtl w:val="true"/>
        </w:rPr>
        <w:t xml:space="preserve">מיהו בית המשפט שרשאי להפעיל את הוראות </w:t>
      </w:r>
      <w:hyperlink r:id="rId4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71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, </w:t>
      </w:r>
      <w:r>
        <w:rPr>
          <w:rtl w:val="true"/>
        </w:rPr>
        <w:t>ולקבוע מאסר חלף סכום ההתחייבות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tl w:val="true"/>
        </w:rPr>
        <w:t xml:space="preserve">, </w:t>
      </w:r>
      <w:r>
        <w:rPr>
          <w:rtl w:val="true"/>
        </w:rPr>
        <w:t>כשיטת המשיבה</w:t>
      </w:r>
      <w:r>
        <w:rPr>
          <w:rtl w:val="true"/>
        </w:rPr>
        <w:t xml:space="preserve">, </w:t>
      </w:r>
      <w:r>
        <w:rPr>
          <w:rtl w:val="true"/>
        </w:rPr>
        <w:t>בית המשפט הראשון</w:t>
      </w:r>
      <w:r>
        <w:rPr>
          <w:rtl w:val="true"/>
        </w:rPr>
        <w:t xml:space="preserve">, </w:t>
      </w:r>
      <w:r>
        <w:rPr>
          <w:rtl w:val="true"/>
        </w:rPr>
        <w:t>שהורה על ההתחייבות</w:t>
      </w:r>
      <w:r>
        <w:rPr>
          <w:rtl w:val="true"/>
        </w:rPr>
        <w:t xml:space="preserve">, </w:t>
      </w:r>
      <w:r>
        <w:rPr>
          <w:rtl w:val="true"/>
        </w:rPr>
        <w:t>הוא שרשאי להורות כבר באותה עת</w:t>
      </w:r>
      <w:r>
        <w:rPr>
          <w:rtl w:val="true"/>
        </w:rPr>
        <w:t xml:space="preserve">, </w:t>
      </w:r>
      <w:r>
        <w:rPr>
          <w:rtl w:val="true"/>
        </w:rPr>
        <w:t>על הטלת מאסר חלף סכום ההתחייבות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ככל שהנאשם ישוב לסורו</w:t>
      </w:r>
      <w:r>
        <w:rPr>
          <w:rtl w:val="true"/>
        </w:rPr>
        <w:t xml:space="preserve">, </w:t>
      </w:r>
      <w:r>
        <w:rPr>
          <w:rtl w:val="true"/>
        </w:rPr>
        <w:t>יפר את ההתחייבות</w:t>
      </w:r>
      <w:r>
        <w:rPr>
          <w:rtl w:val="true"/>
        </w:rPr>
        <w:t xml:space="preserve">, </w:t>
      </w:r>
      <w:r>
        <w:rPr>
          <w:rtl w:val="true"/>
        </w:rPr>
        <w:t>ולא יעמוד בתשלום סכום התחייבות</w:t>
      </w:r>
      <w:r>
        <w:rPr>
          <w:rtl w:val="true"/>
        </w:rPr>
        <w:t xml:space="preserve">. </w:t>
      </w:r>
      <w:r>
        <w:rPr>
          <w:rtl w:val="true"/>
        </w:rPr>
        <w:t>או שמא</w:t>
      </w:r>
      <w:r>
        <w:rPr>
          <w:rtl w:val="true"/>
        </w:rPr>
        <w:t xml:space="preserve">, </w:t>
      </w:r>
      <w:r>
        <w:rPr>
          <w:rtl w:val="true"/>
        </w:rPr>
        <w:t>כשיטת הסנגוריה הציבורית</w:t>
      </w:r>
      <w:r>
        <w:rPr>
          <w:rtl w:val="true"/>
        </w:rPr>
        <w:t xml:space="preserve">, </w:t>
      </w:r>
      <w:r>
        <w:rPr>
          <w:rtl w:val="true"/>
        </w:rPr>
        <w:t>בית המשפט השני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מפעיל</w:t>
      </w:r>
      <w:r>
        <w:rPr>
          <w:rtl w:val="true"/>
        </w:rPr>
        <w:t xml:space="preserve">' </w:t>
      </w:r>
      <w:r>
        <w:rPr>
          <w:rtl w:val="true"/>
        </w:rPr>
        <w:t>את ההתחייבות</w:t>
      </w:r>
      <w:r>
        <w:rPr>
          <w:rtl w:val="true"/>
        </w:rPr>
        <w:t xml:space="preserve">, </w:t>
      </w:r>
      <w:r>
        <w:rPr>
          <w:rtl w:val="true"/>
        </w:rPr>
        <w:t>לאחר שהנאשם לא עמד בתנאיה</w:t>
      </w:r>
      <w:r>
        <w:rPr>
          <w:rtl w:val="true"/>
        </w:rPr>
        <w:t xml:space="preserve">, </w:t>
      </w:r>
      <w:r>
        <w:rPr>
          <w:rtl w:val="true"/>
        </w:rPr>
        <w:t>הוא המוסמך להורות על מאסר חלף סכום ההתחייבות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השאלה האמורה – שאלה נכבדה היא</w:t>
      </w:r>
      <w:r>
        <w:rPr>
          <w:rtl w:val="true"/>
        </w:rPr>
        <w:t xml:space="preserve">. </w:t>
      </w:r>
      <w:r>
        <w:rPr>
          <w:rtl w:val="true"/>
        </w:rPr>
        <w:t>אלא מאי</w:t>
      </w:r>
      <w:r>
        <w:rPr>
          <w:rtl w:val="true"/>
        </w:rPr>
        <w:t xml:space="preserve">? </w:t>
      </w:r>
      <w:r>
        <w:rPr>
          <w:rtl w:val="true"/>
        </w:rPr>
        <w:t xml:space="preserve">עניינו של מחמד כלל אינו מעורר את </w:t>
      </w:r>
      <w:r>
        <w:rPr>
          <w:rtl w:val="true"/>
        </w:rPr>
        <w:t>ה</w:t>
      </w:r>
      <w:r>
        <w:rPr>
          <w:rtl w:val="true"/>
        </w:rPr>
        <w:t>שאלה</w:t>
      </w:r>
      <w:r>
        <w:rPr>
          <w:rtl w:val="true"/>
        </w:rPr>
        <w:t xml:space="preserve">. </w:t>
      </w:r>
      <w:r>
        <w:rPr>
          <w:rtl w:val="true"/>
        </w:rPr>
        <w:t>בגזר הדין של בית המשפט המחוזי נקבע כך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מחייבת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בחתימה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התחייבות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כספית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5,000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25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תמורתה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להימנע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במשך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שנתיים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מלעבור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בנשק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אלימות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מסוג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פשע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רכוש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מסוג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פשע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ההדגשה הוּספה – נ</w:t>
      </w:r>
      <w:r>
        <w:rPr>
          <w:rtl w:val="true"/>
        </w:rPr>
        <w:t xml:space="preserve">' </w:t>
      </w:r>
      <w:r>
        <w:rPr>
          <w:rtl w:val="true"/>
        </w:rPr>
        <w:t>ס</w:t>
      </w:r>
      <w:r>
        <w:rPr>
          <w:rtl w:val="true"/>
        </w:rPr>
        <w:t xml:space="preserve">'). </w:t>
      </w:r>
      <w:r>
        <w:rPr>
          <w:rtl w:val="true"/>
        </w:rPr>
        <w:t xml:space="preserve">כפי שציין חברי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כשר</w:t>
      </w:r>
      <w:r>
        <w:rPr>
          <w:rtl w:val="true"/>
        </w:rPr>
        <w:t xml:space="preserve">, </w:t>
      </w:r>
      <w:r>
        <w:rPr>
          <w:rtl w:val="true"/>
        </w:rPr>
        <w:t>במהלך הדיון בערעור</w:t>
      </w:r>
      <w:r>
        <w:rPr>
          <w:rtl w:val="true"/>
        </w:rPr>
        <w:t xml:space="preserve">, </w:t>
      </w:r>
      <w:r>
        <w:rPr>
          <w:rtl w:val="true"/>
        </w:rPr>
        <w:t>קריאה פשטנית של דברי 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מוליכה למסקנה כי אותם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ימי מאסר</w:t>
      </w:r>
      <w:r>
        <w:rPr>
          <w:rtl w:val="true"/>
        </w:rPr>
        <w:t xml:space="preserve">, </w:t>
      </w:r>
      <w:r>
        <w:rPr>
          <w:rtl w:val="true"/>
        </w:rPr>
        <w:t>לא נגזרו חלף סכום ההתחייבות</w:t>
      </w:r>
      <w:r>
        <w:rPr>
          <w:rtl w:val="true"/>
        </w:rPr>
        <w:t xml:space="preserve">. </w:t>
      </w:r>
      <w:r>
        <w:rPr>
          <w:rtl w:val="true"/>
        </w:rPr>
        <w:t>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כלל לא נתן דעתו </w:t>
      </w:r>
      <w:r>
        <w:rPr>
          <w:rtl w:val="true"/>
        </w:rPr>
        <w:t xml:space="preserve">על </w:t>
      </w:r>
      <w:r>
        <w:rPr>
          <w:rtl w:val="true"/>
        </w:rPr>
        <w:t>מקרה בו מחמד לא יעמוד בדיבורו</w:t>
      </w:r>
      <w:r>
        <w:rPr>
          <w:rtl w:val="true"/>
        </w:rPr>
        <w:t xml:space="preserve">, </w:t>
      </w:r>
      <w:r>
        <w:rPr>
          <w:rtl w:val="true"/>
        </w:rPr>
        <w:t>יפר את התחייבותו</w:t>
      </w:r>
      <w:r>
        <w:rPr>
          <w:rtl w:val="true"/>
        </w:rPr>
        <w:t xml:space="preserve">, </w:t>
      </w:r>
      <w:r>
        <w:rPr>
          <w:rtl w:val="true"/>
        </w:rPr>
        <w:t>וימנע מלשלם את סכומהּ</w:t>
      </w:r>
      <w:r>
        <w:rPr>
          <w:rtl w:val="true"/>
        </w:rPr>
        <w:t xml:space="preserve">. </w:t>
      </w:r>
      <w:r>
        <w:rPr>
          <w:rtl w:val="true"/>
        </w:rPr>
        <w:t>כל שנקבע בגזר הדין הוא</w:t>
      </w:r>
      <w:r>
        <w:rPr>
          <w:rtl w:val="true"/>
        </w:rPr>
        <w:t xml:space="preserve">, </w:t>
      </w:r>
      <w:r>
        <w:rPr>
          <w:rtl w:val="true"/>
        </w:rPr>
        <w:t>כי אם מחמד יסרב להתחייב</w:t>
      </w:r>
      <w:r>
        <w:rPr>
          <w:rtl w:val="true"/>
        </w:rPr>
        <w:t xml:space="preserve">, </w:t>
      </w:r>
      <w:r>
        <w:rPr>
          <w:rtl w:val="true"/>
        </w:rPr>
        <w:t>כפי שהורה בית המשפט</w:t>
      </w:r>
      <w:r>
        <w:rPr>
          <w:rtl w:val="true"/>
        </w:rPr>
        <w:t xml:space="preserve">, </w:t>
      </w:r>
      <w:r>
        <w:rPr>
          <w:rtl w:val="true"/>
        </w:rPr>
        <w:t xml:space="preserve">הרי שהוא ירצה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ימי מאסר חלף ההתחייבות גופהּ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בהתאם להוראתו של </w:t>
      </w:r>
      <w:hyperlink r:id="rId4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אילו פרשנותן של הסניגוריה הציב</w:t>
      </w:r>
      <w:r>
        <w:rPr>
          <w:rtl w:val="true"/>
        </w:rPr>
        <w:t>ו</w:t>
      </w:r>
      <w:r>
        <w:rPr>
          <w:rtl w:val="true"/>
        </w:rPr>
        <w:t>רית</w:t>
      </w:r>
      <w:r>
        <w:rPr>
          <w:rtl w:val="true"/>
        </w:rPr>
        <w:t xml:space="preserve">, </w:t>
      </w:r>
      <w:r>
        <w:rPr>
          <w:rtl w:val="true"/>
        </w:rPr>
        <w:t>ושל המשיבה היתה נכונה</w:t>
      </w:r>
      <w:r>
        <w:rPr>
          <w:rtl w:val="true"/>
        </w:rPr>
        <w:t xml:space="preserve">, </w:t>
      </w:r>
      <w:r>
        <w:rPr>
          <w:rtl w:val="true"/>
        </w:rPr>
        <w:t xml:space="preserve">היה על בית המשפט המחוזי לנקוט בלשון </w:t>
      </w:r>
      <w:r>
        <w:rPr>
          <w:rtl w:val="true"/>
        </w:rPr>
        <w:t>'</w:t>
      </w:r>
      <w:r>
        <w:rPr>
          <w:rtl w:val="true"/>
        </w:rPr>
        <w:t>תמורתו</w:t>
      </w:r>
      <w:r>
        <w:rPr>
          <w:rtl w:val="true"/>
        </w:rPr>
        <w:t xml:space="preserve">', </w:t>
      </w:r>
      <w:r>
        <w:rPr>
          <w:rtl w:val="true"/>
        </w:rPr>
        <w:t>שמשמעה תמורת סכום ההתחייבות</w:t>
      </w:r>
      <w:r>
        <w:rPr>
          <w:rtl w:val="true"/>
        </w:rPr>
        <w:t xml:space="preserve">, </w:t>
      </w:r>
      <w:r>
        <w:rPr>
          <w:rtl w:val="true"/>
        </w:rPr>
        <w:t xml:space="preserve">או לחלופין בלשון </w:t>
      </w:r>
      <w:r>
        <w:rPr>
          <w:rtl w:val="true"/>
        </w:rPr>
        <w:t>'</w:t>
      </w:r>
      <w:r>
        <w:rPr>
          <w:rtl w:val="true"/>
        </w:rPr>
        <w:t>תמורתם</w:t>
      </w:r>
      <w:r>
        <w:rPr>
          <w:rtl w:val="true"/>
        </w:rPr>
        <w:t xml:space="preserve">', </w:t>
      </w:r>
      <w:r>
        <w:rPr>
          <w:rtl w:val="true"/>
        </w:rPr>
        <w:t xml:space="preserve">שמשמעה תמורת אותם </w:t>
      </w:r>
      <w:r>
        <w:rPr/>
        <w:t>5,000</w:t>
      </w:r>
      <w:r>
        <w:rPr>
          <w:rtl w:val="true"/>
        </w:rPr>
        <w:t xml:space="preserve"> ₪ </w:t>
      </w:r>
      <w:r>
        <w:rPr>
          <w:rtl w:val="true"/>
        </w:rPr>
        <w:t>שנקבעו בהתחייבות</w:t>
      </w:r>
      <w:r>
        <w:rPr>
          <w:rtl w:val="true"/>
        </w:rPr>
        <w:t xml:space="preserve">. </w:t>
      </w:r>
      <w:r>
        <w:rPr>
          <w:rtl w:val="true"/>
        </w:rPr>
        <w:t xml:space="preserve">השימוש במונח </w:t>
      </w:r>
      <w:r>
        <w:rPr>
          <w:rtl w:val="true"/>
        </w:rPr>
        <w:t>'</w:t>
      </w:r>
      <w:r>
        <w:rPr>
          <w:rtl w:val="true"/>
        </w:rPr>
        <w:t>תמורתה</w:t>
      </w:r>
      <w:r>
        <w:rPr>
          <w:rtl w:val="true"/>
        </w:rPr>
        <w:t xml:space="preserve">', </w:t>
      </w:r>
      <w:r>
        <w:rPr>
          <w:rtl w:val="true"/>
        </w:rPr>
        <w:t>בלשון נקיבה</w:t>
      </w:r>
      <w:r>
        <w:rPr>
          <w:rtl w:val="true"/>
        </w:rPr>
        <w:t xml:space="preserve">, </w:t>
      </w:r>
      <w:r>
        <w:rPr>
          <w:rtl w:val="true"/>
        </w:rPr>
        <w:t>מלמד כי ימי המאסר נקבעו תמורת ההתחייבות עצמה</w:t>
      </w:r>
      <w:r>
        <w:rPr>
          <w:rtl w:val="true"/>
        </w:rPr>
        <w:t xml:space="preserve">; </w:t>
      </w:r>
      <w:r>
        <w:rPr>
          <w:rtl w:val="true"/>
        </w:rPr>
        <w:t>לא תמורת סכום ההתחייבות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אוסיף</w:t>
      </w:r>
      <w:r>
        <w:rPr>
          <w:rtl w:val="true"/>
        </w:rPr>
        <w:t xml:space="preserve">, </w:t>
      </w:r>
      <w:r>
        <w:rPr>
          <w:rtl w:val="true"/>
        </w:rPr>
        <w:t>כי עיון ב</w:t>
      </w:r>
      <w:r>
        <w:rPr>
          <w:rtl w:val="true"/>
        </w:rPr>
        <w:t>'</w:t>
      </w:r>
      <w:r>
        <w:rPr>
          <w:rtl w:val="true"/>
        </w:rPr>
        <w:t>תדפיס המידע הפלילי</w:t>
      </w:r>
      <w:r>
        <w:rPr>
          <w:rtl w:val="true"/>
        </w:rPr>
        <w:t xml:space="preserve">', </w:t>
      </w:r>
      <w:r>
        <w:rPr>
          <w:rtl w:val="true"/>
        </w:rPr>
        <w:t>בעניינו של מחמד</w:t>
      </w:r>
      <w:r>
        <w:rPr>
          <w:rtl w:val="true"/>
        </w:rPr>
        <w:t xml:space="preserve">, </w:t>
      </w:r>
      <w:r>
        <w:rPr>
          <w:rtl w:val="true"/>
        </w:rPr>
        <w:t>שהוגש על</w:t>
      </w:r>
      <w:r>
        <w:rPr>
          <w:rtl w:val="true"/>
        </w:rPr>
        <w:t>-</w:t>
      </w:r>
      <w:r>
        <w:rPr>
          <w:rtl w:val="true"/>
        </w:rPr>
        <w:t>ידי המשיבה</w:t>
      </w:r>
      <w:r>
        <w:rPr>
          <w:rtl w:val="true"/>
        </w:rPr>
        <w:t xml:space="preserve">, </w:t>
      </w:r>
      <w:r>
        <w:rPr>
          <w:rtl w:val="true"/>
        </w:rPr>
        <w:t>ומבוסס על מרשם המידע הפלילי</w:t>
      </w:r>
      <w:r>
        <w:rPr>
          <w:rtl w:val="true"/>
        </w:rPr>
        <w:t xml:space="preserve">, </w:t>
      </w:r>
      <w:r>
        <w:rPr>
          <w:rtl w:val="true"/>
        </w:rPr>
        <w:t>תומך גם הוא בפרשנות האמורה</w:t>
      </w:r>
      <w:r>
        <w:rPr>
          <w:rtl w:val="true"/>
        </w:rPr>
        <w:t xml:space="preserve">. </w:t>
      </w:r>
      <w:r>
        <w:rPr>
          <w:rtl w:val="true"/>
        </w:rPr>
        <w:t>בהתייחס לעונש שנגזר עליו בגזר הדין מושא הערעור</w:t>
      </w:r>
      <w:r>
        <w:rPr>
          <w:rtl w:val="true"/>
        </w:rPr>
        <w:t xml:space="preserve">, </w:t>
      </w:r>
      <w:r>
        <w:rPr>
          <w:rtl w:val="true"/>
        </w:rPr>
        <w:t xml:space="preserve">תחת הכותרת </w:t>
      </w:r>
      <w:r>
        <w:rPr>
          <w:rtl w:val="true"/>
        </w:rPr>
        <w:t>'</w:t>
      </w:r>
      <w:r>
        <w:rPr>
          <w:rtl w:val="true"/>
        </w:rPr>
        <w:t>עונשים וצווים</w:t>
      </w:r>
      <w:r>
        <w:rPr>
          <w:rtl w:val="true"/>
        </w:rPr>
        <w:t xml:space="preserve">', </w:t>
      </w:r>
      <w:r>
        <w:rPr>
          <w:rtl w:val="true"/>
        </w:rPr>
        <w:t>נכתב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התחייבות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להימנע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בסך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</w:rPr>
        <w:t>5000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חדש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תקופת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יחתום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</w:rPr>
        <w:t>25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ימים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ההדגשה הוּספה – נ</w:t>
      </w:r>
      <w:r>
        <w:rPr>
          <w:rtl w:val="true"/>
        </w:rPr>
        <w:t xml:space="preserve">' </w:t>
      </w:r>
      <w:r>
        <w:rPr>
          <w:rtl w:val="true"/>
        </w:rPr>
        <w:t>ס</w:t>
      </w:r>
      <w:r>
        <w:rPr>
          <w:rtl w:val="true"/>
        </w:rPr>
        <w:t xml:space="preserve">'). </w:t>
      </w:r>
      <w:r>
        <w:rPr>
          <w:rtl w:val="true"/>
        </w:rPr>
        <w:t>מרשם המידע הפלילי</w:t>
      </w:r>
      <w:r>
        <w:rPr>
          <w:rtl w:val="true"/>
        </w:rPr>
        <w:t xml:space="preserve">, </w:t>
      </w:r>
      <w:r>
        <w:rPr>
          <w:rtl w:val="true"/>
        </w:rPr>
        <w:t>הוא כלי</w:t>
      </w:r>
      <w:r>
        <w:rPr>
          <w:rtl w:val="true"/>
        </w:rPr>
        <w:t>-</w:t>
      </w:r>
      <w:r>
        <w:rPr>
          <w:rtl w:val="true"/>
        </w:rPr>
        <w:t>עזר אינפורמטיבי</w:t>
      </w:r>
      <w:r>
        <w:rPr>
          <w:rtl w:val="true"/>
        </w:rPr>
        <w:t xml:space="preserve">, </w:t>
      </w:r>
      <w:r>
        <w:rPr>
          <w:rtl w:val="true"/>
        </w:rPr>
        <w:t xml:space="preserve">אין באמור בו כדי לגבור על </w:t>
      </w:r>
      <w:r>
        <w:rPr>
          <w:rtl w:val="true"/>
        </w:rPr>
        <w:t xml:space="preserve">מה </w:t>
      </w:r>
      <w:r>
        <w:rPr>
          <w:rtl w:val="true"/>
        </w:rPr>
        <w:t>שנקבע בגזר הדין גופו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יש בו כדי להוות אינדיקציה נוספת</w:t>
      </w:r>
      <w:r>
        <w:rPr>
          <w:rtl w:val="true"/>
        </w:rPr>
        <w:t xml:space="preserve">, </w:t>
      </w:r>
      <w:r>
        <w:rPr>
          <w:rtl w:val="true"/>
        </w:rPr>
        <w:t>בעת בחירת הפרשנות הנכונה שאותה יש ליתן לגזר הדין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באות</w:t>
      </w:r>
      <w:r>
        <w:rPr>
          <w:rtl w:val="true"/>
        </w:rPr>
        <w:t>-</w:t>
      </w:r>
      <w:r>
        <w:rPr>
          <w:rtl w:val="true"/>
        </w:rPr>
        <w:t>כוחו של מחמד</w:t>
      </w:r>
      <w:r>
        <w:rPr>
          <w:rtl w:val="true"/>
        </w:rPr>
        <w:t xml:space="preserve">, </w:t>
      </w:r>
      <w:r>
        <w:rPr>
          <w:rtl w:val="true"/>
        </w:rPr>
        <w:t>היו ערות לכך שזוהי פרשנות אפשרית של דברי בית המשפט המחוזי</w:t>
      </w:r>
      <w:r>
        <w:rPr>
          <w:rtl w:val="true"/>
        </w:rPr>
        <w:t xml:space="preserve">. </w:t>
      </w:r>
      <w:r>
        <w:rPr>
          <w:rtl w:val="true"/>
        </w:rPr>
        <w:t>בנימוקי הערעור צוין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למען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התמונה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ולמעלה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הצורך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נבקש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להבחין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הסיטואציה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עוסק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סעיף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74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לחוק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מזו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עוסקים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במקרה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דנן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סעיף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74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מסמיך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להטיל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התחייבות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רלוונטי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נדרש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ההתחייבות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במזכירות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ובנפרד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הוראת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רלוונטית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במעמד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מצהיר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לפרוטוקול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ההתחייבות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שאירע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במקרה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כבר במהלך הדיון 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 xml:space="preserve">העיר חברי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כשר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ספק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קבע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שאתם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אומרים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שקבע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ומערערים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עליו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ניתנה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התחייבות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שהוקרא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?!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אפשרי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עיון בפרוטוקול הדיון בבית המשפט המחוזי</w:t>
      </w:r>
      <w:r>
        <w:rPr>
          <w:rtl w:val="true"/>
        </w:rPr>
        <w:t xml:space="preserve">, </w:t>
      </w:r>
      <w:r>
        <w:rPr>
          <w:rtl w:val="true"/>
        </w:rPr>
        <w:t>מלמד כי רק לאחר מתן גזר הדין</w:t>
      </w:r>
      <w:r>
        <w:rPr>
          <w:rtl w:val="true"/>
        </w:rPr>
        <w:t xml:space="preserve">, </w:t>
      </w:r>
      <w:r>
        <w:rPr>
          <w:rtl w:val="true"/>
        </w:rPr>
        <w:t xml:space="preserve">הכולל בתוכו את ההוראה בדבר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התחייבות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כספית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5,000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25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תמורתה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מסר מחמד את הצהרתו</w:t>
      </w:r>
      <w:r>
        <w:rPr>
          <w:rtl w:val="true"/>
        </w:rPr>
        <w:t xml:space="preserve">, </w:t>
      </w:r>
      <w:r>
        <w:rPr>
          <w:rtl w:val="true"/>
        </w:rPr>
        <w:t xml:space="preserve">שלפיה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מצהיר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מתחייב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להימנע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מביצוע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שהוטל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עליי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משאלו הם פני הדברים</w:t>
      </w:r>
      <w:r>
        <w:rPr>
          <w:rtl w:val="true"/>
        </w:rPr>
        <w:t xml:space="preserve">, </w:t>
      </w:r>
      <w:r>
        <w:rPr>
          <w:rtl w:val="true"/>
        </w:rPr>
        <w:t>שוב אין טעם בהבחנה שאותה מבקשות באות</w:t>
      </w:r>
      <w:r>
        <w:rPr>
          <w:rtl w:val="true"/>
        </w:rPr>
        <w:t>-</w:t>
      </w:r>
      <w:r>
        <w:rPr>
          <w:rtl w:val="true"/>
        </w:rPr>
        <w:t>כוחו של מחמד לע</w:t>
      </w:r>
      <w:r>
        <w:rPr>
          <w:rtl w:val="true"/>
        </w:rPr>
        <w:t>שות</w:t>
      </w:r>
      <w:r>
        <w:rPr>
          <w:rtl w:val="true"/>
        </w:rPr>
        <w:t xml:space="preserve">, </w:t>
      </w:r>
      <w:r>
        <w:rPr>
          <w:rtl w:val="true"/>
        </w:rPr>
        <w:t>בין מקרה שבו ניתנה התחייבות סמוך ל</w:t>
      </w:r>
      <w:r>
        <w:rPr>
          <w:rtl w:val="true"/>
        </w:rPr>
        <w:t xml:space="preserve">אחר </w:t>
      </w:r>
      <w:r>
        <w:rPr>
          <w:rtl w:val="true"/>
        </w:rPr>
        <w:t>מתן גזר הדין</w:t>
      </w:r>
      <w:r>
        <w:rPr>
          <w:rtl w:val="true"/>
        </w:rPr>
        <w:t xml:space="preserve">, </w:t>
      </w:r>
      <w:r>
        <w:rPr>
          <w:rtl w:val="true"/>
        </w:rPr>
        <w:t xml:space="preserve">לבין מקרה שבו ההתחייבות ניתנת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>במזכירות בית המשפט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אינו </w:t>
      </w:r>
      <w:r>
        <w:rPr>
          <w:rtl w:val="true"/>
        </w:rPr>
        <w:t>'</w:t>
      </w:r>
      <w:r>
        <w:rPr>
          <w:rtl w:val="true"/>
        </w:rPr>
        <w:t>בוחן כליות ולב</w:t>
      </w:r>
      <w:r>
        <w:rPr>
          <w:rtl w:val="true"/>
        </w:rPr>
        <w:t xml:space="preserve">', </w:t>
      </w:r>
      <w:r>
        <w:rPr>
          <w:rtl w:val="true"/>
        </w:rPr>
        <w:t>אין ביכולתו להעריך מלכתחילה</w:t>
      </w:r>
      <w:r>
        <w:rPr>
          <w:rtl w:val="true"/>
        </w:rPr>
        <w:t xml:space="preserve">, </w:t>
      </w:r>
      <w:r>
        <w:rPr>
          <w:rtl w:val="true"/>
        </w:rPr>
        <w:t>האם נאשם יהיה מוכן ליתן התחייבות</w:t>
      </w:r>
      <w:r>
        <w:rPr>
          <w:rtl w:val="true"/>
        </w:rPr>
        <w:t xml:space="preserve">, </w:t>
      </w:r>
      <w:r>
        <w:rPr>
          <w:rtl w:val="true"/>
        </w:rPr>
        <w:t>לאחר שיינתן גזר הדין</w:t>
      </w:r>
      <w:r>
        <w:rPr>
          <w:rtl w:val="true"/>
        </w:rPr>
        <w:t xml:space="preserve">, </w:t>
      </w:r>
      <w:r>
        <w:rPr>
          <w:rtl w:val="true"/>
        </w:rPr>
        <w:t>או שמא יסרב לכך</w:t>
      </w:r>
      <w:r>
        <w:rPr>
          <w:rtl w:val="true"/>
        </w:rPr>
        <w:t xml:space="preserve">. </w:t>
      </w:r>
      <w:r>
        <w:rPr>
          <w:rtl w:val="true"/>
        </w:rPr>
        <w:t>אין תימה אפוא</w:t>
      </w:r>
      <w:r>
        <w:rPr>
          <w:rtl w:val="true"/>
        </w:rPr>
        <w:t xml:space="preserve">, </w:t>
      </w:r>
      <w:r>
        <w:rPr>
          <w:rtl w:val="true"/>
        </w:rPr>
        <w:t>כי בית המשפט הורה על סנקציה שתושת על מחמד</w:t>
      </w:r>
      <w:r>
        <w:rPr>
          <w:rtl w:val="true"/>
        </w:rPr>
        <w:t xml:space="preserve">, </w:t>
      </w:r>
      <w:r>
        <w:rPr>
          <w:rtl w:val="true"/>
        </w:rPr>
        <w:t>אם זה יסרב ליתן התחייבות לאחר שיינתן גזר הדין</w:t>
      </w:r>
      <w:r>
        <w:rPr>
          <w:rtl w:val="true"/>
        </w:rPr>
        <w:t xml:space="preserve">. </w:t>
      </w:r>
      <w:r>
        <w:rPr>
          <w:rtl w:val="true"/>
        </w:rPr>
        <w:t>הצהרתו של מחמד</w:t>
      </w:r>
      <w:r>
        <w:rPr>
          <w:rtl w:val="true"/>
        </w:rPr>
        <w:t xml:space="preserve">, </w:t>
      </w:r>
      <w:r>
        <w:rPr>
          <w:rtl w:val="true"/>
        </w:rPr>
        <w:t>גם אם ניתנה סמוך לאחר מתן גזר הדין</w:t>
      </w:r>
      <w:r>
        <w:rPr>
          <w:rtl w:val="true"/>
        </w:rPr>
        <w:t xml:space="preserve">, </w:t>
      </w:r>
      <w:r>
        <w:rPr>
          <w:rtl w:val="true"/>
        </w:rPr>
        <w:t>אין בה כדי להשפיע על השאלה האם נכון היה</w:t>
      </w:r>
      <w:r>
        <w:rPr>
          <w:rtl w:val="true"/>
        </w:rPr>
        <w:t xml:space="preserve">, </w:t>
      </w:r>
      <w:r>
        <w:rPr>
          <w:rtl w:val="true"/>
        </w:rPr>
        <w:t>אקס</w:t>
      </w:r>
      <w:r>
        <w:rPr>
          <w:rtl w:val="true"/>
        </w:rPr>
        <w:t>-</w:t>
      </w:r>
      <w:r>
        <w:rPr>
          <w:rtl w:val="true"/>
        </w:rPr>
        <w:t>אנטה</w:t>
      </w:r>
      <w:r>
        <w:rPr>
          <w:rtl w:val="true"/>
        </w:rPr>
        <w:t xml:space="preserve">, </w:t>
      </w:r>
      <w:r>
        <w:rPr>
          <w:rtl w:val="true"/>
        </w:rPr>
        <w:t>להטיל על מחמד סנקציה</w:t>
      </w:r>
      <w:r>
        <w:rPr>
          <w:rtl w:val="true"/>
        </w:rPr>
        <w:t xml:space="preserve">, </w:t>
      </w:r>
      <w:r>
        <w:rPr>
          <w:rtl w:val="true"/>
        </w:rPr>
        <w:t>אם וכאשר יסרב להצהיר כי הוא נותן את התחייבותו</w:t>
      </w:r>
      <w:r>
        <w:rPr>
          <w:rtl w:val="true"/>
        </w:rPr>
        <w:t xml:space="preserve">, </w:t>
      </w:r>
      <w:r>
        <w:rPr>
          <w:rtl w:val="true"/>
        </w:rPr>
        <w:t>בניגוד להוראת בית המשפט בגזר הדין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מסקנתי היא אפוא</w:t>
      </w:r>
      <w:r>
        <w:rPr>
          <w:rtl w:val="true"/>
        </w:rPr>
        <w:t xml:space="preserve">, </w:t>
      </w:r>
      <w:r>
        <w:rPr>
          <w:rtl w:val="true"/>
        </w:rPr>
        <w:t xml:space="preserve">כי בית המשפט המחוזי לא גזר על מחמד </w:t>
      </w:r>
      <w:r>
        <w:rPr>
          <w:rtl w:val="true"/>
        </w:rPr>
        <w:t>'</w:t>
      </w:r>
      <w:r>
        <w:rPr>
          <w:rtl w:val="true"/>
        </w:rPr>
        <w:t>מאסר חלף סכום ההתחייבות</w:t>
      </w:r>
      <w:r>
        <w:rPr>
          <w:rtl w:val="true"/>
        </w:rPr>
        <w:t xml:space="preserve">', </w:t>
      </w:r>
      <w:r>
        <w:rPr>
          <w:rtl w:val="true"/>
        </w:rPr>
        <w:t>כי אם מאסר חלף התחייבות גופהּ</w:t>
      </w:r>
      <w:r>
        <w:rPr>
          <w:rtl w:val="true"/>
        </w:rPr>
        <w:t xml:space="preserve">. </w:t>
      </w:r>
      <w:r>
        <w:rPr>
          <w:rtl w:val="true"/>
        </w:rPr>
        <w:t>ממילא</w:t>
      </w:r>
      <w:r>
        <w:rPr>
          <w:rtl w:val="true"/>
        </w:rPr>
        <w:t xml:space="preserve">, </w:t>
      </w:r>
      <w:r>
        <w:rPr>
          <w:rtl w:val="true"/>
        </w:rPr>
        <w:t xml:space="preserve">שוב אין </w:t>
      </w:r>
      <w:r>
        <w:rPr>
          <w:rtl w:val="true"/>
        </w:rPr>
        <w:t>מקום</w:t>
      </w:r>
      <w:r>
        <w:rPr>
          <w:rtl w:val="true"/>
        </w:rPr>
        <w:t xml:space="preserve"> להכריע </w:t>
      </w:r>
      <w:r>
        <w:rPr>
          <w:rtl w:val="true"/>
        </w:rPr>
        <w:t xml:space="preserve">כאן </w:t>
      </w:r>
      <w:r>
        <w:rPr>
          <w:rtl w:val="true"/>
        </w:rPr>
        <w:t>באותה שאלה פרשנית</w:t>
      </w:r>
      <w:r>
        <w:rPr>
          <w:rtl w:val="true"/>
        </w:rPr>
        <w:t xml:space="preserve">, </w:t>
      </w:r>
      <w:r>
        <w:rPr>
          <w:rtl w:val="true"/>
        </w:rPr>
        <w:t xml:space="preserve">לגבי </w:t>
      </w:r>
      <w:r>
        <w:rPr>
          <w:rtl w:val="true"/>
        </w:rPr>
        <w:t>'</w:t>
      </w:r>
      <w:r>
        <w:rPr>
          <w:rtl w:val="true"/>
        </w:rPr>
        <w:t>מאסר חלף סכום ההתחייבות</w:t>
      </w:r>
      <w:r>
        <w:rPr>
          <w:rtl w:val="true"/>
        </w:rPr>
        <w:t xml:space="preserve">'. </w:t>
      </w:r>
      <w:r>
        <w:rPr>
          <w:rtl w:val="true"/>
        </w:rPr>
        <w:t>לא למותר לציין</w:t>
      </w:r>
      <w:r>
        <w:rPr>
          <w:rtl w:val="true"/>
        </w:rPr>
        <w:t xml:space="preserve">, </w:t>
      </w:r>
      <w:r>
        <w:rPr>
          <w:rtl w:val="true"/>
        </w:rPr>
        <w:t>בשים לב לדברי חברי</w:t>
      </w:r>
      <w:r>
        <w:rPr>
          <w:rtl w:val="true"/>
        </w:rPr>
        <w:t xml:space="preserve">,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כשר</w:t>
      </w:r>
      <w:r>
        <w:rPr>
          <w:rtl w:val="true"/>
        </w:rPr>
        <w:t xml:space="preserve">, </w:t>
      </w:r>
      <w:r>
        <w:rPr>
          <w:rtl w:val="true"/>
        </w:rPr>
        <w:t>שהתשובה לשאלה</w:t>
      </w:r>
      <w:r>
        <w:rPr>
          <w:rtl w:val="true"/>
        </w:rPr>
        <w:t xml:space="preserve">, </w:t>
      </w:r>
      <w:r>
        <w:rPr>
          <w:rtl w:val="true"/>
        </w:rPr>
        <w:t xml:space="preserve">לגבי דידי </w:t>
      </w:r>
      <w:r>
        <w:rPr>
          <w:rtl w:val="true"/>
        </w:rPr>
        <w:t>–</w:t>
      </w:r>
      <w:r>
        <w:rPr>
          <w:rtl w:val="true"/>
        </w:rPr>
        <w:t xml:space="preserve"> הן בדין הרצוי</w:t>
      </w:r>
      <w:r>
        <w:rPr>
          <w:rtl w:val="true"/>
        </w:rPr>
        <w:t xml:space="preserve">, </w:t>
      </w:r>
      <w:r>
        <w:rPr>
          <w:rtl w:val="true"/>
        </w:rPr>
        <w:t xml:space="preserve">הן בדין המצוי </w:t>
      </w:r>
      <w:r>
        <w:rPr>
          <w:rtl w:val="true"/>
        </w:rPr>
        <w:t>–</w:t>
      </w:r>
      <w:r>
        <w:rPr>
          <w:rtl w:val="true"/>
        </w:rPr>
        <w:t xml:space="preserve"> אינה פשוטה</w:t>
      </w:r>
      <w:r>
        <w:rPr>
          <w:rtl w:val="true"/>
        </w:rPr>
        <w:t xml:space="preserve">. </w:t>
      </w:r>
      <w:r>
        <w:rPr>
          <w:rtl w:val="true"/>
        </w:rPr>
        <w:t>כבודה של השאלה במקומה מונח</w:t>
      </w:r>
      <w:r>
        <w:rPr>
          <w:rtl w:val="true"/>
        </w:rPr>
        <w:t xml:space="preserve">, </w:t>
      </w:r>
      <w:r>
        <w:rPr>
          <w:rtl w:val="true"/>
        </w:rPr>
        <w:t>וניתן להותירה לעת מצוא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מכאן לחלקו השני של הערעור</w:t>
      </w:r>
      <w:r>
        <w:rPr>
          <w:rtl w:val="true"/>
        </w:rPr>
        <w:t xml:space="preserve">, </w:t>
      </w:r>
      <w:r>
        <w:rPr>
          <w:rtl w:val="true"/>
        </w:rPr>
        <w:t>המעלה שאלה פרטנית</w:t>
      </w:r>
      <w:r>
        <w:rPr>
          <w:rtl w:val="true"/>
        </w:rPr>
        <w:t xml:space="preserve">, </w:t>
      </w:r>
      <w:r>
        <w:rPr>
          <w:rtl w:val="true"/>
        </w:rPr>
        <w:t>הנוגעת לעניינו של מחמד</w:t>
      </w:r>
      <w:r>
        <w:rPr>
          <w:rtl w:val="true"/>
        </w:rPr>
        <w:t xml:space="preserve">. </w:t>
      </w:r>
      <w:r>
        <w:rPr>
          <w:rtl w:val="true"/>
        </w:rPr>
        <w:t>מחמד מבקש להשיג על היקף פריש</w:t>
      </w:r>
      <w:r>
        <w:rPr>
          <w:rtl w:val="true"/>
        </w:rPr>
        <w:t>ׂ</w:t>
      </w:r>
      <w:r>
        <w:rPr>
          <w:rtl w:val="true"/>
        </w:rPr>
        <w:t>תן הרחבה של העבירות</w:t>
      </w:r>
      <w:r>
        <w:rPr>
          <w:rtl w:val="true"/>
        </w:rPr>
        <w:t xml:space="preserve">, </w:t>
      </w:r>
      <w:r>
        <w:rPr>
          <w:rtl w:val="true"/>
        </w:rPr>
        <w:t>הנכללות בגדרו של המאסר על</w:t>
      </w:r>
      <w:r>
        <w:rPr>
          <w:rtl w:val="true"/>
        </w:rPr>
        <w:t>-</w:t>
      </w:r>
      <w:r>
        <w:rPr>
          <w:rtl w:val="true"/>
        </w:rPr>
        <w:t>תנאי שהושת עליו</w:t>
      </w:r>
      <w:r>
        <w:rPr>
          <w:rtl w:val="true"/>
        </w:rPr>
        <w:t xml:space="preserve">. </w:t>
      </w:r>
      <w:r>
        <w:rPr>
          <w:rtl w:val="true"/>
        </w:rPr>
        <w:t>גם בטענה זו לא מצאתי ממש</w:t>
      </w:r>
      <w:r>
        <w:rPr>
          <w:rtl w:val="true"/>
        </w:rPr>
        <w:t xml:space="preserve">. </w:t>
      </w:r>
      <w:r>
        <w:rPr>
          <w:rtl w:val="true"/>
        </w:rPr>
        <w:t>מחמד 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הודעתו</w:t>
      </w:r>
      <w:r>
        <w:rPr>
          <w:rtl w:val="true"/>
        </w:rPr>
        <w:t xml:space="preserve">, </w:t>
      </w:r>
      <w:r>
        <w:rPr>
          <w:rtl w:val="true"/>
        </w:rPr>
        <w:t>בעבירות של סיוע לירי מנשק חם</w:t>
      </w:r>
      <w:r>
        <w:rPr>
          <w:rtl w:val="true"/>
        </w:rPr>
        <w:t xml:space="preserve">, </w:t>
      </w:r>
      <w:r>
        <w:rPr>
          <w:rtl w:val="true"/>
        </w:rPr>
        <w:t>וסיוע להצתה</w:t>
      </w:r>
      <w:r>
        <w:rPr>
          <w:rtl w:val="true"/>
        </w:rPr>
        <w:t xml:space="preserve">. </w:t>
      </w:r>
      <w:r>
        <w:rPr>
          <w:rtl w:val="true"/>
        </w:rPr>
        <w:t>בנסיבות אלו</w:t>
      </w:r>
      <w:r>
        <w:rPr>
          <w:rtl w:val="true"/>
        </w:rPr>
        <w:t xml:space="preserve">, </w:t>
      </w:r>
      <w:r>
        <w:rPr>
          <w:rtl w:val="true"/>
        </w:rPr>
        <w:t>הטלת עונש מאסר 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בעבירות נשק או בעבירות רכוש ואלימות</w:t>
      </w:r>
      <w:r>
        <w:rPr>
          <w:rtl w:val="true"/>
        </w:rPr>
        <w:t xml:space="preserve">, </w:t>
      </w:r>
      <w:r>
        <w:rPr>
          <w:rtl w:val="true"/>
        </w:rPr>
        <w:t>היא צעד מתבקש</w:t>
      </w:r>
      <w:r>
        <w:rPr>
          <w:rtl w:val="true"/>
        </w:rPr>
        <w:t xml:space="preserve">. </w:t>
      </w:r>
      <w:r>
        <w:rPr>
          <w:rtl w:val="true"/>
        </w:rPr>
        <w:t>זאת בפרט</w:t>
      </w:r>
      <w:r>
        <w:rPr>
          <w:rtl w:val="true"/>
        </w:rPr>
        <w:t xml:space="preserve">, </w:t>
      </w:r>
      <w:r>
        <w:rPr>
          <w:rtl w:val="true"/>
        </w:rPr>
        <w:t>בהינתן נסיבות ביצוע העבירה</w:t>
      </w:r>
      <w:r>
        <w:rPr>
          <w:rtl w:val="true"/>
        </w:rPr>
        <w:t xml:space="preserve">: </w:t>
      </w:r>
      <w:r>
        <w:rPr>
          <w:rtl w:val="true"/>
        </w:rPr>
        <w:t>סכסוך שפרץ בין המתלוננת לבין קרוב משפחתו של מחמד</w:t>
      </w:r>
      <w:r>
        <w:rPr>
          <w:rtl w:val="true"/>
        </w:rPr>
        <w:t xml:space="preserve">. </w:t>
      </w:r>
      <w:r>
        <w:rPr>
          <w:rtl w:val="true"/>
        </w:rPr>
        <w:t>משכו של המאסר 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שנקבע על</w:t>
      </w:r>
      <w:r>
        <w:rPr>
          <w:rtl w:val="true"/>
        </w:rPr>
        <w:t>-</w:t>
      </w:r>
      <w:r>
        <w:rPr>
          <w:rtl w:val="true"/>
        </w:rPr>
        <w:t>ידי בית המשפט המחוזי – מדורג ומדוד</w:t>
      </w:r>
      <w:r>
        <w:rPr>
          <w:rtl w:val="true"/>
        </w:rPr>
        <w:t xml:space="preserve">, </w:t>
      </w:r>
      <w:r>
        <w:rPr>
          <w:rtl w:val="true"/>
        </w:rPr>
        <w:t>ומושפע מחומרתה של העבירה שת</w:t>
      </w:r>
      <w:r>
        <w:rPr>
          <w:rtl w:val="true"/>
        </w:rPr>
        <w:t>בוצע</w:t>
      </w:r>
      <w:r>
        <w:rPr>
          <w:rtl w:val="true"/>
        </w:rPr>
        <w:t xml:space="preserve">, </w:t>
      </w:r>
      <w:r>
        <w:rPr>
          <w:rtl w:val="true"/>
        </w:rPr>
        <w:t>אם תבוצע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. </w:t>
      </w:r>
      <w:r>
        <w:rPr>
          <w:rtl w:val="true"/>
        </w:rPr>
        <w:t>גם בהיבט זה</w:t>
      </w:r>
      <w:r>
        <w:rPr>
          <w:rtl w:val="true"/>
        </w:rPr>
        <w:t xml:space="preserve">, </w:t>
      </w:r>
      <w:r>
        <w:rPr>
          <w:rtl w:val="true"/>
        </w:rPr>
        <w:t>ניכר כי עונש המאסר על</w:t>
      </w:r>
      <w:r>
        <w:rPr>
          <w:rtl w:val="true"/>
        </w:rPr>
        <w:t>-</w:t>
      </w:r>
      <w:r>
        <w:rPr>
          <w:rtl w:val="true"/>
        </w:rPr>
        <w:t>תנאי – מידתי ומאוזן</w:t>
      </w:r>
      <w:r>
        <w:rPr>
          <w:rtl w:val="true"/>
        </w:rPr>
        <w:t xml:space="preserve">, </w:t>
      </w:r>
      <w:r>
        <w:rPr>
          <w:rtl w:val="true"/>
        </w:rPr>
        <w:t>ואינו מגלה עילה להתערבות בו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יש לקוות כי מחמד יפיק את הלקחים הנדרשים</w:t>
      </w:r>
      <w:r>
        <w:rPr>
          <w:rtl w:val="true"/>
        </w:rPr>
        <w:t xml:space="preserve">, </w:t>
      </w:r>
      <w:r>
        <w:rPr>
          <w:rtl w:val="true"/>
        </w:rPr>
        <w:t>ויעמוד בדיבורו</w:t>
      </w:r>
      <w:r>
        <w:rPr>
          <w:rtl w:val="true"/>
        </w:rPr>
        <w:t xml:space="preserve">, </w:t>
      </w:r>
      <w:r>
        <w:rPr>
          <w:rtl w:val="true"/>
        </w:rPr>
        <w:t>כפי שהצהיר לפני בית המשפט המחוזי</w:t>
      </w:r>
      <w:r>
        <w:rPr>
          <w:rtl w:val="true"/>
        </w:rPr>
        <w:t xml:space="preserve">, </w:t>
      </w:r>
      <w:r>
        <w:rPr>
          <w:rtl w:val="true"/>
        </w:rPr>
        <w:t>עובר למתן גזר הדין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טעיתי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הייתי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צריך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לנהוג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ככה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אחזור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רוצה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לעבוד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עצמי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ולהשתנות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ולהשתקם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אם יתמיד בכך – הערעור כולו יהפוך תיאורטי</w:t>
      </w:r>
      <w:r>
        <w:rPr>
          <w:rtl w:val="true"/>
        </w:rPr>
        <w:t xml:space="preserve">. </w:t>
      </w:r>
      <w:r>
        <w:rPr>
          <w:rtl w:val="true"/>
        </w:rPr>
        <w:t>לא יהא צורך ל</w:t>
      </w:r>
      <w:r>
        <w:rPr>
          <w:rtl w:val="true"/>
        </w:rPr>
        <w:t>ממש</w:t>
      </w:r>
      <w:r>
        <w:rPr>
          <w:rtl w:val="true"/>
        </w:rPr>
        <w:t xml:space="preserve"> את ההתחייבות שניתנה</w:t>
      </w:r>
      <w:r>
        <w:rPr>
          <w:rtl w:val="true"/>
        </w:rPr>
        <w:t xml:space="preserve">, </w:t>
      </w:r>
      <w:r>
        <w:rPr>
          <w:rtl w:val="true"/>
        </w:rPr>
        <w:t xml:space="preserve">ולא </w:t>
      </w:r>
      <w:r>
        <w:rPr>
          <w:rtl w:val="true"/>
        </w:rPr>
        <w:t xml:space="preserve">להפעיל </w:t>
      </w:r>
      <w:r>
        <w:rPr>
          <w:rtl w:val="true"/>
        </w:rPr>
        <w:t>את עונש המאסר 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אציע אפוא לחברַי</w:t>
      </w:r>
      <w:r>
        <w:rPr>
          <w:rtl w:val="true"/>
        </w:rPr>
        <w:t xml:space="preserve">, </w:t>
      </w:r>
      <w:r>
        <w:rPr>
          <w:rtl w:val="true"/>
        </w:rPr>
        <w:t>לדחות את הערעור</w:t>
      </w:r>
      <w:r>
        <w:rPr>
          <w:rtl w:val="true"/>
        </w:rPr>
        <w:t xml:space="preserve">, </w:t>
      </w:r>
      <w:r>
        <w:rPr>
          <w:rtl w:val="true"/>
        </w:rPr>
        <w:t>ולהותיר את גזר הדין של בית המשפט המחוזי על כנו</w:t>
      </w:r>
      <w:r>
        <w:rPr>
          <w:rtl w:val="true"/>
        </w:rPr>
        <w:t>.</w:t>
      </w:r>
    </w:p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המשנה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לנשיאה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פוגלמן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start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מצטרף למסקנת חברי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שלפיה דין הערעור על שני רכיביו להידחות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אף אני סבור כי הסוגיה העקרונית לה טענו הצדדים אינה טעונה הכרעה בענייננו וניתן להותירה לעת מצוא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48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המשנה לנשיאה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כשר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אני מסכים עם חברי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סולברג</w:t>
      </w:r>
      <w:r>
        <w:rPr>
          <w:rtl w:val="true"/>
        </w:rPr>
        <w:t xml:space="preserve"> כי בנסיבות העניין מוצדק לדחות את הערעור ולהותיר את גזר הדין של בית המשפט המחוזי על כנו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השאלה העקרונית שבאות</w:t>
      </w:r>
      <w:r>
        <w:rPr>
          <w:rtl w:val="true"/>
        </w:rPr>
        <w:t>-</w:t>
      </w:r>
      <w:r>
        <w:rPr>
          <w:rtl w:val="true"/>
        </w:rPr>
        <w:t>כוחו של המערער טוענות שמתעוררת בענייננו – מיהו בית המשפט המוסמך לגזור מאסר חלף סכום ההתחייבות</w:t>
      </w:r>
      <w:r>
        <w:rPr>
          <w:rtl w:val="true"/>
        </w:rPr>
        <w:t xml:space="preserve">, </w:t>
      </w:r>
      <w:r>
        <w:rPr>
          <w:rtl w:val="true"/>
        </w:rPr>
        <w:t>מקום שבו ההתחייבות להימנע מעבירה מופרת – כלל אינה מתעוררת בנסיבות המקרה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שכן כפי שציינתי בפני הצדדים בדיון שנערך בפנינו</w:t>
      </w:r>
      <w:r>
        <w:rPr>
          <w:rtl w:val="true"/>
        </w:rPr>
        <w:t xml:space="preserve">, </w:t>
      </w:r>
      <w:r>
        <w:rPr>
          <w:rtl w:val="true"/>
        </w:rPr>
        <w:t>קריאת ההחלטה נושא הערעור</w:t>
      </w:r>
      <w:r>
        <w:rPr>
          <w:rtl w:val="true"/>
        </w:rPr>
        <w:t xml:space="preserve">, </w:t>
      </w:r>
      <w:r>
        <w:rPr>
          <w:rtl w:val="true"/>
        </w:rPr>
        <w:t>כמו גם עיון בפרוטוקול הדיון בבית המשפט המחוזי</w:t>
      </w:r>
      <w:r>
        <w:rPr>
          <w:rtl w:val="true"/>
        </w:rPr>
        <w:t xml:space="preserve">, </w:t>
      </w:r>
      <w:r>
        <w:rPr>
          <w:rtl w:val="true"/>
        </w:rPr>
        <w:t>מלמדים כי בית המשפט המחוזי לא גזר על המערער מאסר חלף סכום ההתחייבות</w:t>
      </w:r>
      <w:r>
        <w:rPr>
          <w:rtl w:val="true"/>
        </w:rPr>
        <w:t xml:space="preserve">, </w:t>
      </w:r>
      <w:r>
        <w:rPr>
          <w:rtl w:val="true"/>
        </w:rPr>
        <w:t xml:space="preserve">אלא מאסר למקרה שהמערער יסרב למתן ההתחייבות – בהתאם לסמכותו מכוח </w:t>
      </w:r>
      <w:hyperlink r:id="rId4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Fonts w:cs="Century" w:ascii="Century" w:hAnsi="Century"/>
          <w:sz w:val="22"/>
          <w:rtl w:val="true"/>
        </w:rPr>
        <w:t>).</w:t>
      </w:r>
      <w:r>
        <w:rPr>
          <w:rtl w:val="true"/>
        </w:rPr>
        <w:t xml:space="preserve">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נוכח טענת הצדדים כי מדובר בשאלה משפטית עקרונית ואקטואלית</w:t>
      </w:r>
      <w:r>
        <w:rPr>
          <w:rtl w:val="true"/>
        </w:rPr>
        <w:t xml:space="preserve">, </w:t>
      </w:r>
      <w:r>
        <w:rPr>
          <w:rtl w:val="true"/>
        </w:rPr>
        <w:t>לאור גישה שאומצה ברשויות התביעה</w:t>
      </w:r>
      <w:r>
        <w:rPr>
          <w:rtl w:val="true"/>
        </w:rPr>
        <w:t xml:space="preserve">, </w:t>
      </w:r>
      <w:r>
        <w:rPr>
          <w:rtl w:val="true"/>
        </w:rPr>
        <w:t>מצאתי לנכון</w:t>
      </w:r>
      <w:r>
        <w:rPr>
          <w:rtl w:val="true"/>
        </w:rPr>
        <w:t xml:space="preserve">, </w:t>
      </w:r>
      <w:r>
        <w:rPr>
          <w:rtl w:val="true"/>
        </w:rPr>
        <w:t>למעלה מן הצורך</w:t>
      </w:r>
      <w:r>
        <w:rPr>
          <w:rtl w:val="true"/>
        </w:rPr>
        <w:t xml:space="preserve">, </w:t>
      </w:r>
      <w:r>
        <w:rPr>
          <w:rtl w:val="true"/>
        </w:rPr>
        <w:t>לפרט את דעתי בסוגיה זו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כפי שאפרט להלן</w:t>
      </w:r>
      <w:r>
        <w:rPr>
          <w:rtl w:val="true"/>
        </w:rPr>
        <w:t xml:space="preserve">, </w:t>
      </w:r>
      <w:r>
        <w:rPr>
          <w:rtl w:val="true"/>
        </w:rPr>
        <w:t>לשיטתי</w:t>
      </w:r>
      <w:r>
        <w:rPr>
          <w:rtl w:val="true"/>
        </w:rPr>
        <w:t xml:space="preserve">, </w:t>
      </w:r>
      <w:r>
        <w:rPr>
          <w:rtl w:val="true"/>
        </w:rPr>
        <w:t>הן לשון הסעיפים הרלוונטיים ב</w:t>
      </w:r>
      <w:hyperlink r:id="rId4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והן תכליתם</w:t>
      </w:r>
      <w:r>
        <w:rPr>
          <w:rtl w:val="true"/>
        </w:rPr>
        <w:t xml:space="preserve">, </w:t>
      </w:r>
      <w:r>
        <w:rPr>
          <w:rtl w:val="true"/>
        </w:rPr>
        <w:t xml:space="preserve">מכתיבות כי בית המשפט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השני</w:t>
      </w:r>
      <w:r>
        <w:rPr>
          <w:rFonts w:cs="Century" w:ascii="Century" w:hAnsi="Century"/>
          <w:sz w:val="22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המפעיל את ההתחייבות לאחר הפרתה</w:t>
      </w:r>
      <w:r>
        <w:rPr>
          <w:rtl w:val="true"/>
        </w:rPr>
        <w:t xml:space="preserve">, </w:t>
      </w:r>
      <w:r>
        <w:rPr>
          <w:rtl w:val="true"/>
        </w:rPr>
        <w:t xml:space="preserve">הוא אשר מוסמך לקבוע מאסר חלף סכום ההתחייבות ולא בית המשפט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הראשון</w:t>
      </w:r>
      <w:r>
        <w:rPr>
          <w:rFonts w:cs="Century" w:ascii="Century" w:hAnsi="Century"/>
          <w:sz w:val="22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המצווה על מתן ההתחייבות</w:t>
      </w:r>
      <w:r>
        <w:rPr>
          <w:rtl w:val="true"/>
        </w:rPr>
        <w:t xml:space="preserve">. </w:t>
      </w:r>
      <w:r>
        <w:rPr>
          <w:rtl w:val="true"/>
        </w:rPr>
        <w:t>להלן נימוקיי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בראש ובראשונה לדעתי כך עולה מלשונו הברורה של </w:t>
      </w:r>
      <w:hyperlink r:id="rId4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הקובע כדלקמן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התחייב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72</w:t>
      </w:r>
      <w:r>
        <w:rPr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מעבירה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הרשיעו</w:t>
      </w:r>
      <w:r>
        <w:rPr>
          <w:rtl w:val="true"/>
        </w:rPr>
        <w:t xml:space="preserve">, </w:t>
      </w:r>
      <w:r>
        <w:rPr>
          <w:rtl w:val="true"/>
        </w:rPr>
        <w:t>יצווה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ההתחייבות</w:t>
      </w:r>
      <w:r>
        <w:rPr>
          <w:rtl w:val="true"/>
        </w:rPr>
        <w:t xml:space="preserve">;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ההתחייבות</w:t>
      </w:r>
      <w:r>
        <w:rPr>
          <w:rtl w:val="true"/>
        </w:rPr>
        <w:t xml:space="preserve">, </w:t>
      </w:r>
      <w:r>
        <w:rPr>
          <w:rtl w:val="true"/>
        </w:rPr>
        <w:t>יהא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ויחולו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eastAsia="Arial TUR;Arial" w:cs="Arial TUR;Arial"/>
          <w:rtl w:val="true"/>
        </w:rPr>
        <w:t xml:space="preserve"> </w:t>
      </w:r>
      <w:r>
        <w:rPr/>
        <w:t>66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/>
        <w:t>70</w:t>
      </w:r>
      <w:r>
        <w:rPr>
          <w:rtl w:val="true"/>
        </w:rPr>
        <w:t xml:space="preserve">, </w:t>
      </w:r>
      <w:r>
        <w:rPr>
          <w:rtl w:val="true"/>
        </w:rPr>
        <w:t>ולעניין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72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–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71</w:t>
      </w:r>
      <w:r>
        <w:rPr>
          <w:rtl w:val="true"/>
        </w:rPr>
        <w:t>."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לא יכול להיות ספק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tl w:val="true"/>
        </w:rPr>
        <w:t xml:space="preserve">" </w:t>
      </w:r>
      <w:r>
        <w:rPr>
          <w:rtl w:val="true"/>
        </w:rPr>
        <w:t xml:space="preserve">בתיבה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הרשיעו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בעבירה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...</w:t>
      </w:r>
      <w:r>
        <w:rPr>
          <w:rtl w:val="true"/>
        </w:rPr>
        <w:t xml:space="preserve">", </w:t>
      </w:r>
      <w:r>
        <w:rPr>
          <w:rtl w:val="true"/>
        </w:rPr>
        <w:t xml:space="preserve">הינו בית המשפט </w:t>
      </w:r>
      <w:r>
        <w:rPr>
          <w:rtl w:val="true"/>
        </w:rPr>
        <w:t>"</w:t>
      </w:r>
      <w:r>
        <w:rPr>
          <w:rtl w:val="true"/>
        </w:rPr>
        <w:t>השני</w:t>
      </w:r>
      <w:r>
        <w:rPr>
          <w:rtl w:val="true"/>
        </w:rPr>
        <w:t xml:space="preserve">", </w:t>
      </w:r>
      <w:r>
        <w:rPr>
          <w:rtl w:val="true"/>
        </w:rPr>
        <w:t>שהרי עסקינן בבית המשפט אשר לאחר מתן ההתחייבות הרשיע בעבירה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גם ברי כי חלקו הראשון של הסעיף</w:t>
      </w:r>
      <w:r>
        <w:rPr>
          <w:rtl w:val="true"/>
        </w:rPr>
        <w:t xml:space="preserve">, </w:t>
      </w:r>
      <w:r>
        <w:rPr>
          <w:rtl w:val="true"/>
        </w:rPr>
        <w:t>כולו</w:t>
      </w:r>
      <w:r>
        <w:rPr>
          <w:rtl w:val="true"/>
        </w:rPr>
        <w:t xml:space="preserve">, </w:t>
      </w:r>
      <w:r>
        <w:rPr>
          <w:rtl w:val="true"/>
        </w:rPr>
        <w:t xml:space="preserve">לרבות התיבה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יצווה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שהרשיע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שקבע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כאמור</w:t>
      </w:r>
      <w:r>
        <w:rPr>
          <w:rtl w:val="true"/>
        </w:rPr>
        <w:t xml:space="preserve">", </w:t>
      </w:r>
      <w:r>
        <w:rPr>
          <w:rtl w:val="true"/>
        </w:rPr>
        <w:t xml:space="preserve">מתייחס אף הוא לבית המשפט </w:t>
      </w:r>
      <w:r>
        <w:rPr>
          <w:rtl w:val="true"/>
        </w:rPr>
        <w:t>"</w:t>
      </w:r>
      <w:r>
        <w:rPr>
          <w:rtl w:val="true"/>
        </w:rPr>
        <w:t>השני</w:t>
      </w:r>
      <w:r>
        <w:rPr>
          <w:rtl w:val="true"/>
        </w:rPr>
        <w:t>".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חלקו השני של </w:t>
      </w:r>
      <w:hyperlink r:id="rId5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76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מתייחס למצב בו הופר הציווי שהוציא בית המשפט </w:t>
      </w:r>
      <w:r>
        <w:rPr>
          <w:rtl w:val="true"/>
        </w:rPr>
        <w:t>"</w:t>
      </w:r>
      <w:r>
        <w:rPr>
          <w:rtl w:val="true"/>
        </w:rPr>
        <w:t>השני</w:t>
      </w:r>
      <w:r>
        <w:rPr>
          <w:rtl w:val="true"/>
        </w:rPr>
        <w:t xml:space="preserve">" </w:t>
      </w:r>
      <w:r>
        <w:rPr>
          <w:rtl w:val="true"/>
        </w:rPr>
        <w:t>לתשלום סכום ההתחייבות</w:t>
      </w:r>
      <w:r>
        <w:rPr>
          <w:rtl w:val="true"/>
        </w:rPr>
        <w:t xml:space="preserve">. </w:t>
      </w:r>
      <w:r>
        <w:rPr>
          <w:rtl w:val="true"/>
        </w:rPr>
        <w:t>אירוע זה מתרחש אף הוא</w:t>
      </w:r>
      <w:r>
        <w:rPr>
          <w:rtl w:val="true"/>
        </w:rPr>
        <w:t xml:space="preserve">, </w:t>
      </w:r>
      <w:r>
        <w:rPr>
          <w:rtl w:val="true"/>
        </w:rPr>
        <w:t>במישור הזמן</w:t>
      </w:r>
      <w:r>
        <w:rPr>
          <w:rtl w:val="true"/>
        </w:rPr>
        <w:t xml:space="preserve">, </w:t>
      </w:r>
      <w:r>
        <w:rPr>
          <w:rtl w:val="true"/>
        </w:rPr>
        <w:t xml:space="preserve">לאחר כניסתו של בית המשפט </w:t>
      </w:r>
      <w:r>
        <w:rPr>
          <w:rtl w:val="true"/>
        </w:rPr>
        <w:t>"</w:t>
      </w:r>
      <w:r>
        <w:rPr>
          <w:rtl w:val="true"/>
        </w:rPr>
        <w:t>השני</w:t>
      </w:r>
      <w:r>
        <w:rPr>
          <w:rtl w:val="true"/>
        </w:rPr>
        <w:t xml:space="preserve">" </w:t>
      </w:r>
      <w:r>
        <w:rPr>
          <w:rtl w:val="true"/>
        </w:rPr>
        <w:t>לתמונה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לשיטתי</w:t>
      </w:r>
      <w:r>
        <w:rPr>
          <w:rtl w:val="true"/>
        </w:rPr>
        <w:t xml:space="preserve">, </w:t>
      </w:r>
      <w:r>
        <w:rPr>
          <w:rtl w:val="true"/>
        </w:rPr>
        <w:t>הדרך הטבעית לקרוא גם את חלקו השני של הסעיף</w:t>
      </w:r>
      <w:r>
        <w:rPr>
          <w:rtl w:val="true"/>
        </w:rPr>
        <w:t xml:space="preserve">, </w:t>
      </w:r>
      <w:r>
        <w:rPr>
          <w:rtl w:val="true"/>
        </w:rPr>
        <w:t xml:space="preserve">היא לראותו כמתייחס לסמכותו של בית המשפט אשר בו עוסק הסעיף כולו – בית המשפט </w:t>
      </w:r>
      <w:r>
        <w:rPr>
          <w:rtl w:val="true"/>
        </w:rPr>
        <w:t>"</w:t>
      </w:r>
      <w:r>
        <w:rPr>
          <w:rtl w:val="true"/>
        </w:rPr>
        <w:t>השני</w:t>
      </w:r>
      <w:r>
        <w:rPr>
          <w:rtl w:val="true"/>
        </w:rPr>
        <w:t xml:space="preserve">".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בדיון בפנינו טענה באת</w:t>
      </w:r>
      <w:r>
        <w:rPr>
          <w:rtl w:val="true"/>
        </w:rPr>
        <w:t>-</w:t>
      </w:r>
      <w:r>
        <w:rPr>
          <w:rtl w:val="true"/>
        </w:rPr>
        <w:t xml:space="preserve">כוח המשיבה כי לגישתה ניתן ללמוד שבית המשפט </w:t>
      </w:r>
      <w:r>
        <w:rPr>
          <w:rtl w:val="true"/>
        </w:rPr>
        <w:t>"</w:t>
      </w:r>
      <w:r>
        <w:rPr>
          <w:rtl w:val="true"/>
        </w:rPr>
        <w:t>הראשון</w:t>
      </w:r>
      <w:r>
        <w:rPr>
          <w:rtl w:val="true"/>
        </w:rPr>
        <w:t xml:space="preserve">" </w:t>
      </w:r>
      <w:r>
        <w:rPr>
          <w:rtl w:val="true"/>
        </w:rPr>
        <w:t>הוא המוסמך להורות על מאסר חלף סכום ההתחייבות שלא שולם</w:t>
      </w:r>
      <w:r>
        <w:rPr>
          <w:rtl w:val="true"/>
        </w:rPr>
        <w:t xml:space="preserve">, </w:t>
      </w:r>
      <w:r>
        <w:rPr>
          <w:rtl w:val="true"/>
        </w:rPr>
        <w:t xml:space="preserve">על בסיס ההפניה הקיימת בסיפא של </w:t>
      </w:r>
      <w:hyperlink r:id="rId5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76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hyperlink r:id="rId53">
        <w:r>
          <w:rPr>
            <w:rStyle w:val="Hyperlink"/>
            <w:rtl w:val="true"/>
          </w:rPr>
          <w:t>לסעיף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העוסק במאסר חלף קנס</w:t>
      </w:r>
      <w:r>
        <w:rPr>
          <w:rtl w:val="true"/>
        </w:rPr>
        <w:t xml:space="preserve">. </w:t>
      </w:r>
      <w:r>
        <w:rPr>
          <w:rtl w:val="true"/>
        </w:rPr>
        <w:t>טענה זו אינה מקובלת עליי</w:t>
      </w:r>
      <w:r>
        <w:rPr>
          <w:rtl w:val="true"/>
        </w:rPr>
        <w:t xml:space="preserve">. </w:t>
      </w:r>
      <w:r>
        <w:rPr>
          <w:rtl w:val="true"/>
        </w:rPr>
        <w:t>פירוש לפיו על דרך ההפניה</w:t>
      </w:r>
      <w:r>
        <w:rPr>
          <w:rtl w:val="true"/>
        </w:rPr>
        <w:t xml:space="preserve">, </w:t>
      </w:r>
      <w:r>
        <w:rPr>
          <w:rtl w:val="true"/>
        </w:rPr>
        <w:t xml:space="preserve">בסוף </w:t>
      </w:r>
      <w:hyperlink r:id="rId5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76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נקבעת סמכותו של בית המשפט </w:t>
      </w:r>
      <w:r>
        <w:rPr>
          <w:rtl w:val="true"/>
        </w:rPr>
        <w:t>"</w:t>
      </w:r>
      <w:r>
        <w:rPr>
          <w:rtl w:val="true"/>
        </w:rPr>
        <w:t>הראשון</w:t>
      </w:r>
      <w:r>
        <w:rPr>
          <w:rtl w:val="true"/>
        </w:rPr>
        <w:t xml:space="preserve">" </w:t>
      </w:r>
      <w:r>
        <w:rPr>
          <w:rtl w:val="true"/>
        </w:rPr>
        <w:t xml:space="preserve">ובהתייחס לפעולה המבוצעת במועד מוקדם למועד בו עוסק </w:t>
      </w:r>
      <w:hyperlink r:id="rId5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76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</w:t>
      </w:r>
      <w:r>
        <w:rPr>
          <w:rtl w:val="true"/>
        </w:rPr>
        <w:t>(</w:t>
      </w:r>
      <w:r>
        <w:rPr>
          <w:rtl w:val="true"/>
        </w:rPr>
        <w:t>מועד הטלת ההתחייבות</w:t>
      </w:r>
      <w:r>
        <w:rPr>
          <w:rtl w:val="true"/>
        </w:rPr>
        <w:t xml:space="preserve">), </w:t>
      </w:r>
      <w:r>
        <w:rPr>
          <w:rtl w:val="true"/>
        </w:rPr>
        <w:t>מתקשה להתיישב עם לשונו של הסעיף ו</w:t>
      </w:r>
      <w:r>
        <w:rPr>
          <w:rtl w:val="true"/>
        </w:rPr>
        <w:t>-"</w:t>
      </w:r>
      <w:r>
        <w:rPr>
          <w:rtl w:val="true"/>
        </w:rPr>
        <w:t>מיקומו</w:t>
      </w:r>
      <w:r>
        <w:rPr>
          <w:rtl w:val="true"/>
        </w:rPr>
        <w:t xml:space="preserve">" </w:t>
      </w:r>
      <w:r>
        <w:rPr>
          <w:rtl w:val="true"/>
        </w:rPr>
        <w:t>במישור הזמן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 xml:space="preserve">התיבה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סכום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ההתחייבות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סכום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קנס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ויחולו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הוראות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...</w:t>
      </w:r>
      <w:r>
        <w:rPr>
          <w:rFonts w:cs="Century" w:ascii="Century" w:hAnsi="Century"/>
          <w:sz w:val="22"/>
          <w:rtl w:val="true"/>
        </w:rPr>
        <w:t>",</w:t>
      </w:r>
      <w:r>
        <w:rPr>
          <w:rtl w:val="true"/>
        </w:rPr>
        <w:t xml:space="preserve"> </w:t>
      </w:r>
      <w:r>
        <w:rPr>
          <w:rtl w:val="true"/>
        </w:rPr>
        <w:t xml:space="preserve">מתיישבת היטב עם קביעת סמכותו של בית המשפט </w:t>
      </w:r>
      <w:r>
        <w:rPr>
          <w:rtl w:val="true"/>
        </w:rPr>
        <w:t>"</w:t>
      </w:r>
      <w:r>
        <w:rPr>
          <w:rtl w:val="true"/>
        </w:rPr>
        <w:t>השני</w:t>
      </w:r>
      <w:r>
        <w:rPr>
          <w:rtl w:val="true"/>
        </w:rPr>
        <w:t xml:space="preserve">", </w:t>
      </w:r>
      <w:r>
        <w:rPr>
          <w:rtl w:val="true"/>
        </w:rPr>
        <w:t>אשר בזמן פעולתו לא משולם סכום ההתחייבות</w:t>
      </w:r>
      <w:r>
        <w:rPr>
          <w:rtl w:val="true"/>
        </w:rPr>
        <w:t xml:space="preserve">, </w:t>
      </w:r>
      <w:r>
        <w:rPr>
          <w:rtl w:val="true"/>
        </w:rPr>
        <w:t xml:space="preserve">ומתקשה להתיישב עם פרשנות לפיה במילים אלו נקבעת הסמכות של בית המשפט </w:t>
      </w:r>
      <w:r>
        <w:rPr>
          <w:rtl w:val="true"/>
        </w:rPr>
        <w:t>"</w:t>
      </w:r>
      <w:r>
        <w:rPr>
          <w:rtl w:val="true"/>
        </w:rPr>
        <w:t>הראשון</w:t>
      </w:r>
      <w:r>
        <w:rPr>
          <w:rtl w:val="true"/>
        </w:rPr>
        <w:t xml:space="preserve">" </w:t>
      </w:r>
      <w:r>
        <w:rPr>
          <w:rtl w:val="true"/>
        </w:rPr>
        <w:t>בעת שפעל</w:t>
      </w:r>
      <w:r>
        <w:rPr>
          <w:rtl w:val="true"/>
        </w:rPr>
        <w:t xml:space="preserve">, </w:t>
      </w:r>
      <w:r>
        <w:rPr>
          <w:rtl w:val="true"/>
        </w:rPr>
        <w:t>קודם לכן</w:t>
      </w:r>
      <w:r>
        <w:rPr>
          <w:rtl w:val="true"/>
        </w:rPr>
        <w:t xml:space="preserve">, </w:t>
      </w:r>
      <w:r>
        <w:rPr>
          <w:rtl w:val="true"/>
        </w:rPr>
        <w:t>בהטילו את ההתחייבות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עוד אוסיף</w:t>
      </w:r>
      <w:r>
        <w:rPr>
          <w:rtl w:val="true"/>
        </w:rPr>
        <w:t xml:space="preserve">, </w:t>
      </w:r>
      <w:r>
        <w:rPr>
          <w:rtl w:val="true"/>
        </w:rPr>
        <w:t xml:space="preserve">כי המסקנה לפיה בית המשפט </w:t>
      </w:r>
      <w:r>
        <w:rPr>
          <w:rtl w:val="true"/>
        </w:rPr>
        <w:t>"</w:t>
      </w:r>
      <w:r>
        <w:rPr>
          <w:rtl w:val="true"/>
        </w:rPr>
        <w:t>השני</w:t>
      </w:r>
      <w:r>
        <w:rPr>
          <w:rtl w:val="true"/>
        </w:rPr>
        <w:t xml:space="preserve">" </w:t>
      </w:r>
      <w:r>
        <w:rPr>
          <w:rtl w:val="true"/>
        </w:rPr>
        <w:t>הוא אשר רשאי לקבוע מאסר חלף סכום ההתחייבות</w:t>
      </w:r>
      <w:r>
        <w:rPr>
          <w:rtl w:val="true"/>
        </w:rPr>
        <w:t xml:space="preserve">, </w:t>
      </w:r>
      <w:r>
        <w:rPr>
          <w:rtl w:val="true"/>
        </w:rPr>
        <w:t xml:space="preserve">מתקבלת מעיון בכלל הוראות </w:t>
      </w:r>
      <w:hyperlink r:id="rId56">
        <w:r>
          <w:rPr>
            <w:rStyle w:val="Hyperlink"/>
            <w:rtl w:val="true"/>
          </w:rPr>
          <w:t>סימן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ה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לפרק ו</w:t>
      </w:r>
      <w:r>
        <w:rPr>
          <w:rtl w:val="true"/>
        </w:rPr>
        <w:t xml:space="preserve">' </w:t>
      </w:r>
      <w:r>
        <w:rPr>
          <w:rtl w:val="true"/>
        </w:rPr>
        <w:t>ל</w:t>
      </w:r>
      <w:hyperlink r:id="rId5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הוא הסימן שעניינו בהתחייבות להימנע מעבירה</w:t>
      </w:r>
      <w:r>
        <w:rPr>
          <w:rtl w:val="true"/>
        </w:rPr>
        <w:t>).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ההסדר הנוגע להתחייבות להימנע מעבירה</w:t>
      </w:r>
      <w:r>
        <w:rPr>
          <w:rtl w:val="true"/>
        </w:rPr>
        <w:t xml:space="preserve">, </w:t>
      </w:r>
      <w:r>
        <w:rPr>
          <w:rtl w:val="true"/>
        </w:rPr>
        <w:t xml:space="preserve">הקבוע </w:t>
      </w:r>
      <w:hyperlink r:id="rId58">
        <w:r>
          <w:rPr>
            <w:rStyle w:val="Hyperlink"/>
            <w:rtl w:val="true"/>
          </w:rPr>
          <w:t>בסימן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ה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לפרק ו</w:t>
      </w:r>
      <w:r>
        <w:rPr>
          <w:rtl w:val="true"/>
        </w:rPr>
        <w:t xml:space="preserve">' </w:t>
      </w:r>
      <w:r>
        <w:rPr>
          <w:rtl w:val="true"/>
        </w:rPr>
        <w:t>ב</w:t>
      </w:r>
      <w:hyperlink r:id="rId5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מורכב משלושה שלבים </w:t>
      </w:r>
      <w:r>
        <w:rPr>
          <w:rtl w:val="true"/>
        </w:rPr>
        <w:t>(</w:t>
      </w:r>
      <w:r>
        <w:rPr>
          <w:rtl w:val="true"/>
        </w:rPr>
        <w:t xml:space="preserve">ראו יורם רבין ויניב ואקי </w:t>
      </w:r>
      <w:hyperlink r:id="rId60">
        <w:r>
          <w:rPr>
            <w:rStyle w:val="Hyperlink"/>
            <w:rFonts w:ascii="Century" w:hAnsi="Century" w:cs="Miriam"/>
            <w:b/>
            <w:b/>
            <w:color w:val="000000"/>
            <w:spacing w:val="0"/>
            <w:sz w:val="22"/>
            <w:sz w:val="22"/>
            <w:szCs w:val="24"/>
            <w:rtl w:val="true"/>
          </w:rPr>
          <w:t>דיני</w:t>
        </w:r>
        <w:r>
          <w:rPr>
            <w:rStyle w:val="Hyperlink"/>
            <w:rFonts w:ascii="Century" w:hAnsi="Century" w:eastAsia="Century" w:cs="Century"/>
            <w:b/>
            <w:b/>
            <w:color w:val="000000"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00"/>
            <w:spacing w:val="0"/>
            <w:sz w:val="22"/>
            <w:sz w:val="22"/>
            <w:szCs w:val="24"/>
            <w:rtl w:val="true"/>
          </w:rPr>
          <w:t>עונשין</w:t>
        </w:r>
      </w:hyperlink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 </w:t>
      </w:r>
      <w:r>
        <w:rPr/>
        <w:t>416</w:t>
      </w:r>
      <w:r>
        <w:rPr>
          <w:rtl w:val="true"/>
        </w:rPr>
        <w:t xml:space="preserve">- </w:t>
      </w:r>
      <w:r>
        <w:rPr/>
        <w:t>423</w:t>
      </w:r>
      <w:r>
        <w:rPr>
          <w:rtl w:val="true"/>
        </w:rPr>
        <w:t xml:space="preserve"> (</w:t>
      </w:r>
      <w:r>
        <w:rPr>
          <w:rtl w:val="true"/>
        </w:rPr>
        <w:t>מהדורה רביעית</w:t>
      </w:r>
      <w:r>
        <w:rPr>
          <w:rtl w:val="true"/>
        </w:rPr>
        <w:t xml:space="preserve">, </w:t>
      </w:r>
      <w:r>
        <w:rPr/>
        <w:t>2022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וואקי</w:t>
      </w:r>
      <w:r>
        <w:rPr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>ב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הקבוע </w:t>
      </w:r>
      <w:hyperlink r:id="rId61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בסעיף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72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לחוק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tl w:val="true"/>
        </w:rPr>
        <w:t xml:space="preserve">בית המשפט הגוזר על אדם עונש </w:t>
      </w:r>
      <w:r>
        <w:rPr>
          <w:rtl w:val="true"/>
        </w:rPr>
        <w:t>(</w:t>
      </w:r>
      <w:r>
        <w:rPr>
          <w:rtl w:val="true"/>
        </w:rPr>
        <w:t xml:space="preserve">הוא בית המשפט </w:t>
      </w:r>
      <w:r>
        <w:rPr>
          <w:rtl w:val="true"/>
        </w:rPr>
        <w:t>"</w:t>
      </w:r>
      <w:r>
        <w:rPr>
          <w:rtl w:val="true"/>
        </w:rPr>
        <w:t>הראשון</w:t>
      </w:r>
      <w:r>
        <w:rPr>
          <w:rtl w:val="true"/>
        </w:rPr>
        <w:t xml:space="preserve">" </w:t>
      </w:r>
      <w:r>
        <w:rPr>
          <w:rtl w:val="true"/>
        </w:rPr>
        <w:t>בטרמינולוגיה אותה אימצנו לעיל</w:t>
      </w:r>
      <w:r>
        <w:rPr>
          <w:rtl w:val="true"/>
        </w:rPr>
        <w:t xml:space="preserve">), </w:t>
      </w:r>
      <w:r>
        <w:rPr>
          <w:rtl w:val="true"/>
        </w:rPr>
        <w:t>רשאי לצוות על מתן התחייבות להימנע מעבירה</w:t>
      </w:r>
      <w:r>
        <w:rPr>
          <w:rtl w:val="true"/>
        </w:rPr>
        <w:t xml:space="preserve">. </w:t>
      </w:r>
      <w:r>
        <w:rPr>
          <w:rtl w:val="true"/>
        </w:rPr>
        <w:t>אשר לתוכן ההתחייבות</w:t>
      </w:r>
      <w:r>
        <w:rPr>
          <w:rtl w:val="true"/>
        </w:rPr>
        <w:t xml:space="preserve">, </w:t>
      </w:r>
      <w:r>
        <w:rPr>
          <w:rtl w:val="true"/>
        </w:rPr>
        <w:t xml:space="preserve">קובע </w:t>
      </w:r>
      <w:hyperlink r:id="rId6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כי</w:t>
      </w:r>
      <w:r>
        <w:rPr>
          <w:rtl w:val="true"/>
        </w:rPr>
        <w:t>: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התחייבות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בסכום שלא יעלה על סכום הקנס שמותר להטיל בשל העבירה שבה הורשע הנידון או שנקבע שביצע אותה לפי העניין</w:t>
      </w:r>
      <w:r>
        <w:rPr>
          <w:rtl w:val="true"/>
        </w:rPr>
        <w:t xml:space="preserve">, </w:t>
      </w:r>
      <w:r>
        <w:rPr>
          <w:rtl w:val="true"/>
        </w:rPr>
        <w:t>ותהיה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ערבים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שיצווה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" </w:t>
      </w:r>
    </w:p>
    <w:p>
      <w:pPr>
        <w:pStyle w:val="Ruller42"/>
        <w:numPr>
          <w:ilvl w:val="0"/>
          <w:numId w:val="0"/>
        </w:numPr>
        <w:spacing w:lineRule="auto" w:line="48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ניתן להיווכח כי לשון </w:t>
      </w:r>
      <w:hyperlink r:id="rId6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מציינת כי ההתחייבות תהיה ב</w:t>
      </w:r>
      <w:r>
        <w:rPr>
          <w:rtl w:val="true"/>
        </w:rPr>
        <w:t>-"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סכום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הקנס</w:t>
      </w:r>
      <w:r>
        <w:rPr>
          <w:rtl w:val="true"/>
        </w:rPr>
        <w:t xml:space="preserve">" </w:t>
      </w:r>
      <w:r>
        <w:rPr>
          <w:rtl w:val="true"/>
        </w:rPr>
        <w:t>שמותר להטיל בשל העבירה מושא המשפט הראשון</w:t>
      </w:r>
      <w:r>
        <w:rPr>
          <w:rtl w:val="true"/>
        </w:rPr>
        <w:t xml:space="preserve">, </w:t>
      </w:r>
      <w:r>
        <w:rPr>
          <w:rtl w:val="true"/>
        </w:rPr>
        <w:t>אך אינה נוקבת באפשרות לכלול בהתחייבות חלופה של מאסר תחת הסכום הנדון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האמור בולט עוד יותר לאור הוראת </w:t>
      </w:r>
      <w:hyperlink r:id="rId6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המקנה לבית המשפט </w:t>
      </w:r>
      <w:r>
        <w:rPr>
          <w:rtl w:val="true"/>
        </w:rPr>
        <w:t>"</w:t>
      </w:r>
      <w:r>
        <w:rPr>
          <w:rtl w:val="true"/>
        </w:rPr>
        <w:t>הראשון</w:t>
      </w:r>
      <w:r>
        <w:rPr>
          <w:rtl w:val="true"/>
        </w:rPr>
        <w:t xml:space="preserve">" </w:t>
      </w:r>
      <w:r>
        <w:rPr>
          <w:rtl w:val="true"/>
        </w:rPr>
        <w:t>סמכות להורות על מאסר</w:t>
      </w:r>
      <w:r>
        <w:rPr>
          <w:rtl w:val="true"/>
        </w:rPr>
        <w:t xml:space="preserve">, </w:t>
      </w:r>
      <w:r>
        <w:rPr>
          <w:rtl w:val="true"/>
        </w:rPr>
        <w:t>לעניין הטלת התחייבות להימנע מעבירה</w:t>
      </w:r>
      <w:r>
        <w:rPr>
          <w:rtl w:val="true"/>
        </w:rPr>
        <w:t xml:space="preserve">, </w:t>
      </w:r>
      <w:r>
        <w:rPr>
          <w:rtl w:val="true"/>
        </w:rPr>
        <w:t xml:space="preserve">אולם זאת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בהקשר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לאמור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ציווה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72</w:t>
      </w:r>
      <w:r>
        <w:rPr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מעבירה</w:t>
      </w:r>
      <w:r>
        <w:rPr>
          <w:rtl w:val="true"/>
        </w:rPr>
        <w:t xml:space="preserve">, </w:t>
      </w:r>
      <w:r>
        <w:rPr>
          <w:rtl w:val="true"/>
        </w:rPr>
        <w:t>רשאי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לכפותו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ההתחייבות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."</w:t>
      </w:r>
    </w:p>
    <w:p>
      <w:pPr>
        <w:pStyle w:val="Ruller42"/>
        <w:numPr>
          <w:ilvl w:val="0"/>
          <w:numId w:val="0"/>
        </w:numPr>
        <w:spacing w:lineRule="auto" w:line="48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ובכן</w:t>
      </w:r>
      <w:r>
        <w:rPr>
          <w:rtl w:val="true"/>
        </w:rPr>
        <w:t xml:space="preserve">, </w:t>
      </w:r>
      <w:r>
        <w:rPr>
          <w:rtl w:val="true"/>
        </w:rPr>
        <w:t>בהקשר הטלת התחייבות להימנע מעבירה</w:t>
      </w:r>
      <w:r>
        <w:rPr>
          <w:rtl w:val="true"/>
        </w:rPr>
        <w:t xml:space="preserve">, </w:t>
      </w:r>
      <w:r>
        <w:rPr>
          <w:rtl w:val="true"/>
        </w:rPr>
        <w:t xml:space="preserve">מוקנית לבית המשפט </w:t>
      </w:r>
      <w:r>
        <w:rPr>
          <w:rtl w:val="true"/>
        </w:rPr>
        <w:t>"</w:t>
      </w:r>
      <w:r>
        <w:rPr>
          <w:rtl w:val="true"/>
        </w:rPr>
        <w:t>הראשון</w:t>
      </w:r>
      <w:r>
        <w:rPr>
          <w:rtl w:val="true"/>
        </w:rPr>
        <w:t>" (</w:t>
      </w:r>
      <w:hyperlink r:id="rId66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 </w:t>
      </w:r>
      <w:r>
        <w:rPr>
          <w:rtl w:val="true"/>
        </w:rPr>
        <w:t>סמכות להורות על מאסר</w:t>
      </w:r>
      <w:r>
        <w:rPr>
          <w:rtl w:val="true"/>
        </w:rPr>
        <w:t xml:space="preserve">, </w:t>
      </w:r>
      <w:r>
        <w:rPr>
          <w:rtl w:val="true"/>
        </w:rPr>
        <w:t>אולם זאת כדי לכפות את מתן ההתחייבות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לא ניתנה סמכות שכזו לעניין הציווי ליתן התחייבות</w:t>
      </w:r>
      <w:r>
        <w:rPr>
          <w:rtl w:val="true"/>
        </w:rPr>
        <w:t xml:space="preserve">, </w:t>
      </w:r>
      <w:r>
        <w:rPr>
          <w:rtl w:val="true"/>
        </w:rPr>
        <w:t>המוסדר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hyperlink r:id="rId67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עיון </w:t>
      </w:r>
      <w:hyperlink r:id="rId68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76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אותו ציטטנו לעיל</w:t>
      </w:r>
      <w:r>
        <w:rPr>
          <w:rtl w:val="true"/>
        </w:rPr>
        <w:t xml:space="preserve">, </w:t>
      </w:r>
      <w:r>
        <w:rPr>
          <w:rtl w:val="true"/>
        </w:rPr>
        <w:t xml:space="preserve">בקונטקסט של קריאת </w:t>
      </w:r>
      <w:hyperlink r:id="rId69">
        <w:r>
          <w:rPr>
            <w:rStyle w:val="Hyperlink"/>
            <w:rtl w:val="true"/>
          </w:rPr>
          <w:t>סימן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ה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בכללותו</w:t>
      </w:r>
      <w:r>
        <w:rPr>
          <w:rtl w:val="true"/>
        </w:rPr>
        <w:t xml:space="preserve">, </w:t>
      </w:r>
      <w:r>
        <w:rPr>
          <w:rtl w:val="true"/>
        </w:rPr>
        <w:t xml:space="preserve">מחזק את המסקנה שבית המשפט </w:t>
      </w:r>
      <w:r>
        <w:rPr>
          <w:rtl w:val="true"/>
        </w:rPr>
        <w:t>"</w:t>
      </w:r>
      <w:r>
        <w:rPr>
          <w:rtl w:val="true"/>
        </w:rPr>
        <w:t>השני</w:t>
      </w:r>
      <w:r>
        <w:rPr>
          <w:rtl w:val="true"/>
        </w:rPr>
        <w:t xml:space="preserve">" </w:t>
      </w:r>
      <w:r>
        <w:rPr>
          <w:rtl w:val="true"/>
        </w:rPr>
        <w:t>הוא שמוסמך לגזור את המאסר במצב של הפרת החיוב לשלם את הסכום שננקב בהתחייבות להימנע מעבירה</w:t>
      </w:r>
      <w:r>
        <w:rPr>
          <w:rtl w:val="true"/>
        </w:rPr>
        <w:t xml:space="preserve">, </w:t>
      </w:r>
      <w:r>
        <w:rPr>
          <w:rtl w:val="true"/>
        </w:rPr>
        <w:t xml:space="preserve">לעת הפרתה של ההתחייבות </w:t>
      </w:r>
      <w:r>
        <w:rPr>
          <w:rtl w:val="true"/>
        </w:rPr>
        <w:t>(</w:t>
      </w:r>
      <w:r>
        <w:rPr>
          <w:rtl w:val="true"/>
        </w:rPr>
        <w:t>וזאת בנוסף לאשר כבר אמרנו לעיל לעניין לשונה של ההוראה</w:t>
      </w:r>
      <w:r>
        <w:rPr>
          <w:rtl w:val="true"/>
        </w:rPr>
        <w:t xml:space="preserve">): </w:t>
      </w:r>
      <w:r>
        <w:rPr>
          <w:rtl w:val="true"/>
        </w:rPr>
        <w:t xml:space="preserve">חלקו הראשון של </w:t>
      </w:r>
      <w:hyperlink r:id="rId7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76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מסדיר את סמכויותיו של בית המשפט </w:t>
      </w:r>
      <w:r>
        <w:rPr>
          <w:rtl w:val="true"/>
        </w:rPr>
        <w:t>"</w:t>
      </w:r>
      <w:r>
        <w:rPr>
          <w:rtl w:val="true"/>
        </w:rPr>
        <w:t>השני</w:t>
      </w:r>
      <w:r>
        <w:rPr>
          <w:rtl w:val="true"/>
        </w:rPr>
        <w:t xml:space="preserve">"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 xml:space="preserve">כאשר מתברר לבית המשפט </w:t>
      </w:r>
      <w:r>
        <w:rPr>
          <w:rtl w:val="true"/>
        </w:rPr>
        <w:t>"</w:t>
      </w:r>
      <w:r>
        <w:rPr>
          <w:rtl w:val="true"/>
        </w:rPr>
        <w:t>השני</w:t>
      </w:r>
      <w:r>
        <w:rPr>
          <w:rtl w:val="true"/>
        </w:rPr>
        <w:t xml:space="preserve">" </w:t>
      </w:r>
      <w:r>
        <w:rPr>
          <w:rtl w:val="true"/>
        </w:rPr>
        <w:t xml:space="preserve">כי האדם שנידון לפניו עבר עבירה שמהווה הפרה של התחייבותו להימנע מעבירה שהוטלה עליו במשפט קודם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וואקי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421</w:t>
      </w:r>
      <w:r>
        <w:rPr>
          <w:rtl w:val="true"/>
        </w:rPr>
        <w:t xml:space="preserve">). </w:t>
      </w:r>
      <w:r>
        <w:rPr>
          <w:rtl w:val="true"/>
        </w:rPr>
        <w:t>נחזור ונצטט את חלקו הראשון של הסעיף</w:t>
      </w:r>
      <w:r>
        <w:rPr>
          <w:rtl w:val="true"/>
        </w:rPr>
        <w:t>: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התחייב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72</w:t>
      </w:r>
      <w:r>
        <w:rPr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מעבירה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הרשיעו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יצווה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ההתחייבות</w:t>
      </w:r>
      <w:r>
        <w:rPr>
          <w:rtl w:val="true"/>
        </w:rPr>
        <w:t>..." (</w:t>
      </w:r>
      <w:r>
        <w:rPr>
          <w:rtl w:val="true"/>
        </w:rPr>
        <w:t>ההדגשה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').</w:t>
      </w:r>
    </w:p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בפסיקה נקבע כי מלשון </w:t>
      </w:r>
      <w:hyperlink r:id="rId7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76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הנוקטת בלשון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יצווה</w:t>
      </w:r>
      <w:r>
        <w:rPr>
          <w:rtl w:val="true"/>
        </w:rPr>
        <w:t xml:space="preserve">", </w:t>
      </w:r>
      <w:r>
        <w:rPr>
          <w:rtl w:val="true"/>
        </w:rPr>
        <w:t xml:space="preserve">נלמד כי בית המשפט </w:t>
      </w:r>
      <w:r>
        <w:rPr>
          <w:rtl w:val="true"/>
        </w:rPr>
        <w:t>"</w:t>
      </w:r>
      <w:r>
        <w:rPr>
          <w:rtl w:val="true"/>
        </w:rPr>
        <w:t>השני</w:t>
      </w:r>
      <w:r>
        <w:rPr>
          <w:rtl w:val="true"/>
        </w:rPr>
        <w:t xml:space="preserve">", </w:t>
      </w:r>
      <w:r>
        <w:rPr>
          <w:rtl w:val="true"/>
        </w:rPr>
        <w:t>אשר מצא כי הופרה התחייבות להימנע מעבירה</w:t>
      </w:r>
      <w:r>
        <w:rPr>
          <w:rtl w:val="true"/>
        </w:rPr>
        <w:t xml:space="preserve">, </w:t>
      </w:r>
      <w:r>
        <w:rPr>
          <w:rtl w:val="true"/>
        </w:rPr>
        <w:t xml:space="preserve">מחויב בהפעלתה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שיקול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להאריך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תוקף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ההתחייבות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להורות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מימוש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ההתחייבות</w:t>
      </w:r>
      <w:r>
        <w:rPr>
          <w:rtl w:val="true"/>
        </w:rPr>
        <w:t>" (</w:t>
      </w:r>
      <w:hyperlink r:id="rId7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4123/17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שוחט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עמית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25.6.2018</w:t>
      </w:r>
      <w:r>
        <w:rPr>
          <w:rtl w:val="true"/>
        </w:rPr>
        <w:t xml:space="preserve">)). </w:t>
      </w:r>
      <w:r>
        <w:rPr>
          <w:rtl w:val="true"/>
        </w:rPr>
        <w:t>הווה אומר</w:t>
      </w:r>
      <w:r>
        <w:rPr>
          <w:rtl w:val="true"/>
        </w:rPr>
        <w:t xml:space="preserve">, </w:t>
      </w:r>
      <w:r>
        <w:rPr>
          <w:rtl w:val="true"/>
        </w:rPr>
        <w:t xml:space="preserve">סמכותו של בית המשפט </w:t>
      </w:r>
      <w:r>
        <w:rPr>
          <w:rtl w:val="true"/>
        </w:rPr>
        <w:t>"</w:t>
      </w:r>
      <w:r>
        <w:rPr>
          <w:rtl w:val="true"/>
        </w:rPr>
        <w:t>השני</w:t>
      </w:r>
      <w:r>
        <w:rPr>
          <w:rtl w:val="true"/>
        </w:rPr>
        <w:t xml:space="preserve">", </w:t>
      </w:r>
      <w:r>
        <w:rPr>
          <w:rtl w:val="true"/>
        </w:rPr>
        <w:t xml:space="preserve">ליתן צו לתשלום סכום ההתחייבות בדיוק כפי שנקבע על ידי בית המשפט </w:t>
      </w:r>
      <w:r>
        <w:rPr>
          <w:rtl w:val="true"/>
        </w:rPr>
        <w:t>"</w:t>
      </w:r>
      <w:r>
        <w:rPr>
          <w:rtl w:val="true"/>
        </w:rPr>
        <w:t>הראשון</w:t>
      </w:r>
      <w:r>
        <w:rPr>
          <w:rtl w:val="true"/>
        </w:rPr>
        <w:t xml:space="preserve">", </w:t>
      </w:r>
      <w:r>
        <w:rPr>
          <w:rtl w:val="true"/>
        </w:rPr>
        <w:t xml:space="preserve">היא סמכות חובה שאין לבית המשפט </w:t>
      </w:r>
      <w:r>
        <w:rPr>
          <w:rtl w:val="true"/>
        </w:rPr>
        <w:t>"</w:t>
      </w:r>
      <w:r>
        <w:rPr>
          <w:rtl w:val="true"/>
        </w:rPr>
        <w:t>השני</w:t>
      </w:r>
      <w:r>
        <w:rPr>
          <w:rtl w:val="true"/>
        </w:rPr>
        <w:t xml:space="preserve">" </w:t>
      </w:r>
      <w:r>
        <w:rPr>
          <w:rtl w:val="true"/>
        </w:rPr>
        <w:t>שיקול דעת לגבי הפעלתה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חלקו השני של </w:t>
      </w:r>
      <w:hyperlink r:id="rId7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76</w:t>
        </w:r>
      </w:hyperlink>
      <w:r>
        <w:rPr>
          <w:rtl w:val="true"/>
        </w:rPr>
        <w:t xml:space="preserve"> </w:t>
      </w:r>
      <w:r>
        <w:rPr>
          <w:rtl w:val="true"/>
        </w:rPr>
        <w:t>לחוק עניינו במצב שבו ניתן צו לתשלום סכום ההתחייבות</w:t>
      </w:r>
      <w:r>
        <w:rPr>
          <w:rtl w:val="true"/>
        </w:rPr>
        <w:t xml:space="preserve">, </w:t>
      </w:r>
      <w:r>
        <w:rPr>
          <w:rtl w:val="true"/>
        </w:rPr>
        <w:t>אך הצו אינו מקוים</w:t>
      </w:r>
      <w:r>
        <w:rPr>
          <w:rtl w:val="true"/>
        </w:rPr>
        <w:t xml:space="preserve">, </w:t>
      </w:r>
      <w:r>
        <w:rPr>
          <w:rtl w:val="true"/>
        </w:rPr>
        <w:t>שאז מתחיל ה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השלישי</w:t>
      </w:r>
      <w:r>
        <w:rPr>
          <w:rtl w:val="true"/>
        </w:rPr>
        <w:t xml:space="preserve"> – הוא שלב ההוצאה לפועל של ההתחייבות</w:t>
      </w:r>
      <w:r>
        <w:rPr>
          <w:rtl w:val="true"/>
        </w:rPr>
        <w:t xml:space="preserve">, </w:t>
      </w:r>
      <w:r>
        <w:rPr>
          <w:rtl w:val="true"/>
        </w:rPr>
        <w:t>לעת הפרתה</w:t>
      </w:r>
      <w:r>
        <w:rPr>
          <w:rtl w:val="true"/>
        </w:rPr>
        <w:t xml:space="preserve">. </w:t>
      </w:r>
      <w:r>
        <w:rPr>
          <w:rtl w:val="true"/>
        </w:rPr>
        <w:t xml:space="preserve">בעניין זה קובעת הסיפא של </w:t>
      </w:r>
      <w:hyperlink r:id="rId7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כך</w:t>
      </w:r>
      <w:r>
        <w:rPr>
          <w:rtl w:val="true"/>
        </w:rPr>
        <w:t>: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"...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ההתחייבות</w:t>
      </w:r>
      <w:r>
        <w:rPr>
          <w:rtl w:val="true"/>
        </w:rPr>
        <w:t xml:space="preserve">, </w:t>
      </w:r>
      <w:r>
        <w:rPr>
          <w:rtl w:val="true"/>
        </w:rPr>
        <w:t>יהא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ויחולו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eastAsia="Arial TUR;Arial" w:cs="Arial TUR;Arial"/>
          <w:rtl w:val="true"/>
        </w:rPr>
        <w:t xml:space="preserve"> </w:t>
      </w:r>
      <w:r>
        <w:rPr/>
        <w:t>66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/>
        <w:t>70</w:t>
      </w:r>
      <w:r>
        <w:rPr>
          <w:rtl w:val="true"/>
        </w:rPr>
        <w:t xml:space="preserve">, </w:t>
      </w:r>
      <w:r>
        <w:rPr>
          <w:rtl w:val="true"/>
        </w:rPr>
        <w:t>ולעניין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72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–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71</w:t>
      </w:r>
      <w:r>
        <w:rPr>
          <w:rtl w:val="true"/>
        </w:rPr>
        <w:t>".</w:t>
      </w:r>
    </w:p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מהמועד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סכום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ההתחייבות</w:t>
      </w:r>
      <w:r>
        <w:rPr>
          <w:rtl w:val="true"/>
        </w:rPr>
        <w:t xml:space="preserve">, </w:t>
      </w:r>
      <w:r>
        <w:rPr>
          <w:rtl w:val="true"/>
        </w:rPr>
        <w:t>מושווה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hyperlink r:id="rId76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19807-01-13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סראחין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28.3.2013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סראחין</w:t>
      </w:r>
      <w:r>
        <w:rPr>
          <w:rFonts w:cs="Century" w:ascii="Century" w:hAnsi="Century"/>
          <w:rtl w:val="true"/>
        </w:rPr>
        <w:t>))</w:t>
      </w:r>
      <w:r>
        <w:rPr>
          <w:rtl w:val="true"/>
        </w:rPr>
        <w:t xml:space="preserve">. </w:t>
      </w:r>
      <w:r>
        <w:rPr>
          <w:rtl w:val="true"/>
        </w:rPr>
        <w:t>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ואילך</w:t>
      </w:r>
      <w:r>
        <w:rPr>
          <w:rtl w:val="true"/>
        </w:rPr>
        <w:t xml:space="preserve">, </w:t>
      </w:r>
      <w:r>
        <w:rPr>
          <w:rtl w:val="true"/>
        </w:rPr>
        <w:t>רשאים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קנסות</w:t>
      </w:r>
      <w:r>
        <w:rPr>
          <w:rtl w:val="true"/>
        </w:rPr>
        <w:t xml:space="preserve">, </w:t>
      </w:r>
      <w:r>
        <w:rPr>
          <w:rtl w:val="true"/>
        </w:rPr>
        <w:t>אגרות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eastAsia="Arial TUR;Arial" w:cs="Arial TUR;Arial"/>
          <w:rtl w:val="true"/>
        </w:rPr>
        <w:t xml:space="preserve"> </w:t>
      </w:r>
      <w:hyperlink r:id="rId7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המסים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גביה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ההתחייבות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7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70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בהתחייבות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תחול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הוראת</w:t>
      </w:r>
      <w:r>
        <w:rPr>
          <w:rFonts w:eastAsia="Arial TUR;Arial" w:cs="Arial TUR;Arial"/>
          <w:rtl w:val="true"/>
        </w:rPr>
        <w:t xml:space="preserve"> </w:t>
      </w:r>
      <w:hyperlink r:id="rId8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71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הקובעת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לקנס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מקצתו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במועדו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;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קפידה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;Arial" w:cs="Arial TUR;Arial"/>
          <w:rtl w:val="true"/>
        </w:rPr>
        <w:t xml:space="preserve"> </w:t>
      </w:r>
      <w:r>
        <w:rPr/>
        <w:t>22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סיפה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" </w:t>
      </w:r>
    </w:p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משכך</w:t>
      </w:r>
      <w:r>
        <w:rPr>
          <w:rtl w:val="true"/>
        </w:rPr>
        <w:t>,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לקנס</w:t>
      </w:r>
      <w:r>
        <w:rPr>
          <w:rtl w:val="true"/>
        </w:rPr>
        <w:t xml:space="preserve">",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hyperlink r:id="rId8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71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השני</w:t>
      </w:r>
      <w:r>
        <w:rPr>
          <w:rtl w:val="true"/>
        </w:rPr>
        <w:t xml:space="preserve">" </w:t>
      </w:r>
      <w:r>
        <w:rPr>
          <w:rtl w:val="true"/>
        </w:rPr>
        <w:t>וממילא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רשאי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להטיל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מאסר</w:t>
      </w:r>
      <w:r>
        <w:rPr>
          <w:rFonts w:cs="Miriam" w:ascii="Century" w:hAnsi="Century"/>
          <w:b/>
          <w:spacing w:val="0"/>
          <w:szCs w:val="24"/>
          <w:rtl w:val="true"/>
        </w:rPr>
        <w:t>..."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השני</w:t>
      </w:r>
      <w:r>
        <w:rPr>
          <w:rtl w:val="true"/>
        </w:rPr>
        <w:t xml:space="preserve">"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הראשון</w:t>
      </w:r>
      <w:r>
        <w:rPr>
          <w:rtl w:val="true"/>
        </w:rPr>
        <w:t>".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ואף זאת יש לומר</w:t>
      </w:r>
      <w:r>
        <w:rPr>
          <w:rtl w:val="true"/>
        </w:rPr>
        <w:t xml:space="preserve">: </w:t>
      </w:r>
      <w:r>
        <w:rPr>
          <w:rtl w:val="true"/>
        </w:rPr>
        <w:t xml:space="preserve">משלמדנו שבהקשר התחייבות להימנע מעבירה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לקנס</w:t>
      </w:r>
      <w:r>
        <w:rPr>
          <w:rtl w:val="true"/>
        </w:rPr>
        <w:t xml:space="preserve">" </w:t>
      </w:r>
      <w:r>
        <w:rPr>
          <w:rtl w:val="true"/>
        </w:rPr>
        <w:t xml:space="preserve">הינו בית המשפט </w:t>
      </w:r>
      <w:r>
        <w:rPr>
          <w:rtl w:val="true"/>
        </w:rPr>
        <w:t>"</w:t>
      </w:r>
      <w:r>
        <w:rPr>
          <w:rtl w:val="true"/>
        </w:rPr>
        <w:t>השני</w:t>
      </w:r>
      <w:r>
        <w:rPr>
          <w:rtl w:val="true"/>
        </w:rPr>
        <w:t xml:space="preserve">", </w:t>
      </w:r>
      <w:r>
        <w:rPr>
          <w:rtl w:val="true"/>
        </w:rPr>
        <w:t>ומשנקבע</w:t>
      </w:r>
      <w:r>
        <w:rPr>
          <w:rtl w:val="true"/>
        </w:rPr>
        <w:t xml:space="preserve">, </w:t>
      </w:r>
      <w:r>
        <w:rPr>
          <w:rtl w:val="true"/>
        </w:rPr>
        <w:t>במפורש</w:t>
      </w:r>
      <w:r>
        <w:rPr>
          <w:rtl w:val="true"/>
        </w:rPr>
        <w:t xml:space="preserve">, </w:t>
      </w:r>
      <w:r>
        <w:rPr>
          <w:rtl w:val="true"/>
        </w:rPr>
        <w:t>כי הסמכות להטיל מאסר הינה סמכות שבשיקול דעת</w:t>
      </w:r>
      <w:r>
        <w:rPr>
          <w:rtl w:val="true"/>
        </w:rPr>
        <w:t xml:space="preserve"> </w:t>
      </w:r>
      <w:r>
        <w:rPr>
          <w:rtl w:val="true"/>
        </w:rPr>
        <w:t>("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רשאי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להטיל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מאסר</w:t>
      </w:r>
      <w:r>
        <w:rPr>
          <w:rtl w:val="true"/>
        </w:rPr>
        <w:t xml:space="preserve">"), </w:t>
      </w:r>
      <w:r>
        <w:rPr>
          <w:rtl w:val="true"/>
        </w:rPr>
        <w:t xml:space="preserve">ברור גם שאין הדבר מתיישב עם סמכותו של בית המשפט </w:t>
      </w:r>
      <w:r>
        <w:rPr>
          <w:rtl w:val="true"/>
        </w:rPr>
        <w:t>"</w:t>
      </w:r>
      <w:r>
        <w:rPr>
          <w:rtl w:val="true"/>
        </w:rPr>
        <w:t>הראשון</w:t>
      </w:r>
      <w:r>
        <w:rPr>
          <w:rtl w:val="true"/>
        </w:rPr>
        <w:t xml:space="preserve">" </w:t>
      </w:r>
      <w:r>
        <w:rPr>
          <w:rtl w:val="true"/>
        </w:rPr>
        <w:t>לכבול מראש את שיקול הדעת הנ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 xml:space="preserve">וכפי שראינו סמכות שכזו אכן אינה קבועה </w:t>
      </w:r>
      <w:hyperlink r:id="rId82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  <w:tab/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יתרה מכך</w:t>
      </w:r>
      <w:r>
        <w:rPr>
          <w:rtl w:val="true"/>
        </w:rPr>
        <w:t xml:space="preserve">,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 xml:space="preserve">המסקנה כי בית המשפט </w:t>
      </w:r>
      <w:r>
        <w:rPr>
          <w:rtl w:val="true"/>
        </w:rPr>
        <w:t>"</w:t>
      </w:r>
      <w:r>
        <w:rPr>
          <w:rtl w:val="true"/>
        </w:rPr>
        <w:t>השני</w:t>
      </w:r>
      <w:r>
        <w:rPr>
          <w:rtl w:val="true"/>
        </w:rPr>
        <w:t xml:space="preserve">" </w:t>
      </w:r>
      <w:r>
        <w:rPr>
          <w:rtl w:val="true"/>
        </w:rPr>
        <w:t>הוא אשר רשאי לקבוע מאסר חלף סכום ההתחייבות</w:t>
      </w:r>
      <w:r>
        <w:rPr>
          <w:rtl w:val="true"/>
        </w:rPr>
        <w:t xml:space="preserve">, </w:t>
      </w:r>
      <w:r>
        <w:rPr>
          <w:rtl w:val="true"/>
        </w:rPr>
        <w:t>מתבקשת גם מתכלית ההסדר הנדון וכדין רצוי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גזירת מאסר עקב אי תשלום הסכום שהיה נקוב בהתחייבות להימנע מעבירה למרות צו שהוציא בית המשפט על פי חלקו הראשון של </w:t>
      </w:r>
      <w:hyperlink r:id="rId8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76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החל מאותו השלב</w:t>
      </w:r>
      <w:r>
        <w:rPr>
          <w:rtl w:val="true"/>
        </w:rPr>
        <w:t xml:space="preserve">, </w:t>
      </w:r>
      <w:r>
        <w:rPr>
          <w:rtl w:val="true"/>
        </w:rPr>
        <w:t>כהטלת מאסר בגין אי תשלום קנס</w:t>
      </w:r>
      <w:r>
        <w:rPr>
          <w:rtl w:val="true"/>
        </w:rPr>
        <w:t xml:space="preserve">. </w:t>
      </w:r>
      <w:r>
        <w:rPr>
          <w:rtl w:val="true"/>
        </w:rPr>
        <w:t>לעניין הטלת מאסר בגין אי תשלום קנס כבר נפסק כי</w:t>
      </w:r>
      <w:r>
        <w:rPr>
          <w:rtl w:val="true"/>
        </w:rPr>
        <w:t>: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מאסרו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והולמת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השוויון</w:t>
      </w:r>
      <w:r>
        <w:rPr>
          <w:rtl w:val="true"/>
        </w:rPr>
        <w:t xml:space="preserve">: </w:t>
      </w:r>
      <w:r>
        <w:rPr>
          <w:rtl w:val="true"/>
        </w:rPr>
        <w:t>עבריין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ייאלץ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; </w:t>
      </w:r>
      <w:r>
        <w:rPr>
          <w:rtl w:val="true"/>
        </w:rPr>
        <w:t>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>" (</w:t>
      </w:r>
      <w:hyperlink r:id="rId8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1100/91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עפרי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418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1993</w:t>
      </w:r>
      <w:r>
        <w:rPr>
          <w:rtl w:val="true"/>
        </w:rPr>
        <w:t>)).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בנוסף לשקילת המצב הכלכלי</w:t>
      </w:r>
      <w:r>
        <w:rPr>
          <w:rtl w:val="true"/>
        </w:rPr>
        <w:t xml:space="preserve">, </w:t>
      </w:r>
      <w:r>
        <w:rPr>
          <w:rtl w:val="true"/>
        </w:rPr>
        <w:t>בוחן בית המשפט גם את הנסיבות שהביאו לחוסר היכולת הכלכלית של הנאשם ואין דינו של מי שהתנהגותו שלו הובילה לכך שאין ביכולתו לשלם את סכום ההתחייבות בהגיע מועד הפעלתה</w:t>
      </w:r>
      <w:r>
        <w:rPr>
          <w:rtl w:val="true"/>
        </w:rPr>
        <w:t xml:space="preserve">; </w:t>
      </w:r>
      <w:r>
        <w:rPr>
          <w:rtl w:val="true"/>
        </w:rPr>
        <w:t xml:space="preserve">למי שנקלע למצב זה בעל כורכו ובתום לב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8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4919/14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אזולאי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64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עמית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6.3.2017</w:t>
      </w:r>
      <w:r>
        <w:rPr>
          <w:rtl w:val="true"/>
        </w:rPr>
        <w:t>)).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כאשר מוטל קנס במסגרת גזר דין</w:t>
      </w:r>
      <w:r>
        <w:rPr>
          <w:rtl w:val="true"/>
        </w:rPr>
        <w:t xml:space="preserve">, </w:t>
      </w:r>
      <w:r>
        <w:rPr>
          <w:rtl w:val="true"/>
        </w:rPr>
        <w:t>מועד תשלום הקנס הינו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 xml:space="preserve">מידי </w:t>
      </w:r>
      <w:r>
        <w:rPr>
          <w:rtl w:val="true"/>
        </w:rPr>
        <w:t>(</w:t>
      </w:r>
      <w:r>
        <w:rPr>
          <w:rtl w:val="true"/>
        </w:rPr>
        <w:t xml:space="preserve">וראה </w:t>
      </w:r>
      <w:hyperlink r:id="rId8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66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גם המועד הנכון לשקילת הטלת הקנס</w:t>
      </w:r>
      <w:r>
        <w:rPr>
          <w:rtl w:val="true"/>
        </w:rPr>
        <w:t xml:space="preserve">, </w:t>
      </w:r>
      <w:r>
        <w:rPr>
          <w:rtl w:val="true"/>
        </w:rPr>
        <w:t>שיעורו וגזירת מאסר נגד אי תשלומו</w:t>
      </w:r>
      <w:r>
        <w:rPr>
          <w:rtl w:val="true"/>
        </w:rPr>
        <w:t xml:space="preserve">, </w:t>
      </w:r>
      <w:r>
        <w:rPr>
          <w:rtl w:val="true"/>
        </w:rPr>
        <w:t>תוך התחשבות ביכולת התשלום של הנאשם שנגזר דינו והנסיבות שהביאו למצבו הכלכלי</w:t>
      </w:r>
      <w:r>
        <w:rPr>
          <w:rtl w:val="true"/>
        </w:rPr>
        <w:t xml:space="preserve">, </w:t>
      </w:r>
      <w:r>
        <w:rPr>
          <w:rtl w:val="true"/>
        </w:rPr>
        <w:t>הינו מועד הטלת הקנס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tl w:val="true"/>
        </w:rPr>
        <w:t>המצב שונה מהותית בהקשרה של התחייבות להימנע מעבירה וגזירת מאסר לעת הפרת חיוב התשלום שנקבע בהתחייבות</w:t>
      </w:r>
      <w:r>
        <w:rPr>
          <w:rtl w:val="true"/>
        </w:rPr>
        <w:t xml:space="preserve">: </w:t>
      </w:r>
      <w:r>
        <w:rPr>
          <w:rtl w:val="true"/>
        </w:rPr>
        <w:t>המועד בו יכול וייגזר מאסר כאמור הינו כאשר נעברת עבירה מאוחרת למתן ההתחייבות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</w:t>
      </w:r>
      <w:r>
        <w:rPr>
          <w:rtl w:val="true"/>
        </w:rPr>
        <w:t>("</w:t>
      </w:r>
      <w:r>
        <w:rPr>
          <w:rtl w:val="true"/>
        </w:rPr>
        <w:t>השני</w:t>
      </w:r>
      <w:r>
        <w:rPr>
          <w:rtl w:val="true"/>
        </w:rPr>
        <w:t xml:space="preserve">") </w:t>
      </w:r>
      <w:r>
        <w:rPr>
          <w:rtl w:val="true"/>
        </w:rPr>
        <w:t>מצווה על מימוש ההתחייבות והנאשם מפר את חיוב התשלום הקבוע בהתחייבות</w:t>
      </w:r>
      <w:r>
        <w:rPr>
          <w:rtl w:val="true"/>
        </w:rPr>
        <w:t xml:space="preserve">. </w:t>
      </w:r>
      <w:r>
        <w:rPr>
          <w:rtl w:val="true"/>
        </w:rPr>
        <w:t>מועד זה הינו מאוחר ויכול להיות מאוחר במידה ניכרת למועד בו ניתנה ההתחייבות</w:t>
      </w:r>
      <w:r>
        <w:rPr>
          <w:rtl w:val="true"/>
        </w:rPr>
        <w:t xml:space="preserve">. </w:t>
      </w:r>
      <w:r>
        <w:rPr>
          <w:rtl w:val="true"/>
        </w:rPr>
        <w:t>מצבו הכלכלי של הנאשם כמו גם הנסיבות שהביאו לכך יכולים להיות שונים מהותית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 xml:space="preserve">התוצאה לפיה בית המשפט </w:t>
      </w:r>
      <w:r>
        <w:rPr>
          <w:rtl w:val="true"/>
        </w:rPr>
        <w:t>"</w:t>
      </w:r>
      <w:r>
        <w:rPr>
          <w:rtl w:val="true"/>
        </w:rPr>
        <w:t>השני</w:t>
      </w:r>
      <w:r>
        <w:rPr>
          <w:rtl w:val="true"/>
        </w:rPr>
        <w:t xml:space="preserve">" </w:t>
      </w:r>
      <w:r>
        <w:rPr>
          <w:rtl w:val="true"/>
        </w:rPr>
        <w:t>הוא שמוסמך לשקול שיקולים אלו הינה</w:t>
      </w:r>
      <w:r>
        <w:rPr>
          <w:rtl w:val="true"/>
        </w:rPr>
        <w:t xml:space="preserve">, </w:t>
      </w:r>
      <w:r>
        <w:rPr>
          <w:rtl w:val="true"/>
        </w:rPr>
        <w:t>להשקפתי</w:t>
      </w:r>
      <w:r>
        <w:rPr>
          <w:rtl w:val="true"/>
        </w:rPr>
        <w:t xml:space="preserve">, </w:t>
      </w:r>
      <w:r>
        <w:rPr>
          <w:rtl w:val="true"/>
        </w:rPr>
        <w:t xml:space="preserve">גם התוצאה הרצויה המשרתת את תכלית ההסדר </w:t>
      </w:r>
      <w:r>
        <w:rPr>
          <w:rtl w:val="true"/>
        </w:rPr>
        <w:t>(</w:t>
      </w:r>
      <w:r>
        <w:rPr>
          <w:rtl w:val="true"/>
        </w:rPr>
        <w:t>יצוין כי האמור אינו גורע מכך שגם בעת הטלת ההתחייבות שוקל בית המשפט</w:t>
      </w:r>
      <w:r>
        <w:rPr>
          <w:rtl w:val="true"/>
        </w:rPr>
        <w:t xml:space="preserve">, </w:t>
      </w:r>
      <w:r>
        <w:rPr>
          <w:rtl w:val="true"/>
        </w:rPr>
        <w:t xml:space="preserve">ולעניין זה בית המשפט </w:t>
      </w:r>
      <w:r>
        <w:rPr>
          <w:rtl w:val="true"/>
        </w:rPr>
        <w:t>"</w:t>
      </w:r>
      <w:r>
        <w:rPr>
          <w:rtl w:val="true"/>
        </w:rPr>
        <w:t>הראשון</w:t>
      </w:r>
      <w:r>
        <w:rPr>
          <w:rtl w:val="true"/>
        </w:rPr>
        <w:t xml:space="preserve">", </w:t>
      </w:r>
      <w:r>
        <w:rPr>
          <w:rtl w:val="true"/>
        </w:rPr>
        <w:t xml:space="preserve">את יכולתו הכלכלית של הנאשם וראה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וואקי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420</w:t>
      </w:r>
      <w:r>
        <w:rPr>
          <w:rtl w:val="true"/>
        </w:rPr>
        <w:t xml:space="preserve">, </w:t>
      </w:r>
      <w:r>
        <w:rPr>
          <w:rtl w:val="true"/>
        </w:rPr>
        <w:t>המפנים בהקשר זה ל</w:t>
      </w:r>
      <w:hyperlink r:id="rId8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8182/18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מושיא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נגד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18.2.2020</w:t>
      </w:r>
      <w:r>
        <w:rPr>
          <w:rtl w:val="true"/>
        </w:rPr>
        <w:t>)).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עוד יוער כי התוצאה לפיה מי שמוסמך לגזור את עונש המאסר עקב הפרת חיוב התשלום שבהתחייבות להימנע מביצוע עבירה הינו בית המשפט </w:t>
      </w:r>
      <w:r>
        <w:rPr>
          <w:rtl w:val="true"/>
        </w:rPr>
        <w:t>"</w:t>
      </w:r>
      <w:r>
        <w:rPr>
          <w:rtl w:val="true"/>
        </w:rPr>
        <w:t>השני</w:t>
      </w:r>
      <w:r>
        <w:rPr>
          <w:rtl w:val="true"/>
        </w:rPr>
        <w:t>" (</w:t>
      </w:r>
      <w:r>
        <w:rPr>
          <w:rtl w:val="true"/>
        </w:rPr>
        <w:t>ובלא ששיקול דעתו יוגבל בהחלטה שניתנה בעניין זה</w:t>
      </w:r>
      <w:r>
        <w:rPr>
          <w:rtl w:val="true"/>
        </w:rPr>
        <w:t xml:space="preserve">, </w:t>
      </w:r>
      <w:r>
        <w:rPr>
          <w:rtl w:val="true"/>
        </w:rPr>
        <w:t>מראש</w:t>
      </w:r>
      <w:r>
        <w:rPr>
          <w:rtl w:val="true"/>
        </w:rPr>
        <w:t xml:space="preserve">, </w:t>
      </w:r>
      <w:r>
        <w:rPr>
          <w:rtl w:val="true"/>
        </w:rPr>
        <w:t xml:space="preserve">על ידי בית המשפט </w:t>
      </w:r>
      <w:r>
        <w:rPr>
          <w:rtl w:val="true"/>
        </w:rPr>
        <w:t>"</w:t>
      </w:r>
      <w:r>
        <w:rPr>
          <w:rtl w:val="true"/>
        </w:rPr>
        <w:t>הראשון</w:t>
      </w:r>
      <w:r>
        <w:rPr>
          <w:rtl w:val="true"/>
        </w:rPr>
        <w:t xml:space="preserve">"), </w:t>
      </w:r>
      <w:r>
        <w:rPr>
          <w:rtl w:val="true"/>
        </w:rPr>
        <w:t xml:space="preserve">הינה תוצאה רצויה גם משום שבית המשפט </w:t>
      </w:r>
      <w:r>
        <w:rPr>
          <w:rtl w:val="true"/>
        </w:rPr>
        <w:t>"</w:t>
      </w:r>
      <w:r>
        <w:rPr>
          <w:rtl w:val="true"/>
        </w:rPr>
        <w:t>השני</w:t>
      </w:r>
      <w:r>
        <w:rPr>
          <w:rtl w:val="true"/>
        </w:rPr>
        <w:t xml:space="preserve">" </w:t>
      </w:r>
      <w:r>
        <w:rPr>
          <w:rtl w:val="true"/>
        </w:rPr>
        <w:t>הוא בעל היכולת לאזן בין העונש שעליו לגזור בגין ביצוע העבירה המאוחרת</w:t>
      </w:r>
      <w:r>
        <w:rPr>
          <w:rtl w:val="true"/>
        </w:rPr>
        <w:t xml:space="preserve">, </w:t>
      </w:r>
      <w:r>
        <w:rPr>
          <w:rtl w:val="true"/>
        </w:rPr>
        <w:t>לבין עונש המאסר שיופעל בנסיבות אלו מהפרת צו התשלום</w:t>
      </w:r>
      <w:r>
        <w:rPr>
          <w:rtl w:val="true"/>
        </w:rPr>
        <w:t xml:space="preserve">. </w:t>
      </w:r>
      <w:r>
        <w:rPr>
          <w:rtl w:val="true"/>
        </w:rPr>
        <w:t xml:space="preserve">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סראחין</w:t>
      </w:r>
      <w:r>
        <w:rPr>
          <w:rtl w:val="true"/>
        </w:rPr>
        <w:t xml:space="preserve">, </w:t>
      </w:r>
      <w:r>
        <w:rPr>
          <w:rtl w:val="true"/>
        </w:rPr>
        <w:t>בו עסק בית המשפט המחוזי בבאר שבע באותה השאלה בה אנו עסקינן עתה</w:t>
      </w:r>
      <w:r>
        <w:rPr>
          <w:rtl w:val="true"/>
        </w:rPr>
        <w:t xml:space="preserve">, </w:t>
      </w:r>
      <w:r>
        <w:rPr>
          <w:rtl w:val="true"/>
        </w:rPr>
        <w:t xml:space="preserve">נדרש הנשיא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אלון</w:t>
      </w:r>
      <w:r>
        <w:rPr>
          <w:rtl w:val="true"/>
        </w:rPr>
        <w:t xml:space="preserve"> לשיקול זה</w:t>
      </w:r>
      <w:r>
        <w:rPr>
          <w:rtl w:val="true"/>
        </w:rPr>
        <w:t xml:space="preserve">, </w:t>
      </w:r>
      <w:r>
        <w:rPr>
          <w:rtl w:val="true"/>
        </w:rPr>
        <w:t>ודבריו יפים ונכוחים בעייני</w:t>
      </w:r>
      <w:r>
        <w:rPr>
          <w:rtl w:val="true"/>
        </w:rPr>
        <w:t>: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משהומרה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ההתחייבות</w:t>
      </w:r>
      <w:r>
        <w:rPr>
          <w:rtl w:val="true"/>
        </w:rPr>
        <w:t xml:space="preserve">, </w:t>
      </w:r>
      <w:r>
        <w:rPr>
          <w:rtl w:val="true"/>
        </w:rPr>
        <w:t>שהופעלה</w:t>
      </w:r>
      <w:r>
        <w:rPr>
          <w:rtl w:val="true"/>
        </w:rPr>
        <w:t xml:space="preserve">, </w:t>
      </w:r>
      <w:r>
        <w:rPr>
          <w:rtl w:val="true"/>
        </w:rPr>
        <w:t>לקנס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ומשקמה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ולאזן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המתחייבות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מהטלה</w:t>
      </w:r>
      <w:r>
        <w:rPr>
          <w:rtl w:val="true"/>
        </w:rPr>
        <w:t xml:space="preserve">, </w:t>
      </w:r>
      <w:r>
        <w:rPr>
          <w:rtl w:val="true"/>
        </w:rPr>
        <w:t>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בבד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המתבקשים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השניה</w:t>
      </w:r>
      <w:r>
        <w:rPr>
          <w:rtl w:val="true"/>
        </w:rPr>
        <w:t xml:space="preserve">. </w:t>
      </w:r>
      <w:r>
        <w:rPr>
          <w:rtl w:val="true"/>
        </w:rPr>
        <w:t>סמכות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'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'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' – </w:t>
      </w:r>
      <w:r>
        <w:rPr>
          <w:rtl w:val="true"/>
        </w:rPr>
        <w:t>המצווה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ההתחייבות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לאיזון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ושקלול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הנשיא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אלון</w:t>
      </w:r>
      <w:r>
        <w:rPr>
          <w:rtl w:val="true"/>
        </w:rPr>
        <w:t>).</w:t>
      </w:r>
    </w:p>
    <w:p>
      <w:pPr>
        <w:pStyle w:val="Ruller5"/>
        <w:spacing w:lineRule="auto" w:line="480"/>
        <w:ind w:end="1282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הנה כי כן</w:t>
      </w:r>
      <w:r>
        <w:rPr>
          <w:rtl w:val="true"/>
        </w:rPr>
        <w:t xml:space="preserve">, </w:t>
      </w:r>
      <w:r>
        <w:rPr>
          <w:rtl w:val="true"/>
        </w:rPr>
        <w:t>על רקע האמור לעיל</w:t>
      </w:r>
      <w:r>
        <w:rPr>
          <w:rtl w:val="true"/>
        </w:rPr>
        <w:t xml:space="preserve">, </w:t>
      </w:r>
      <w:r>
        <w:rPr>
          <w:rtl w:val="true"/>
        </w:rPr>
        <w:t>סבורני כי לצד הפרשנות הלשונית שהוצגה לעיל</w:t>
      </w:r>
      <w:r>
        <w:rPr>
          <w:rtl w:val="true"/>
        </w:rPr>
        <w:t xml:space="preserve">, </w:t>
      </w:r>
      <w:r>
        <w:rPr>
          <w:rtl w:val="true"/>
        </w:rPr>
        <w:t>גם תכלית ההסדרים הנדונים והגיונם מכתיבים את המסקנה אותה הצגתי בפתח דבריי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כאמור לעיל</w:t>
      </w:r>
      <w:r>
        <w:rPr>
          <w:rtl w:val="true"/>
        </w:rPr>
        <w:t xml:space="preserve">, </w:t>
      </w:r>
      <w:r>
        <w:rPr>
          <w:rtl w:val="true"/>
        </w:rPr>
        <w:t>לעניין התוצאה בערעור דנן</w:t>
      </w:r>
      <w:r>
        <w:rPr>
          <w:rtl w:val="true"/>
        </w:rPr>
        <w:t xml:space="preserve">, </w:t>
      </w:r>
      <w:r>
        <w:rPr>
          <w:rtl w:val="true"/>
        </w:rPr>
        <w:t xml:space="preserve">מצטרף אני לפסק דינו של חברי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tl w:val="true"/>
        </w:rPr>
        <w:t xml:space="preserve">. </w:t>
      </w:r>
    </w:p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tl w:val="true"/>
        </w:rPr>
        <w:t xml:space="preserve">. </w:t>
      </w:r>
    </w:p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480"/>
        <w:ind w:end="0"/>
        <w:jc w:val="both"/>
        <w:rPr/>
      </w:pPr>
      <w:bookmarkStart w:id="22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8.9.2022</w:t>
      </w:r>
      <w:r>
        <w:rPr>
          <w:rtl w:val="true"/>
        </w:rPr>
        <w:t xml:space="preserve">). </w:t>
      </w:r>
      <w:bookmarkEnd w:id="22"/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color w:val="FFFFFF"/>
                <w:sz w:val="2"/>
                <w:szCs w:val="2"/>
              </w:rPr>
              <w:t>54678313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המשנה לנשיאה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 xml:space="preserve">ש ו פ ט 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22022040</w:t>
      </w:r>
      <w:r>
        <w:rPr>
          <w:sz w:val="16"/>
          <w:rtl w:val="true"/>
        </w:rPr>
        <w:t>_</w:t>
      </w:r>
      <w:r>
        <w:rPr>
          <w:sz w:val="16"/>
        </w:rPr>
        <w:t>O04.docx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יר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88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54678313-2204/22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89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90"/>
      <w:footerReference w:type="default" r:id="rId91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2204/22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מחמד אל הייב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textAlignment w:val="auto"/>
    </w:pPr>
    <w:rPr>
      <w:rFonts w:ascii="Garamond" w:hAnsi="Garamond" w:cs="Garamond"/>
      <w:sz w:val="24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6388256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66.a" TargetMode="External"/><Relationship Id="rId6" Type="http://schemas.openxmlformats.org/officeDocument/2006/relationships/hyperlink" Target="http://www.nevo.co.il/law/70301/70" TargetMode="External"/><Relationship Id="rId7" Type="http://schemas.openxmlformats.org/officeDocument/2006/relationships/hyperlink" Target="http://www.nevo.co.il/law/70301/71" TargetMode="External"/><Relationship Id="rId8" Type="http://schemas.openxmlformats.org/officeDocument/2006/relationships/hyperlink" Target="http://www.nevo.co.il/law/70301/71.a" TargetMode="External"/><Relationship Id="rId9" Type="http://schemas.openxmlformats.org/officeDocument/2006/relationships/hyperlink" Target="http://www.nevo.co.il/law/70301/72" TargetMode="External"/><Relationship Id="rId10" Type="http://schemas.openxmlformats.org/officeDocument/2006/relationships/hyperlink" Target="http://www.nevo.co.il/law/70301/72.a" TargetMode="External"/><Relationship Id="rId11" Type="http://schemas.openxmlformats.org/officeDocument/2006/relationships/hyperlink" Target="http://www.nevo.co.il/law/70301/72.c" TargetMode="External"/><Relationship Id="rId12" Type="http://schemas.openxmlformats.org/officeDocument/2006/relationships/hyperlink" Target="http://www.nevo.co.il/law/70301/74" TargetMode="External"/><Relationship Id="rId13" Type="http://schemas.openxmlformats.org/officeDocument/2006/relationships/hyperlink" Target="http://www.nevo.co.il/law/70301/76" TargetMode="External"/><Relationship Id="rId14" Type="http://schemas.openxmlformats.org/officeDocument/2006/relationships/hyperlink" Target="http://www.nevo.co.il/law/70301/228.a" TargetMode="External"/><Relationship Id="rId15" Type="http://schemas.openxmlformats.org/officeDocument/2006/relationships/hyperlink" Target="http://www.nevo.co.il/law/70301/340.b.1" TargetMode="External"/><Relationship Id="rId16" Type="http://schemas.openxmlformats.org/officeDocument/2006/relationships/hyperlink" Target="http://www.nevo.co.il/law/70301/eS" TargetMode="External"/><Relationship Id="rId17" Type="http://schemas.openxmlformats.org/officeDocument/2006/relationships/hyperlink" Target="http://www.nevo.co.il/law/70301/fCeS" TargetMode="External"/><Relationship Id="rId18" Type="http://schemas.openxmlformats.org/officeDocument/2006/relationships/hyperlink" Target="http://www.nevo.co.il/law/72762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case/26388256" TargetMode="External"/><Relationship Id="rId28" Type="http://schemas.openxmlformats.org/officeDocument/2006/relationships/hyperlink" Target="http://www.nevo.co.il/law/70301/340.b.1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31" TargetMode="External"/><Relationship Id="rId31" Type="http://schemas.openxmlformats.org/officeDocument/2006/relationships/hyperlink" Target="http://www.nevo.co.il/law/70301/228.a" TargetMode="External"/><Relationship Id="rId32" Type="http://schemas.openxmlformats.org/officeDocument/2006/relationships/hyperlink" Target="http://www.nevo.co.il/law/70301/31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72.a" TargetMode="External"/><Relationship Id="rId35" Type="http://schemas.openxmlformats.org/officeDocument/2006/relationships/hyperlink" Target="http://www.nevo.co.il/law/70301/74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70301/76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/71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0301/76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70301/71" TargetMode="External"/><Relationship Id="rId44" Type="http://schemas.openxmlformats.org/officeDocument/2006/relationships/hyperlink" Target="http://www.nevo.co.il/law/70301/74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law/70301/74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law/70301/76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law/70301/76" TargetMode="External"/><Relationship Id="rId52" Type="http://schemas.openxmlformats.org/officeDocument/2006/relationships/hyperlink" Target="http://www.nevo.co.il/law/70301/76" TargetMode="External"/><Relationship Id="rId53" Type="http://schemas.openxmlformats.org/officeDocument/2006/relationships/hyperlink" Target="http://www.nevo.co.il/law/70301/71.a" TargetMode="External"/><Relationship Id="rId54" Type="http://schemas.openxmlformats.org/officeDocument/2006/relationships/hyperlink" Target="http://www.nevo.co.il/law/70301/76" TargetMode="External"/><Relationship Id="rId55" Type="http://schemas.openxmlformats.org/officeDocument/2006/relationships/hyperlink" Target="http://www.nevo.co.il/law/70301/76" TargetMode="External"/><Relationship Id="rId56" Type="http://schemas.openxmlformats.org/officeDocument/2006/relationships/hyperlink" Target="http://www.nevo.co.il/law/70301/fCeS" TargetMode="External"/><Relationship Id="rId57" Type="http://schemas.openxmlformats.org/officeDocument/2006/relationships/hyperlink" Target="http://www.nevo.co.il/law/70301" TargetMode="External"/><Relationship Id="rId58" Type="http://schemas.openxmlformats.org/officeDocument/2006/relationships/hyperlink" Target="http://www.nevo.co.il/law/70301/fCeS" TargetMode="External"/><Relationship Id="rId59" Type="http://schemas.openxmlformats.org/officeDocument/2006/relationships/hyperlink" Target="http://www.nevo.co.il/law/70301" TargetMode="External"/><Relationship Id="rId60" Type="http://schemas.openxmlformats.org/officeDocument/2006/relationships/hyperlink" Target="http://www.nevo.co.il/safrut/bookgroup/2258" TargetMode="External"/><Relationship Id="rId61" Type="http://schemas.openxmlformats.org/officeDocument/2006/relationships/hyperlink" Target="http://www.nevo.co.il/law/70301/72" TargetMode="External"/><Relationship Id="rId62" Type="http://schemas.openxmlformats.org/officeDocument/2006/relationships/hyperlink" Target="http://www.nevo.co.il/law/70301/72.c" TargetMode="External"/><Relationship Id="rId63" Type="http://schemas.openxmlformats.org/officeDocument/2006/relationships/hyperlink" Target="http://www.nevo.co.il/law/70301/72.c" TargetMode="External"/><Relationship Id="rId64" Type="http://schemas.openxmlformats.org/officeDocument/2006/relationships/hyperlink" Target="http://www.nevo.co.il/law/70301" TargetMode="External"/><Relationship Id="rId65" Type="http://schemas.openxmlformats.org/officeDocument/2006/relationships/hyperlink" Target="http://www.nevo.co.il/law/70301/74" TargetMode="External"/><Relationship Id="rId66" Type="http://schemas.openxmlformats.org/officeDocument/2006/relationships/hyperlink" Target="http://www.nevo.co.il/law/70301/74" TargetMode="External"/><Relationship Id="rId67" Type="http://schemas.openxmlformats.org/officeDocument/2006/relationships/hyperlink" Target="http://www.nevo.co.il/law/70301/72" TargetMode="External"/><Relationship Id="rId68" Type="http://schemas.openxmlformats.org/officeDocument/2006/relationships/hyperlink" Target="http://www.nevo.co.il/law/70301/76" TargetMode="External"/><Relationship Id="rId69" Type="http://schemas.openxmlformats.org/officeDocument/2006/relationships/hyperlink" Target="http://www.nevo.co.il/law/70301/eS" TargetMode="External"/><Relationship Id="rId70" Type="http://schemas.openxmlformats.org/officeDocument/2006/relationships/hyperlink" Target="http://www.nevo.co.il/law/70301/76" TargetMode="External"/><Relationship Id="rId71" Type="http://schemas.openxmlformats.org/officeDocument/2006/relationships/hyperlink" Target="http://www.nevo.co.il/law/70301/76" TargetMode="External"/><Relationship Id="rId72" Type="http://schemas.openxmlformats.org/officeDocument/2006/relationships/hyperlink" Target="http://www.nevo.co.il/case/22694488" TargetMode="External"/><Relationship Id="rId73" Type="http://schemas.openxmlformats.org/officeDocument/2006/relationships/hyperlink" Target="http://www.nevo.co.il/law/70301/76" TargetMode="External"/><Relationship Id="rId74" Type="http://schemas.openxmlformats.org/officeDocument/2006/relationships/hyperlink" Target="http://www.nevo.co.il/law/70301/76" TargetMode="External"/><Relationship Id="rId75" Type="http://schemas.openxmlformats.org/officeDocument/2006/relationships/hyperlink" Target="http://www.nevo.co.il/law/70301" TargetMode="External"/><Relationship Id="rId76" Type="http://schemas.openxmlformats.org/officeDocument/2006/relationships/hyperlink" Target="http://www.nevo.co.il/case/4169557" TargetMode="External"/><Relationship Id="rId77" Type="http://schemas.openxmlformats.org/officeDocument/2006/relationships/hyperlink" Target="http://www.nevo.co.il/law/72762" TargetMode="External"/><Relationship Id="rId78" Type="http://schemas.openxmlformats.org/officeDocument/2006/relationships/hyperlink" Target="http://www.nevo.co.il/law/70301/70" TargetMode="External"/><Relationship Id="rId79" Type="http://schemas.openxmlformats.org/officeDocument/2006/relationships/hyperlink" Target="http://www.nevo.co.il/law/70301" TargetMode="External"/><Relationship Id="rId80" Type="http://schemas.openxmlformats.org/officeDocument/2006/relationships/hyperlink" Target="http://www.nevo.co.il/law/70301/71.a" TargetMode="External"/><Relationship Id="rId81" Type="http://schemas.openxmlformats.org/officeDocument/2006/relationships/hyperlink" Target="http://www.nevo.co.il/law/70301/71.a" TargetMode="External"/><Relationship Id="rId82" Type="http://schemas.openxmlformats.org/officeDocument/2006/relationships/hyperlink" Target="http://www.nevo.co.il/law/70301/72" TargetMode="External"/><Relationship Id="rId83" Type="http://schemas.openxmlformats.org/officeDocument/2006/relationships/hyperlink" Target="http://www.nevo.co.il/law/70301/76" TargetMode="External"/><Relationship Id="rId84" Type="http://schemas.openxmlformats.org/officeDocument/2006/relationships/hyperlink" Target="http://www.nevo.co.il/case/17910592" TargetMode="External"/><Relationship Id="rId85" Type="http://schemas.openxmlformats.org/officeDocument/2006/relationships/hyperlink" Target="http://www.nevo.co.il/case/17043259" TargetMode="External"/><Relationship Id="rId86" Type="http://schemas.openxmlformats.org/officeDocument/2006/relationships/hyperlink" Target="http://www.nevo.co.il/law/70301/66.a" TargetMode="External"/><Relationship Id="rId87" Type="http://schemas.openxmlformats.org/officeDocument/2006/relationships/hyperlink" Target="http://www.nevo.co.il/case/25155590" TargetMode="External"/><Relationship Id="rId88" Type="http://schemas.openxmlformats.org/officeDocument/2006/relationships/hyperlink" Target="https://supreme.court.gov.il/" TargetMode="External"/><Relationship Id="rId89" Type="http://schemas.openxmlformats.org/officeDocument/2006/relationships/hyperlink" Target="http://www.nevo.co.il/advertisements/nevo-100.doc" TargetMode="External"/><Relationship Id="rId90" Type="http://schemas.openxmlformats.org/officeDocument/2006/relationships/header" Target="header1.xml"/><Relationship Id="rId91" Type="http://schemas.openxmlformats.org/officeDocument/2006/relationships/footer" Target="footer1.xml"/><Relationship Id="rId92" Type="http://schemas.openxmlformats.org/officeDocument/2006/relationships/numbering" Target="numbering.xml"/><Relationship Id="rId93" Type="http://schemas.openxmlformats.org/officeDocument/2006/relationships/fontTable" Target="fontTable.xml"/><Relationship Id="rId94" Type="http://schemas.openxmlformats.org/officeDocument/2006/relationships/settings" Target="settings.xml"/><Relationship Id="rId9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2022-09-11T07:14:00Z</dcterms:created>
  <dc:creator>h4</dc:creator>
  <dc:description/>
  <cp:keywords/>
  <dc:language>en-IL</dc:language>
  <cp:lastModifiedBy>orly</cp:lastModifiedBy>
  <cp:lastPrinted>2022-09-08T10:15:00Z</cp:lastPrinted>
  <dcterms:modified xsi:type="dcterms:W3CDTF">2022-09-11T07:14:00Z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מחמד אל הייב</vt:lpwstr>
  </property>
  <property fmtid="{D5CDD505-2E9C-101B-9397-08002B2CF9AE}" pid="3" name="APPELLEE">
    <vt:lpwstr>מדינת ישראל</vt:lpwstr>
  </property>
  <property fmtid="{D5CDD505-2E9C-101B-9397-08002B2CF9AE}" pid="4" name="CASESLISTTMP1">
    <vt:lpwstr>26388256:2;22694488;4169557;17910592;17043259;25155590</vt:lpwstr>
  </property>
  <property fmtid="{D5CDD505-2E9C-101B-9397-08002B2CF9AE}" pid="5" name="DATE">
    <vt:lpwstr>20220908</vt:lpwstr>
  </property>
  <property fmtid="{D5CDD505-2E9C-101B-9397-08002B2CF9AE}" pid="6" name="ISABSTRACT">
    <vt:lpwstr>Y</vt:lpwstr>
  </property>
  <property fmtid="{D5CDD505-2E9C-101B-9397-08002B2CF9AE}" pid="7" name="JUDGE">
    <vt:lpwstr>נ' סולברג;י' כשר;ע' פוגלמן</vt:lpwstr>
  </property>
  <property fmtid="{D5CDD505-2E9C-101B-9397-08002B2CF9AE}" pid="8" name="LAWLISTTMP1">
    <vt:lpwstr>70301/340.b.1;031:2;228.a;072.a;074:5;076:13;071:2;071.a:3;fCeS:2;072:3;072.c:2;eS;070;066.a</vt:lpwstr>
  </property>
  <property fmtid="{D5CDD505-2E9C-101B-9397-08002B2CF9AE}" pid="9" name="LAWLISTTMP2">
    <vt:lpwstr>72762</vt:lpwstr>
  </property>
  <property fmtid="{D5CDD505-2E9C-101B-9397-08002B2CF9AE}" pid="10" name="LAWYER">
    <vt:lpwstr>עילית מידן;מורן כרמון;נג'מה הייב</vt:lpwstr>
  </property>
  <property fmtid="{D5CDD505-2E9C-101B-9397-08002B2CF9AE}" pid="11" name="METAKZER">
    <vt:lpwstr>נעה</vt:lpwstr>
  </property>
  <property fmtid="{D5CDD505-2E9C-101B-9397-08002B2CF9AE}" pid="12" name="NOBOOKNEVO">
    <vt:lpwstr>2258</vt:lpwstr>
  </property>
  <property fmtid="{D5CDD505-2E9C-101B-9397-08002B2CF9AE}" pid="13" name="NOSE11">
    <vt:lpwstr>עונשין</vt:lpwstr>
  </property>
  <property fmtid="{D5CDD505-2E9C-101B-9397-08002B2CF9AE}" pid="14" name="NOSE110">
    <vt:lpwstr/>
  </property>
  <property fmtid="{D5CDD505-2E9C-101B-9397-08002B2CF9AE}" pid="15" name="NOSE12">
    <vt:lpwstr>בתי-משפט</vt:lpwstr>
  </property>
  <property fmtid="{D5CDD505-2E9C-101B-9397-08002B2CF9AE}" pid="16" name="NOSE13">
    <vt:lpwstr>עונשין</vt:lpwstr>
  </property>
  <property fmtid="{D5CDD505-2E9C-101B-9397-08002B2CF9AE}" pid="17" name="NOSE14">
    <vt:lpwstr>עונשין</vt:lpwstr>
  </property>
  <property fmtid="{D5CDD505-2E9C-101B-9397-08002B2CF9AE}" pid="18" name="NOSE15">
    <vt:lpwstr>פרשנות</vt:lpwstr>
  </property>
  <property fmtid="{D5CDD505-2E9C-101B-9397-08002B2CF9AE}" pid="19" name="NOSE16">
    <vt:lpwstr/>
  </property>
  <property fmtid="{D5CDD505-2E9C-101B-9397-08002B2CF9AE}" pid="20" name="NOSE17">
    <vt:lpwstr/>
  </property>
  <property fmtid="{D5CDD505-2E9C-101B-9397-08002B2CF9AE}" pid="21" name="NOSE18">
    <vt:lpwstr/>
  </property>
  <property fmtid="{D5CDD505-2E9C-101B-9397-08002B2CF9AE}" pid="22" name="NOSE19">
    <vt:lpwstr/>
  </property>
  <property fmtid="{D5CDD505-2E9C-101B-9397-08002B2CF9AE}" pid="23" name="NOSE1ID">
    <vt:lpwstr>77;14;77;77;84</vt:lpwstr>
  </property>
  <property fmtid="{D5CDD505-2E9C-101B-9397-08002B2CF9AE}" pid="24" name="NOSE21">
    <vt:lpwstr>ענישה</vt:lpwstr>
  </property>
  <property fmtid="{D5CDD505-2E9C-101B-9397-08002B2CF9AE}" pid="25" name="NOSE210">
    <vt:lpwstr/>
  </property>
  <property fmtid="{D5CDD505-2E9C-101B-9397-08002B2CF9AE}" pid="26" name="NOSE22">
    <vt:lpwstr>סמכות</vt:lpwstr>
  </property>
  <property fmtid="{D5CDD505-2E9C-101B-9397-08002B2CF9AE}" pid="27" name="NOSE23">
    <vt:lpwstr>ענישה</vt:lpwstr>
  </property>
  <property fmtid="{D5CDD505-2E9C-101B-9397-08002B2CF9AE}" pid="28" name="NOSE24">
    <vt:lpwstr>ענישה</vt:lpwstr>
  </property>
  <property fmtid="{D5CDD505-2E9C-101B-9397-08002B2CF9AE}" pid="29" name="NOSE25">
    <vt:lpwstr>דין</vt:lpwstr>
  </property>
  <property fmtid="{D5CDD505-2E9C-101B-9397-08002B2CF9AE}" pid="30" name="NOSE26">
    <vt:lpwstr/>
  </property>
  <property fmtid="{D5CDD505-2E9C-101B-9397-08002B2CF9AE}" pid="31" name="NOSE27">
    <vt:lpwstr/>
  </property>
  <property fmtid="{D5CDD505-2E9C-101B-9397-08002B2CF9AE}" pid="32" name="NOSE28">
    <vt:lpwstr/>
  </property>
  <property fmtid="{D5CDD505-2E9C-101B-9397-08002B2CF9AE}" pid="33" name="NOSE29">
    <vt:lpwstr/>
  </property>
  <property fmtid="{D5CDD505-2E9C-101B-9397-08002B2CF9AE}" pid="34" name="NOSE2ID">
    <vt:lpwstr>1446;328;1446;1446;1517</vt:lpwstr>
  </property>
  <property fmtid="{D5CDD505-2E9C-101B-9397-08002B2CF9AE}" pid="35" name="NOSE31">
    <vt:lpwstr>התחייבות להימנע מעבירה</vt:lpwstr>
  </property>
  <property fmtid="{D5CDD505-2E9C-101B-9397-08002B2CF9AE}" pid="36" name="NOSE310">
    <vt:lpwstr/>
  </property>
  <property fmtid="{D5CDD505-2E9C-101B-9397-08002B2CF9AE}" pid="37" name="NOSE32">
    <vt:lpwstr>קביעתה</vt:lpwstr>
  </property>
  <property fmtid="{D5CDD505-2E9C-101B-9397-08002B2CF9AE}" pid="38" name="NOSE33">
    <vt:lpwstr>דרכי ענישה: התחייבות להימנע מביצוע עבירה</vt:lpwstr>
  </property>
  <property fmtid="{D5CDD505-2E9C-101B-9397-08002B2CF9AE}" pid="39" name="NOSE34">
    <vt:lpwstr>דרכי ענישה: מאסר-על-תנאי</vt:lpwstr>
  </property>
  <property fmtid="{D5CDD505-2E9C-101B-9397-08002B2CF9AE}" pid="40" name="NOSE35">
    <vt:lpwstr>חוק העונשין</vt:lpwstr>
  </property>
  <property fmtid="{D5CDD505-2E9C-101B-9397-08002B2CF9AE}" pid="41" name="NOSE36">
    <vt:lpwstr/>
  </property>
  <property fmtid="{D5CDD505-2E9C-101B-9397-08002B2CF9AE}" pid="42" name="NOSE37">
    <vt:lpwstr/>
  </property>
  <property fmtid="{D5CDD505-2E9C-101B-9397-08002B2CF9AE}" pid="43" name="NOSE38">
    <vt:lpwstr/>
  </property>
  <property fmtid="{D5CDD505-2E9C-101B-9397-08002B2CF9AE}" pid="44" name="NOSE39">
    <vt:lpwstr/>
  </property>
  <property fmtid="{D5CDD505-2E9C-101B-9397-08002B2CF9AE}" pid="45" name="NOSE3ID">
    <vt:lpwstr>14895;2645;8956;8960;9358</vt:lpwstr>
  </property>
  <property fmtid="{D5CDD505-2E9C-101B-9397-08002B2CF9AE}" pid="46" name="PADIDATE">
    <vt:lpwstr>20220911</vt:lpwstr>
  </property>
  <property fmtid="{D5CDD505-2E9C-101B-9397-08002B2CF9AE}" pid="47" name="PADIMAIL">
    <vt:lpwstr>YES</vt:lpwstr>
  </property>
  <property fmtid="{D5CDD505-2E9C-101B-9397-08002B2CF9AE}" pid="48" name="PROCESS">
    <vt:lpwstr>עפ</vt:lpwstr>
  </property>
  <property fmtid="{D5CDD505-2E9C-101B-9397-08002B2CF9AE}" pid="49" name="PROCNUM">
    <vt:lpwstr>2204</vt:lpwstr>
  </property>
  <property fmtid="{D5CDD505-2E9C-101B-9397-08002B2CF9AE}" pid="50" name="PROCYEAR">
    <vt:lpwstr>22</vt:lpwstr>
  </property>
  <property fmtid="{D5CDD505-2E9C-101B-9397-08002B2CF9AE}" pid="51" name="PSAKDIN">
    <vt:lpwstr>פסק-דין</vt:lpwstr>
  </property>
  <property fmtid="{D5CDD505-2E9C-101B-9397-08002B2CF9AE}" pid="52" name="TYPE">
    <vt:lpwstr>1</vt:lpwstr>
  </property>
  <property fmtid="{D5CDD505-2E9C-101B-9397-08002B2CF9AE}" pid="53" name="TYPE_ABS_DATE">
    <vt:lpwstr>410120220908</vt:lpwstr>
  </property>
  <property fmtid="{D5CDD505-2E9C-101B-9397-08002B2CF9AE}" pid="54" name="TYPE_N_DATE">
    <vt:lpwstr>41020220908</vt:lpwstr>
  </property>
  <property fmtid="{D5CDD505-2E9C-101B-9397-08002B2CF9AE}" pid="55" name="WORDNUMPAGES">
    <vt:lpwstr>16</vt:lpwstr>
  </property>
</Properties>
</file>