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Arial Narrow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2206/18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נאזם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סלים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Arial Narrow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Arial Narrow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ית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השלום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11.3.2018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Arial Narrow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12629-11-10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Arial Narrow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ניתנה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יונג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גפר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p>
      <w:pPr>
        <w:pStyle w:val="Ruller31"/>
        <w:ind w:end="0"/>
        <w:jc w:val="start"/>
        <w:rPr/>
      </w:pPr>
      <w:bookmarkStart w:id="3" w:name="FirstLawyer"/>
      <w:r>
        <w:rPr>
          <w:rtl w:val="true"/>
        </w:rPr>
        <w:t>בשם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המערער</w:t>
      </w:r>
      <w:bookmarkEnd w:id="3"/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עמראן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חטיב</w:t>
      </w:r>
      <w:r>
        <w:rPr>
          <w:rFonts w:cs="Times New Roman;Arial Narrow"/>
          <w:rtl w:val="true"/>
        </w:rPr>
        <w:t xml:space="preserve">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4" w:name="ABSTRACT_START"/>
      <w:bookmarkEnd w:id="4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לעיתים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ייקבע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בפעילות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השיפוטית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כשלעצמה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החלטותיו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‏–‏</w:t>
      </w:r>
      <w:r>
        <w:rPr>
          <w:rFonts w:cs="Times New Roman;Arial Narrow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שופטים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‏–‏</w:t>
      </w:r>
      <w:r>
        <w:rPr>
          <w:rFonts w:cs="Times New Roman;Arial Narrow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פסילה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‏–‏</w:t>
      </w:r>
      <w:r>
        <w:rPr>
          <w:rFonts w:cs="Times New Roman;Arial Narrow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‏–‏</w:t>
      </w:r>
      <w:r>
        <w:rPr>
          <w:rFonts w:cs="Times New Roman;Arial Narrow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השלום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לפסול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מלדון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בתמצית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נטען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ניהול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התאפיין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בחוסר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סבלנות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והיעדר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בתלונותיו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הרפואי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לעיתים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ייקבע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בפעילות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השיפוטית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כשלעצמה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החלטותיו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מופנות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התבטאויות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החלטות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דיוניות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ניהול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שפורטו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לפסילת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עיון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בפרוטוקול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הרלוונטי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כקביעת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התנהלותו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חרגה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מניהול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להצביע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עוינות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מצדו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שהטעים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נעולה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פתוח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להכריע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התשתית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שתונח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בביקורת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שנמתחה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התנהלות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סנגורו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להעיד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ודברים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יפים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להבעת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רוחו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מהתנהלות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בקשת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וערעור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האכסניה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המתאימה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להעלאת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דיוניות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והדרך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להשיג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מסלולי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להידרש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להתנהלות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בתקופה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ההכרעה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בערעור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הפסלות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הקודם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שהגיש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להוסיף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השיהוי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הניכר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בהעלאת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להתבטאויות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5" w:name="ABSTRACT_END"/>
      <w:bookmarkStart w:id="6" w:name="ABSTRACT_END"/>
      <w:bookmarkEnd w:id="6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7" w:name="PsakDin"/>
            <w:bookmarkStart w:id="8" w:name="BeginProtocol"/>
            <w:bookmarkStart w:id="9" w:name="secretary"/>
            <w:bookmarkEnd w:id="7"/>
            <w:bookmarkEnd w:id="8"/>
            <w:bookmarkEnd w:id="9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bookmarkStart w:id="10" w:name="Writer_Name"/>
      <w:bookmarkEnd w:id="10"/>
      <w:r>
        <w:rPr>
          <w:rFonts w:cs="Times New Roman;Arial Narrow" w:ascii="Times New Roman;Arial Narrow" w:hAnsi="Times New Roman;Arial Narrow"/>
          <w:rtl w:val="true"/>
        </w:rPr>
        <w:tab/>
      </w:r>
      <w:r>
        <w:rPr>
          <w:rFonts w:ascii="Garamond" w:hAnsi="Garamond" w:cs="Garamond"/>
          <w:sz w:val="28"/>
          <w:sz w:val="28"/>
          <w:rtl w:val="true"/>
        </w:rPr>
        <w:t xml:space="preserve">ערעור על החלטת בית משפט השלום בנצרת </w:t>
      </w:r>
      <w:r>
        <w:rPr>
          <w:rFonts w:cs="Garamond" w:ascii="Garamond" w:hAnsi="Garamond"/>
          <w:sz w:val="28"/>
          <w:rtl w:val="true"/>
        </w:rPr>
        <w:t>(</w:t>
      </w:r>
      <w:r>
        <w:rPr>
          <w:rFonts w:ascii="Garamond" w:hAnsi="Garamond" w:cs="Garamond"/>
          <w:sz w:val="28"/>
          <w:sz w:val="28"/>
          <w:rtl w:val="true"/>
        </w:rPr>
        <w:t xml:space="preserve">השופטת </w:t>
      </w:r>
      <w:r>
        <w:rPr>
          <w:rFonts w:ascii="Garamond" w:hAnsi="Garamond" w:cs="Miriam"/>
          <w:sz w:val="24"/>
          <w:sz w:val="24"/>
          <w:szCs w:val="24"/>
          <w:rtl w:val="true"/>
        </w:rPr>
        <w:t>ל</w:t>
      </w:r>
      <w:r>
        <w:rPr>
          <w:rFonts w:cs="Miriam" w:ascii="Garamond" w:hAnsi="Garamond"/>
          <w:sz w:val="24"/>
          <w:szCs w:val="24"/>
          <w:rtl w:val="true"/>
        </w:rPr>
        <w:t xml:space="preserve">' </w:t>
      </w:r>
      <w:r>
        <w:rPr>
          <w:rFonts w:ascii="Garamond" w:hAnsi="Garamond" w:cs="Miriam"/>
          <w:sz w:val="24"/>
          <w:sz w:val="24"/>
          <w:szCs w:val="24"/>
          <w:rtl w:val="true"/>
        </w:rPr>
        <w:t>יונג</w:t>
      </w:r>
      <w:r>
        <w:rPr>
          <w:rFonts w:cs="Miriam" w:ascii="Garamond" w:hAnsi="Garamond"/>
          <w:sz w:val="24"/>
          <w:szCs w:val="24"/>
          <w:rtl w:val="true"/>
        </w:rPr>
        <w:t>-</w:t>
      </w:r>
      <w:r>
        <w:rPr>
          <w:rFonts w:ascii="Garamond" w:hAnsi="Garamond" w:cs="Miriam"/>
          <w:sz w:val="24"/>
          <w:sz w:val="24"/>
          <w:szCs w:val="24"/>
          <w:rtl w:val="true"/>
        </w:rPr>
        <w:t>גפר</w:t>
      </w:r>
      <w:r>
        <w:rPr>
          <w:rFonts w:cs="Garamond" w:ascii="Garamond" w:hAnsi="Garamond"/>
          <w:sz w:val="28"/>
          <w:rtl w:val="true"/>
        </w:rPr>
        <w:t xml:space="preserve">) </w:t>
      </w:r>
      <w:r>
        <w:rPr>
          <w:rFonts w:ascii="Garamond" w:hAnsi="Garamond" w:cs="Garamond"/>
          <w:sz w:val="28"/>
          <w:sz w:val="28"/>
          <w:rtl w:val="true"/>
        </w:rPr>
        <w:t xml:space="preserve">מיום </w:t>
      </w:r>
      <w:r>
        <w:rPr>
          <w:rFonts w:cs="Garamond" w:ascii="Garamond" w:hAnsi="Garamond"/>
          <w:sz w:val="28"/>
        </w:rPr>
        <w:t>11.3.2018</w:t>
      </w:r>
      <w:r>
        <w:rPr>
          <w:rFonts w:cs="Garamond" w:ascii="Garamond" w:hAnsi="Garamond"/>
          <w:sz w:val="28"/>
          <w:rtl w:val="true"/>
        </w:rPr>
        <w:t xml:space="preserve"> </w:t>
      </w:r>
      <w:r>
        <w:rPr>
          <w:rFonts w:ascii="Garamond" w:hAnsi="Garamond" w:cs="Garamond"/>
          <w:sz w:val="28"/>
          <w:sz w:val="28"/>
          <w:rtl w:val="true"/>
        </w:rPr>
        <w:t>שלא לפסול עצמו מלדון ב</w:t>
      </w:r>
      <w:hyperlink r:id="rId3">
        <w:r>
          <w:rPr>
            <w:rStyle w:val="Hyperlink"/>
            <w:rFonts w:ascii="Garamond" w:hAnsi="Garamond" w:cs="Garamond"/>
            <w:color w:val="0000FF"/>
            <w:sz w:val="28"/>
            <w:sz w:val="28"/>
            <w:u w:val="single"/>
            <w:rtl w:val="true"/>
          </w:rPr>
          <w:t>ת</w:t>
        </w:r>
        <w:r>
          <w:rPr>
            <w:rStyle w:val="Hyperlink"/>
            <w:rFonts w:cs="Garamond" w:ascii="Garamond" w:hAnsi="Garamond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Garamond" w:hAnsi="Garamond" w:cs="Garamond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Garamond" w:hAnsi="Garamond" w:cs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Garamond" w:ascii="Garamond" w:hAnsi="Garamond"/>
            <w:color w:val="0000FF"/>
            <w:sz w:val="28"/>
            <w:u w:val="single"/>
          </w:rPr>
          <w:t>12629-11-10</w:t>
        </w:r>
      </w:hyperlink>
      <w:r>
        <w:rPr>
          <w:rFonts w:cs="Garamond" w:ascii="Garamond" w:hAnsi="Garamond"/>
          <w:color w:val="0000FF"/>
          <w:sz w:val="28"/>
          <w:u w:val="single"/>
          <w:rtl w:val="true"/>
        </w:rPr>
        <w:t xml:space="preserve"> </w:t>
      </w:r>
      <w:r>
        <w:rPr>
          <w:rFonts w:cs="David;Times New Roman" w:ascii="Times New Roman;Arial Narrow" w:hAnsi="Times New Roman;Arial Narrow"/>
          <w:spacing w:val="0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Cs w:val="24"/>
          <w:rtl w:val="true"/>
        </w:rPr>
        <w:t xml:space="preserve">] </w:t>
      </w:r>
      <w:r>
        <w:rPr>
          <w:rFonts w:cs="Garamond" w:ascii="Garamond" w:hAnsi="Garamond"/>
          <w:sz w:val="28"/>
          <w:rtl w:val="true"/>
        </w:rPr>
        <w:t>.</w:t>
      </w:r>
    </w:p>
    <w:p>
      <w:pPr>
        <w:pStyle w:val="Ruller42"/>
        <w:ind w:end="0"/>
        <w:jc w:val="both"/>
        <w:rPr>
          <w:rFonts w:ascii="Times New Roman;Arial Narrow" w:hAnsi="Times New Roman;Arial Narrow" w:cs="Times New Roman;Arial Narrow"/>
          <w:sz w:val="28"/>
        </w:rPr>
      </w:pPr>
      <w:r>
        <w:rPr>
          <w:rFonts w:cs="Times New Roman;Arial Narrow" w:ascii="Times New Roman;Arial Narrow" w:hAnsi="Times New Roman;Arial Narrow"/>
          <w:sz w:val="28"/>
          <w:rtl w:val="true"/>
        </w:rPr>
      </w:r>
    </w:p>
    <w:p>
      <w:pPr>
        <w:pStyle w:val="Ruller43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נגד המערער הוגש כתב אישום המייחס לו עבירות של הסתה לאלימות וטרור ותמיכה בארגון טרור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1.4.2012</w:t>
      </w:r>
      <w:r>
        <w:rPr>
          <w:rtl w:val="true"/>
        </w:rPr>
        <w:t xml:space="preserve"> </w:t>
      </w:r>
      <w:r>
        <w:rPr>
          <w:rtl w:val="true"/>
        </w:rPr>
        <w:t xml:space="preserve">הרשיע בית משפט השלום בנצרת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 xml:space="preserve">השופטת </w:t>
      </w:r>
      <w:r>
        <w:rPr>
          <w:rFonts w:cs="Miriam"/>
          <w:szCs w:val="24"/>
          <w:rtl w:val="true"/>
        </w:rPr>
        <w:t>ל</w:t>
      </w:r>
      <w:r>
        <w:rPr>
          <w:rFonts w:cs="Miriam"/>
          <w:szCs w:val="24"/>
          <w:rtl w:val="true"/>
        </w:rPr>
        <w:t xml:space="preserve">' </w:t>
      </w:r>
      <w:r>
        <w:rPr>
          <w:rFonts w:cs="Miriam"/>
          <w:szCs w:val="24"/>
          <w:rtl w:val="true"/>
        </w:rPr>
        <w:t>יונג</w:t>
      </w:r>
      <w:r>
        <w:rPr>
          <w:rFonts w:cs="Miriam"/>
          <w:szCs w:val="24"/>
          <w:rtl w:val="true"/>
        </w:rPr>
        <w:t>-</w:t>
      </w:r>
      <w:r>
        <w:rPr>
          <w:rFonts w:cs="Miriam"/>
          <w:szCs w:val="24"/>
          <w:rtl w:val="true"/>
        </w:rPr>
        <w:t>גפר</w:t>
      </w:r>
      <w:r>
        <w:rPr>
          <w:sz w:val="28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את המערער בעבירות שיוחסו לו וגזר עליו עונש של שלוש שנות מאסר בפועל ו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. </w:t>
      </w:r>
      <w:r>
        <w:rPr>
          <w:rtl w:val="true"/>
        </w:rPr>
        <w:t>הכרעת הדין ניתנה בהתאם להסדר דיוני בין הצדדים שייתר את שמיעת הראיות בתיק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28.5.2013</w:t>
      </w:r>
      <w:r>
        <w:rPr>
          <w:rtl w:val="true"/>
        </w:rPr>
        <w:t xml:space="preserve"> </w:t>
      </w:r>
      <w:r>
        <w:rPr>
          <w:rtl w:val="true"/>
        </w:rPr>
        <w:t xml:space="preserve">קיבל בית המשפט המחוזי בנצרת </w:t>
      </w:r>
      <w:r>
        <w:rPr>
          <w:rtl w:val="true"/>
        </w:rPr>
        <w:t>(</w:t>
      </w:r>
      <w:r>
        <w:rPr>
          <w:rtl w:val="true"/>
        </w:rPr>
        <w:t xml:space="preserve">השופטים </w:t>
      </w:r>
      <w:r>
        <w:rPr>
          <w:rFonts w:cs="Miriam"/>
          <w:b/>
          <w:b/>
          <w:szCs w:val="24"/>
          <w:rtl w:val="true"/>
        </w:rPr>
        <w:t>א</w:t>
      </w:r>
      <w:r>
        <w:rPr>
          <w:rFonts w:cs="Miriam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הלמן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קולה</w:t>
      </w:r>
      <w:r>
        <w:rPr>
          <w:rtl w:val="true"/>
        </w:rPr>
        <w:t xml:space="preserve"> ו</w:t>
      </w:r>
      <w:r>
        <w:rPr>
          <w:rFonts w:cs="Miriam"/>
          <w:b/>
          <w:b/>
          <w:szCs w:val="24"/>
          <w:rtl w:val="true"/>
        </w:rPr>
        <w:t>ע</w:t>
      </w:r>
      <w:r>
        <w:rPr>
          <w:rFonts w:cs="Miriam"/>
          <w:b/>
          <w:szCs w:val="24"/>
          <w:rtl w:val="true"/>
        </w:rPr>
        <w:t xml:space="preserve">' </w:t>
      </w:r>
      <w:r>
        <w:rPr>
          <w:rFonts w:cs="Miriam"/>
          <w:b/>
          <w:b/>
          <w:szCs w:val="24"/>
          <w:rtl w:val="true"/>
        </w:rPr>
        <w:t>עיילבוני</w:t>
      </w:r>
      <w:r>
        <w:rPr>
          <w:rtl w:val="true"/>
        </w:rPr>
        <w:t xml:space="preserve">) </w:t>
      </w:r>
      <w:r>
        <w:rPr>
          <w:rtl w:val="true"/>
        </w:rPr>
        <w:t>ערעור שהגיש המערער על פסק הדין בקובעו כי אישור ההסדר הדיוני שעמד בבסיס הכרעת הדין גרם עיוות דין למערער</w:t>
      </w:r>
      <w:r>
        <w:rPr>
          <w:rtl w:val="true"/>
        </w:rPr>
        <w:t xml:space="preserve">, </w:t>
      </w:r>
      <w:r>
        <w:rPr>
          <w:rtl w:val="true"/>
        </w:rPr>
        <w:t>והתיק הוחזר לבית משפט השלום על מנת לאפשר למערער לחקור את המומחה מטעם המשיבה ולהגיש חוות דעת נגדית</w:t>
      </w:r>
      <w:r>
        <w:rPr>
          <w:rtl w:val="true"/>
        </w:rPr>
        <w:t xml:space="preserve">, </w:t>
      </w:r>
      <w:r>
        <w:rPr>
          <w:rtl w:val="true"/>
        </w:rPr>
        <w:t>וכן לשם שמיעת עדותו של המערער</w:t>
      </w:r>
      <w:r>
        <w:rPr>
          <w:rtl w:val="true"/>
        </w:rPr>
        <w:t xml:space="preserve">. </w:t>
      </w:r>
      <w:r>
        <w:rPr>
          <w:rtl w:val="true"/>
        </w:rPr>
        <w:t xml:space="preserve">בעקבות קבלת הערעור הגיש המערער בקשה לפסילת השופטת </w:t>
      </w:r>
      <w:r>
        <w:rPr>
          <w:rFonts w:cs="Miriam"/>
          <w:szCs w:val="24"/>
          <w:rtl w:val="true"/>
        </w:rPr>
        <w:t>ל</w:t>
      </w:r>
      <w:r>
        <w:rPr>
          <w:rFonts w:cs="Miriam"/>
          <w:szCs w:val="24"/>
          <w:rtl w:val="true"/>
        </w:rPr>
        <w:t xml:space="preserve">' </w:t>
      </w:r>
      <w:r>
        <w:rPr>
          <w:rFonts w:cs="Miriam"/>
          <w:szCs w:val="24"/>
          <w:rtl w:val="true"/>
        </w:rPr>
        <w:t>יונג</w:t>
      </w:r>
      <w:r>
        <w:rPr>
          <w:rFonts w:cs="Miriam"/>
          <w:szCs w:val="24"/>
          <w:rtl w:val="true"/>
        </w:rPr>
        <w:t>-</w:t>
      </w:r>
      <w:r>
        <w:rPr>
          <w:rFonts w:cs="Miriam"/>
          <w:szCs w:val="24"/>
          <w:rtl w:val="true"/>
        </w:rPr>
        <w:t>גפר</w:t>
      </w:r>
      <w:r>
        <w:rPr>
          <w:rtl w:val="true"/>
        </w:rPr>
        <w:t xml:space="preserve"> מלדון בעניינו</w:t>
      </w:r>
      <w:r>
        <w:rPr>
          <w:rtl w:val="true"/>
        </w:rPr>
        <w:t xml:space="preserve">, </w:t>
      </w:r>
      <w:r>
        <w:rPr>
          <w:rtl w:val="true"/>
        </w:rPr>
        <w:t xml:space="preserve">וביום </w:t>
      </w:r>
      <w:r>
        <w:rPr/>
        <w:t>17.9.2013</w:t>
      </w:r>
      <w:r>
        <w:rPr>
          <w:rtl w:val="true"/>
        </w:rPr>
        <w:t xml:space="preserve"> </w:t>
      </w:r>
      <w:r>
        <w:rPr>
          <w:rtl w:val="true"/>
        </w:rPr>
        <w:t>נדחתה הבקשה והתיק נקבע לשמיעת הוכחות</w:t>
      </w:r>
      <w:r>
        <w:rPr>
          <w:rtl w:val="true"/>
        </w:rPr>
        <w:t xml:space="preserve">. 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המערער הגיש מספר בקשות לדחיית הדיונים בעניינו</w:t>
      </w:r>
      <w:r>
        <w:rPr>
          <w:rtl w:val="true"/>
        </w:rPr>
        <w:t xml:space="preserve"> </w:t>
      </w:r>
      <w:r>
        <w:rPr>
          <w:rtl w:val="true"/>
        </w:rPr>
        <w:t>מטעמים</w:t>
      </w:r>
      <w:r>
        <w:rPr>
          <w:rtl w:val="true"/>
        </w:rPr>
        <w:t xml:space="preserve"> </w:t>
      </w:r>
      <w:r>
        <w:rPr>
          <w:rtl w:val="true"/>
        </w:rPr>
        <w:t>רפואיים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ומאוחר יותר בשל תאונת דרכים שאירעה לו ואשר לטענתו הובילה להחמרה במצבו</w:t>
      </w:r>
      <w:r>
        <w:rPr>
          <w:rtl w:val="true"/>
        </w:rPr>
        <w:t xml:space="preserve">), </w:t>
      </w:r>
      <w:r>
        <w:rPr>
          <w:rtl w:val="true"/>
        </w:rPr>
        <w:t>ובית המשפט נעתר להן</w:t>
      </w:r>
      <w:r>
        <w:rPr>
          <w:rtl w:val="true"/>
        </w:rPr>
        <w:t xml:space="preserve">. </w:t>
      </w:r>
      <w:r>
        <w:rPr>
          <w:rtl w:val="true"/>
        </w:rPr>
        <w:t>מש</w:t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 xml:space="preserve"> </w:t>
      </w:r>
      <w:r>
        <w:rPr>
          <w:rtl w:val="true"/>
        </w:rPr>
        <w:t>הכשירות</w:t>
      </w:r>
      <w:r>
        <w:rPr>
          <w:rtl w:val="true"/>
        </w:rPr>
        <w:t xml:space="preserve"> </w:t>
      </w:r>
      <w:r>
        <w:rPr>
          <w:rtl w:val="true"/>
        </w:rPr>
        <w:t>הרפואית</w:t>
      </w:r>
      <w:r>
        <w:rPr>
          <w:rtl w:val="true"/>
        </w:rPr>
        <w:t xml:space="preserve"> נמשכו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בהחלטה מיום </w:t>
      </w:r>
      <w:r>
        <w:rPr/>
        <w:t>12.3.2015</w:t>
      </w:r>
      <w:r>
        <w:rPr>
          <w:rtl w:val="true"/>
        </w:rPr>
        <w:t xml:space="preserve"> </w:t>
      </w:r>
      <w:r>
        <w:rPr>
          <w:rtl w:val="true"/>
        </w:rPr>
        <w:t xml:space="preserve">כי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בררן</w:t>
      </w:r>
      <w:r>
        <w:rPr>
          <w:rtl w:val="true"/>
        </w:rPr>
        <w:t xml:space="preserve">, </w:t>
      </w:r>
      <w:r>
        <w:rPr>
          <w:rtl w:val="true"/>
        </w:rPr>
        <w:t xml:space="preserve">והורה </w:t>
      </w:r>
      <w:r>
        <w:rPr>
          <w:rtl w:val="true"/>
        </w:rPr>
        <w:t>–</w:t>
      </w:r>
      <w:r>
        <w:rPr>
          <w:rtl w:val="true"/>
        </w:rPr>
        <w:t xml:space="preserve"> בין היתר </w:t>
      </w:r>
      <w:r>
        <w:rPr>
          <w:rtl w:val="true"/>
        </w:rPr>
        <w:t>–</w:t>
      </w:r>
      <w:r>
        <w:rPr>
          <w:rtl w:val="true"/>
        </w:rPr>
        <w:t xml:space="preserve"> למוסדות הרפואיים שטיפלו במערער למסור למשטרה העתקים מלאים של תיקיו הרפואיים</w:t>
      </w:r>
      <w:r>
        <w:rPr>
          <w:rtl w:val="true"/>
        </w:rPr>
        <w:t xml:space="preserve">, </w:t>
      </w:r>
      <w:r>
        <w:rPr>
          <w:rtl w:val="true"/>
        </w:rPr>
        <w:t>וכן למערער להגיש תצהיר מטעמו באשר לתאונת הדרכים שבה היה מעורב ותצהיר מהנהג הנוסף שהיה מעורב בה</w:t>
      </w:r>
      <w:r>
        <w:rPr>
          <w:rtl w:val="true"/>
        </w:rPr>
        <w:t xml:space="preserve">. </w:t>
      </w:r>
      <w:r>
        <w:rPr>
          <w:rtl w:val="true"/>
        </w:rPr>
        <w:t>כמו כן נקבע כי בהחלטה נפרדת ימונה מומחה רפואי מטעם בית המשפט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  <w:bookmarkStart w:id="11" w:name="Carmel"/>
      <w:bookmarkStart w:id="12" w:name="Carmel"/>
      <w:bookmarkEnd w:id="12"/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להשלמת התמונה יצוין כי ביום </w:t>
      </w:r>
      <w:r>
        <w:rPr/>
        <w:t>3.3.2016</w:t>
      </w:r>
      <w:r>
        <w:rPr>
          <w:rtl w:val="true"/>
        </w:rPr>
        <w:t xml:space="preserve">, </w:t>
      </w:r>
      <w:r>
        <w:rPr>
          <w:rtl w:val="true"/>
        </w:rPr>
        <w:t>הופסקה חקירתו הנגדית של המערער משחש ברע</w:t>
      </w:r>
      <w:r>
        <w:rPr>
          <w:rtl w:val="true"/>
        </w:rPr>
        <w:t xml:space="preserve">, </w:t>
      </w:r>
      <w:r>
        <w:rPr>
          <w:rtl w:val="true"/>
        </w:rPr>
        <w:t xml:space="preserve">ובית המשפט הורה כי המערער </w:t>
      </w:r>
      <w:r>
        <w:rPr>
          <w:rtl w:val="true"/>
        </w:rPr>
        <w:t>"</w:t>
      </w:r>
      <w:r>
        <w:rPr>
          <w:rtl w:val="true"/>
        </w:rPr>
        <w:t>יועבר מיידית באמבולנס לחדר המיון בבית החולים העמק בעפולה</w:t>
      </w:r>
      <w:r>
        <w:rPr>
          <w:rtl w:val="true"/>
        </w:rPr>
        <w:t xml:space="preserve">, </w:t>
      </w:r>
      <w:r>
        <w:rPr>
          <w:rtl w:val="true"/>
        </w:rPr>
        <w:t>ויציג בפני הרופאים את התיעוד הרפואי בעניינו</w:t>
      </w:r>
      <w:r>
        <w:rPr>
          <w:rtl w:val="true"/>
        </w:rPr>
        <w:t xml:space="preserve">".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נבדק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מומח</w:t>
      </w:r>
      <w:r>
        <w:rPr>
          <w:rtl w:val="true"/>
        </w:rPr>
        <w:t>ה מטעם בית המשפט</w:t>
      </w:r>
      <w:r>
        <w:rPr>
          <w:rtl w:val="true"/>
        </w:rPr>
        <w:t xml:space="preserve">, </w:t>
      </w:r>
      <w:r>
        <w:rPr>
          <w:rtl w:val="true"/>
        </w:rPr>
        <w:t>ובית המשפט אפשר למערער לחקור את המומחה על חוות דעתו</w:t>
      </w:r>
      <w:r>
        <w:rPr>
          <w:rtl w:val="true"/>
        </w:rPr>
        <w:t xml:space="preserve">, </w:t>
      </w:r>
      <w:r>
        <w:rPr>
          <w:rtl w:val="true"/>
        </w:rPr>
        <w:t>ולהגיש חוות דעת של מומחה מטעמו שנחקר על ידי המשיבה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החלטתו מ</w:t>
      </w:r>
      <w:r>
        <w:rPr>
          <w:rtl w:val="true"/>
        </w:rPr>
        <w:t>יום</w:t>
      </w:r>
      <w:r>
        <w:rPr>
          <w:rtl w:val="true"/>
        </w:rPr>
        <w:t xml:space="preserve"> </w:t>
      </w:r>
      <w:r>
        <w:rPr/>
        <w:t>28.12.</w:t>
      </w:r>
      <w:r>
        <w:rPr/>
        <w:t>20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העדיף בית המשפט את</w:t>
      </w:r>
      <w:r>
        <w:rPr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ו של </w:t>
      </w:r>
      <w:r>
        <w:rPr>
          <w:rtl w:val="true"/>
        </w:rPr>
        <w:t>מומחה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מומחה</w:t>
      </w:r>
      <w:r>
        <w:rPr>
          <w:rtl w:val="true"/>
        </w:rPr>
        <w:t xml:space="preserve"> מטעם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והורה למערער </w:t>
      </w:r>
      <w:r>
        <w:rPr>
          <w:rtl w:val="true"/>
        </w:rPr>
        <w:t>להתייצב</w:t>
      </w:r>
      <w:r>
        <w:rPr>
          <w:rtl w:val="true"/>
        </w:rPr>
        <w:t xml:space="preserve"> </w:t>
      </w:r>
      <w:r>
        <w:rPr>
          <w:rtl w:val="true"/>
        </w:rPr>
        <w:t>להמשך</w:t>
      </w:r>
      <w:r>
        <w:rPr>
          <w:rtl w:val="true"/>
        </w:rPr>
        <w:t xml:space="preserve"> </w:t>
      </w:r>
      <w:r>
        <w:rPr>
          <w:rtl w:val="true"/>
        </w:rPr>
        <w:t>חקירתו</w:t>
      </w:r>
      <w:r>
        <w:rPr>
          <w:rtl w:val="true"/>
        </w:rPr>
        <w:t xml:space="preserve"> </w:t>
      </w:r>
      <w:r>
        <w:rPr>
          <w:rtl w:val="true"/>
        </w:rPr>
        <w:t>הנגדי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על רקע זה הגיש המערער בקשה לפסילת המותב</w:t>
      </w:r>
      <w:r>
        <w:rPr>
          <w:rtl w:val="true"/>
        </w:rPr>
        <w:t xml:space="preserve">, </w:t>
      </w:r>
      <w:r>
        <w:rPr>
          <w:rtl w:val="true"/>
        </w:rPr>
        <w:t>ובה נטען כי בית המשפט עוין את המערער</w:t>
      </w:r>
      <w:r>
        <w:rPr>
          <w:rtl w:val="true"/>
        </w:rPr>
        <w:t xml:space="preserve">, </w:t>
      </w:r>
      <w:r>
        <w:rPr>
          <w:rtl w:val="true"/>
        </w:rPr>
        <w:t>ונוהג כלפיו במשוא פנים במובן זה שבית המשפט מעדיף את עמדת התביעה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בפתח הדיון בבקשה ביום </w:t>
      </w:r>
      <w:r>
        <w:rPr>
          <w:rFonts w:cs="Century" w:ascii="Century" w:hAnsi="Century"/>
        </w:rPr>
        <w:t>11.3.2018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עתר בא כוח המערער לפטור את המערער מהתייצבות לדיון נוכח מצבו הרפואי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עיין במסמכים הרפואיים שהוצגו לו באמצעות הטלפון הנייד של בא כוח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בין היתר נטען כי יום קודם למועד הדיון עבר המערער בדיקה רפואית</w:t>
      </w:r>
      <w:r>
        <w:rPr>
          <w:rtl w:val="true"/>
        </w:rPr>
        <w:t xml:space="preserve">, </w:t>
      </w:r>
      <w:r>
        <w:rPr>
          <w:rtl w:val="true"/>
        </w:rPr>
        <w:t>שבעטיה הוא חש ברע</w:t>
      </w:r>
      <w:r>
        <w:rPr>
          <w:rtl w:val="true"/>
        </w:rPr>
        <w:t xml:space="preserve">. </w:t>
      </w:r>
      <w:r>
        <w:rPr>
          <w:rtl w:val="true"/>
        </w:rPr>
        <w:t xml:space="preserve">בהחלטתו מיום </w:t>
      </w:r>
      <w:r>
        <w:rPr/>
        <w:t>11.3.2018</w:t>
      </w:r>
      <w:r>
        <w:rPr>
          <w:rtl w:val="true"/>
        </w:rPr>
        <w:t xml:space="preserve"> </w:t>
      </w:r>
      <w:r>
        <w:rPr>
          <w:rtl w:val="true"/>
        </w:rPr>
        <w:t>דחה בית המשפט את הבקשה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התייחס בית המשפט להתנהלות בא כוח המערער בדיון בעניין בקשת הפסלות</w:t>
      </w:r>
      <w:r>
        <w:rPr>
          <w:rtl w:val="true"/>
        </w:rPr>
        <w:t xml:space="preserve">, </w:t>
      </w:r>
      <w:r>
        <w:rPr>
          <w:rtl w:val="true"/>
        </w:rPr>
        <w:t xml:space="preserve">ולהתרשמותו כי </w:t>
      </w:r>
      <w:r>
        <w:rPr>
          <w:rtl w:val="true"/>
        </w:rPr>
        <w:t>"</w:t>
      </w:r>
      <w:r>
        <w:rPr>
          <w:rtl w:val="true"/>
        </w:rPr>
        <w:t>הסינגור ביקש לבצע פרובוקציה מכוונת</w:t>
      </w:r>
      <w:r>
        <w:rPr>
          <w:rtl w:val="true"/>
        </w:rPr>
        <w:t xml:space="preserve">, </w:t>
      </w:r>
      <w:r>
        <w:rPr>
          <w:rtl w:val="true"/>
        </w:rPr>
        <w:t>שתשרת את מטרתו</w:t>
      </w:r>
      <w:r>
        <w:rPr>
          <w:rtl w:val="true"/>
        </w:rPr>
        <w:t xml:space="preserve">, </w:t>
      </w:r>
      <w:r>
        <w:rPr>
          <w:rtl w:val="true"/>
        </w:rPr>
        <w:t>לפסול מותב זה</w:t>
      </w:r>
      <w:r>
        <w:rPr>
          <w:rtl w:val="true"/>
        </w:rPr>
        <w:t xml:space="preserve">". </w:t>
      </w:r>
      <w:r>
        <w:rPr>
          <w:rtl w:val="true"/>
        </w:rPr>
        <w:t>בית המשפט עמד בהרחבה על השתלשלות ההליכים בעניינו של המערער</w:t>
      </w:r>
      <w:r>
        <w:rPr>
          <w:rtl w:val="true"/>
        </w:rPr>
        <w:t xml:space="preserve">. </w:t>
      </w:r>
      <w:r>
        <w:rPr>
          <w:rtl w:val="true"/>
        </w:rPr>
        <w:t>צוין כי התקיימו מספר ישיבות שבמהלכן נדרשה התערבות חוזרת ונשנית של המותב בדברי המערער לשם שמירה על מסגרת דיון ענייני</w:t>
      </w:r>
      <w:r>
        <w:rPr>
          <w:rtl w:val="true"/>
        </w:rPr>
        <w:t xml:space="preserve">, </w:t>
      </w:r>
      <w:r>
        <w:rPr>
          <w:rtl w:val="true"/>
        </w:rPr>
        <w:t xml:space="preserve">שכן המערער בחר שוב ושוב </w:t>
      </w:r>
      <w:r>
        <w:rPr>
          <w:rtl w:val="true"/>
        </w:rPr>
        <w:t>–</w:t>
      </w:r>
      <w:r>
        <w:rPr>
          <w:rtl w:val="true"/>
        </w:rPr>
        <w:t xml:space="preserve"> חרף הערות בית המשפט </w:t>
      </w:r>
      <w:r>
        <w:rPr>
          <w:rtl w:val="true"/>
        </w:rPr>
        <w:t>–</w:t>
      </w:r>
      <w:r>
        <w:rPr>
          <w:rtl w:val="true"/>
        </w:rPr>
        <w:t xml:space="preserve"> לענות לשאלות שהופנו אליו באופן לא רלוונטי</w:t>
      </w:r>
      <w:r>
        <w:rPr>
          <w:rtl w:val="true"/>
        </w:rPr>
        <w:t xml:space="preserve">. </w:t>
      </w:r>
      <w:r>
        <w:rPr>
          <w:rtl w:val="true"/>
        </w:rPr>
        <w:t>באשר לטענה כי בית המשפט נהג במומחה ההגנה בדרך לא מכבדת נקבע כי טענה זו משוללת יסוד</w:t>
      </w:r>
      <w:r>
        <w:rPr>
          <w:rtl w:val="true"/>
        </w:rPr>
        <w:t xml:space="preserve">, </w:t>
      </w:r>
      <w:r>
        <w:rPr>
          <w:rtl w:val="true"/>
        </w:rPr>
        <w:t>כעולה מפרוטוקול אותו דיון</w:t>
      </w:r>
      <w:r>
        <w:rPr>
          <w:rtl w:val="true"/>
        </w:rPr>
        <w:t xml:space="preserve">. </w:t>
      </w:r>
      <w:r>
        <w:rPr>
          <w:rtl w:val="true"/>
        </w:rPr>
        <w:t>הוטעם כי אף אם בית המשפט הפנה למומחה שאלות הבהרה</w:t>
      </w:r>
      <w:r>
        <w:rPr>
          <w:rtl w:val="true"/>
        </w:rPr>
        <w:t xml:space="preserve">, </w:t>
      </w:r>
      <w:r>
        <w:rPr>
          <w:rtl w:val="true"/>
        </w:rPr>
        <w:t>אשר ייתכן שבחלקן לא היו נוחות למומחה</w:t>
      </w:r>
      <w:r>
        <w:rPr>
          <w:rtl w:val="true"/>
        </w:rPr>
        <w:t xml:space="preserve">, </w:t>
      </w:r>
      <w:r>
        <w:rPr>
          <w:rtl w:val="true"/>
        </w:rPr>
        <w:t>הדבר נעשה מטעמים ענייניים</w:t>
      </w:r>
      <w:r>
        <w:rPr>
          <w:rtl w:val="true"/>
        </w:rPr>
        <w:t xml:space="preserve">. </w:t>
      </w:r>
      <w:r>
        <w:rPr>
          <w:rtl w:val="true"/>
        </w:rPr>
        <w:t>נקבע כי על אף שהישיבה האחרונה שבה נחקר המערער התקיימה לפני שנתיים</w:t>
      </w:r>
      <w:r>
        <w:rPr>
          <w:rtl w:val="true"/>
        </w:rPr>
        <w:t xml:space="preserve">, </w:t>
      </w:r>
      <w:r>
        <w:rPr>
          <w:rtl w:val="true"/>
        </w:rPr>
        <w:t>המערער הגיש את בקשתו רק בסמוך לדיון שמיעת ההוכחות הנוכחי</w:t>
      </w:r>
      <w:r>
        <w:rPr>
          <w:rtl w:val="true"/>
        </w:rPr>
        <w:t xml:space="preserve">, </w:t>
      </w:r>
      <w:r>
        <w:rPr>
          <w:rtl w:val="true"/>
        </w:rPr>
        <w:t xml:space="preserve">וכי הוא מעלה בה טענות שונות המתייחסות לאירועים שהתרחשו לפני </w:t>
      </w:r>
      <w:r>
        <w:rPr>
          <w:rtl w:val="true"/>
        </w:rPr>
        <w:t>"</w:t>
      </w:r>
      <w:r>
        <w:rPr>
          <w:rtl w:val="true"/>
        </w:rPr>
        <w:t>חודשים ושנים</w:t>
      </w:r>
      <w:r>
        <w:rPr>
          <w:rtl w:val="true"/>
        </w:rPr>
        <w:t xml:space="preserve">". </w:t>
      </w:r>
      <w:r>
        <w:rPr>
          <w:rtl w:val="true"/>
        </w:rPr>
        <w:t>בפרט הודגש כי אין מקום לדון בטענות המתייחסות לתקופה שלפני הגשת בקשת הפסלות הראשונה וההכרעה בה</w:t>
      </w:r>
      <w:r>
        <w:rPr>
          <w:rtl w:val="true"/>
        </w:rPr>
        <w:t xml:space="preserve">, </w:t>
      </w:r>
      <w:r>
        <w:rPr>
          <w:rtl w:val="true"/>
        </w:rPr>
        <w:t>וכי ממילא המערער העלה טענות אלו בשיהוי ניכר</w:t>
      </w:r>
      <w:r>
        <w:rPr>
          <w:rtl w:val="true"/>
        </w:rPr>
        <w:t xml:space="preserve">, </w:t>
      </w:r>
      <w:r>
        <w:rPr>
          <w:rtl w:val="true"/>
        </w:rPr>
        <w:t>והוא הדין באשר לטענות הנוגעות לתקופה שלאחר ההכרעה בבקשת הפסלות הקודמות שנטענו אף הן בשיהוי ניכר</w:t>
      </w:r>
      <w:r>
        <w:rPr>
          <w:rtl w:val="true"/>
        </w:rPr>
        <w:t xml:space="preserve">. </w:t>
      </w:r>
      <w:r>
        <w:rPr>
          <w:rtl w:val="true"/>
        </w:rPr>
        <w:t>גם לגוף העניין נפסק כי אין יסוד לטענת המערער בדבר יחס עוין</w:t>
      </w:r>
      <w:r>
        <w:rPr>
          <w:rtl w:val="true"/>
        </w:rPr>
        <w:t xml:space="preserve">, </w:t>
      </w:r>
      <w:r>
        <w:rPr>
          <w:rtl w:val="true"/>
        </w:rPr>
        <w:t>משפיל ובלתי מכבד מצד המותב</w:t>
      </w:r>
      <w:r>
        <w:rPr>
          <w:rtl w:val="true"/>
        </w:rPr>
        <w:t xml:space="preserve">. </w:t>
      </w:r>
      <w:r>
        <w:rPr>
          <w:rtl w:val="true"/>
        </w:rPr>
        <w:t>נקבע כי הגבלת התבטאויות המערער הייתה בלתי נמנעת כדי להבטיח ניהול ענייני של הדיון</w:t>
      </w:r>
      <w:r>
        <w:rPr>
          <w:rtl w:val="true"/>
        </w:rPr>
        <w:t xml:space="preserve">. </w:t>
      </w:r>
      <w:r>
        <w:rPr>
          <w:rtl w:val="true"/>
        </w:rPr>
        <w:t xml:space="preserve">לכך הוסף כי </w:t>
      </w:r>
      <w:r>
        <w:rPr>
          <w:rtl w:val="true"/>
        </w:rPr>
        <w:t>העובדה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ניהול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ניתנו</w:t>
      </w:r>
      <w:r>
        <w:rPr>
          <w:rtl w:val="true"/>
        </w:rPr>
        <w:t xml:space="preserve"> </w:t>
      </w:r>
      <w:r>
        <w:rPr>
          <w:rtl w:val="true"/>
        </w:rPr>
        <w:t>החלטות</w:t>
      </w:r>
      <w:r>
        <w:rPr>
          <w:rtl w:val="true"/>
        </w:rPr>
        <w:t xml:space="preserve"> </w:t>
      </w:r>
      <w:r>
        <w:rPr>
          <w:rtl w:val="true"/>
        </w:rPr>
        <w:t>שהיו</w:t>
      </w:r>
      <w:r>
        <w:rPr>
          <w:rtl w:val="true"/>
        </w:rPr>
        <w:t xml:space="preserve"> </w:t>
      </w:r>
      <w:r>
        <w:rPr>
          <w:rtl w:val="true"/>
        </w:rPr>
        <w:t>למורת</w:t>
      </w:r>
      <w:r>
        <w:rPr>
          <w:rtl w:val="true"/>
        </w:rPr>
        <w:t xml:space="preserve"> </w:t>
      </w:r>
      <w:r>
        <w:rPr>
          <w:rtl w:val="true"/>
        </w:rPr>
        <w:t>רוחו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מערער </w:t>
      </w:r>
      <w:r>
        <w:rPr>
          <w:rtl w:val="true"/>
        </w:rPr>
        <w:t>אינ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>מקימ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>עילת</w:t>
      </w:r>
      <w:r>
        <w:rPr>
          <w:rtl w:val="true"/>
        </w:rPr>
        <w:t xml:space="preserve"> </w:t>
      </w:r>
      <w:r>
        <w:rPr>
          <w:rtl w:val="true"/>
        </w:rPr>
        <w:t>פסלות</w:t>
      </w:r>
      <w:r>
        <w:rPr>
          <w:rtl w:val="true"/>
        </w:rPr>
        <w:t xml:space="preserve"> ובית המשפט הדגיש כי אינו עוין את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וכי דעתו אינה </w:t>
      </w:r>
      <w:r>
        <w:rPr>
          <w:rtl w:val="true"/>
        </w:rPr>
        <w:t>"</w:t>
      </w:r>
      <w:r>
        <w:rPr>
          <w:rtl w:val="true"/>
        </w:rPr>
        <w:t>נעולה</w:t>
      </w:r>
      <w:r>
        <w:rPr>
          <w:rtl w:val="true"/>
        </w:rPr>
        <w:t xml:space="preserve">".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מכאן הערעור שלפניי</w:t>
      </w:r>
      <w:r>
        <w:rPr>
          <w:rtl w:val="true"/>
        </w:rPr>
        <w:t xml:space="preserve">, </w:t>
      </w:r>
      <w:r>
        <w:rPr>
          <w:rtl w:val="true"/>
        </w:rPr>
        <w:t>בו שב המערער ומעלה את הטענות המבססות לגישתו את עילת הפסלות</w:t>
      </w:r>
      <w:r>
        <w:rPr>
          <w:rtl w:val="true"/>
        </w:rPr>
        <w:t xml:space="preserve">.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נטען כי ניהול הדיונים בעניינו התאפיין בחוסר סבלנות והיעדר אמון בתלונותיו בדבר מצבו הרפואי</w:t>
      </w:r>
      <w:r>
        <w:rPr>
          <w:rtl w:val="true"/>
        </w:rPr>
        <w:t xml:space="preserve">. </w:t>
      </w:r>
      <w:r>
        <w:rPr>
          <w:rtl w:val="true"/>
        </w:rPr>
        <w:t xml:space="preserve">זאת בפרט בשים לב להחלטה מיום </w:t>
      </w:r>
      <w:r>
        <w:rPr/>
        <w:t>12.3.2015</w:t>
      </w:r>
      <w:r>
        <w:rPr>
          <w:rtl w:val="true"/>
        </w:rPr>
        <w:t xml:space="preserve"> </w:t>
      </w:r>
      <w:r>
        <w:rPr>
          <w:rtl w:val="true"/>
        </w:rPr>
        <w:t>בה הורה בית המשפט על מסירת פרטים על אודות מצבו הרפואי של המערער</w:t>
      </w:r>
      <w:r>
        <w:rPr>
          <w:rtl w:val="true"/>
        </w:rPr>
        <w:t xml:space="preserve">. </w:t>
      </w:r>
      <w:r>
        <w:rPr>
          <w:rtl w:val="true"/>
        </w:rPr>
        <w:t>עוד מעלה המערער טענות בעניין התנהלות בית המשפט בתקופה ש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קדמה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לפסק הדין שבוטל על ידי בית המשפט המחוזי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 xml:space="preserve">המערער מפרט באריכות אירוע מהדיון שהתקיים ביום </w:t>
      </w:r>
      <w:r>
        <w:rPr/>
        <w:t>3.3.2016</w:t>
      </w:r>
      <w:r>
        <w:rPr>
          <w:rtl w:val="true"/>
        </w:rPr>
        <w:t xml:space="preserve">, </w:t>
      </w:r>
      <w:r>
        <w:rPr>
          <w:rtl w:val="true"/>
        </w:rPr>
        <w:t>שבו לא חש בטוב</w:t>
      </w:r>
      <w:r>
        <w:rPr>
          <w:rtl w:val="true"/>
        </w:rPr>
        <w:t xml:space="preserve">. </w:t>
      </w:r>
      <w:r>
        <w:rPr>
          <w:rtl w:val="true"/>
        </w:rPr>
        <w:t xml:space="preserve">נטען כי בית המשפט </w:t>
      </w:r>
      <w:r>
        <w:rPr>
          <w:rtl w:val="true"/>
        </w:rPr>
        <w:t>"</w:t>
      </w:r>
      <w:r>
        <w:rPr>
          <w:rtl w:val="true"/>
        </w:rPr>
        <w:t>לא האמין</w:t>
      </w:r>
      <w:r>
        <w:rPr>
          <w:rtl w:val="true"/>
        </w:rPr>
        <w:t xml:space="preserve">" </w:t>
      </w:r>
      <w:r>
        <w:rPr>
          <w:rtl w:val="true"/>
        </w:rPr>
        <w:t xml:space="preserve">למערער וסבר כי </w:t>
      </w:r>
      <w:r>
        <w:rPr>
          <w:rtl w:val="true"/>
        </w:rPr>
        <w:t>"</w:t>
      </w:r>
      <w:r>
        <w:rPr>
          <w:rtl w:val="true"/>
        </w:rPr>
        <w:t>מדובר בהצגה</w:t>
      </w:r>
      <w:r>
        <w:rPr>
          <w:rtl w:val="true"/>
        </w:rPr>
        <w:t xml:space="preserve">", </w:t>
      </w:r>
      <w:r>
        <w:rPr>
          <w:rtl w:val="true"/>
        </w:rPr>
        <w:t>ולפיכך התערב בטיפול הרפואי שהוענק לו במובן זה שהורה לפרמדיק שנקרא לטפל במערער לפנות אותו לבית החולים העמק בעפולה</w:t>
      </w:r>
      <w:r>
        <w:rPr>
          <w:rtl w:val="true"/>
        </w:rPr>
        <w:t xml:space="preserve">, </w:t>
      </w:r>
      <w:r>
        <w:rPr>
          <w:rtl w:val="true"/>
        </w:rPr>
        <w:t>ולא לבית חולים אחר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לא אחת התבטא בית המשפט כלפי המערער באופן המקים חשש להיעדר אובייקטיביות</w:t>
      </w:r>
      <w:r>
        <w:rPr>
          <w:rtl w:val="true"/>
        </w:rPr>
        <w:t xml:space="preserve">. </w:t>
      </w:r>
      <w:r>
        <w:rPr>
          <w:rtl w:val="true"/>
        </w:rPr>
        <w:t>לכך הוסף כי ההחלטות שקיבל בית המשפט בכל הנוגע לניהול המשפט מלמדות על עוינות ברורה כלפיו</w:t>
      </w:r>
      <w:r>
        <w:rPr>
          <w:rtl w:val="true"/>
        </w:rPr>
        <w:t xml:space="preserve">, </w:t>
      </w:r>
      <w:r>
        <w:rPr>
          <w:rtl w:val="true"/>
        </w:rPr>
        <w:t>שבאה לידי ביטוי גם בדיון שנערך בבקשת הפסלות</w:t>
      </w:r>
      <w:r>
        <w:rPr>
          <w:rtl w:val="true"/>
        </w:rPr>
        <w:t xml:space="preserve">, </w:t>
      </w:r>
      <w:r>
        <w:rPr>
          <w:rtl w:val="true"/>
        </w:rPr>
        <w:t>בו גילה בית המשפט לטענת המערער חוסר סבלנות כלפי בא כוחו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ind w:hanging="0" w:start="0" w:end="0"/>
        <w:jc w:val="both"/>
        <w:rPr>
          <w:rFonts w:ascii="Century" w:hAnsi="Century" w:cs="Century"/>
        </w:rPr>
      </w:pPr>
      <w:r>
        <w:rPr>
          <w:sz w:val="22"/>
          <w:sz w:val="22"/>
          <w:rtl w:val="true"/>
        </w:rPr>
        <w:t>לאחר שעיינתי בערעור על נספחיו באתי לידי מסקנה כי דינו להידחות</w:t>
      </w:r>
      <w:r>
        <w:rPr>
          <w:sz w:val="22"/>
          <w:rtl w:val="true"/>
        </w:rPr>
        <w:t xml:space="preserve">. </w:t>
      </w:r>
      <w:r>
        <w:rPr>
          <w:rtl w:val="true"/>
        </w:rPr>
        <w:t>כלל הוא כי רק לעיתים נדירות ייקבע כי יש בפעילות השיפוטית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 xml:space="preserve">כדי להקים חשש ממשי למשוא פנים </w:t>
      </w:r>
      <w:r>
        <w:rPr>
          <w:rtl w:val="true"/>
        </w:rPr>
        <w:t>–</w:t>
      </w:r>
      <w:r>
        <w:rPr>
          <w:rtl w:val="true"/>
        </w:rPr>
        <w:t xml:space="preserve"> הן לעניין אמירות של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הן לעניין החלטותיו הדיוניות </w:t>
      </w:r>
      <w:r>
        <w:rPr>
          <w:rtl w:val="true"/>
        </w:rPr>
        <w:t>(</w:t>
      </w:r>
      <w:hyperlink r:id="rId4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1616/18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בלום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רשות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המיסים</w:t>
      </w:r>
      <w:r>
        <w:rPr>
          <w:rtl w:val="true"/>
        </w:rPr>
        <w:t xml:space="preserve">,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eastAsia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(</w:t>
      </w:r>
      <w:r>
        <w:rPr/>
        <w:t>4.3.2018</w:t>
      </w:r>
      <w:r>
        <w:rPr>
          <w:rtl w:val="true"/>
        </w:rPr>
        <w:t xml:space="preserve">); </w:t>
      </w:r>
      <w:hyperlink r:id="rId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6013/17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ורקשטל</w:t>
      </w:r>
      <w:r>
        <w:rPr>
          <w:rFonts w:eastAsia="Garamond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נ</w:t>
      </w:r>
      <w:r>
        <w:rPr>
          <w:rFonts w:cs="Miriam"/>
          <w:b/>
          <w:szCs w:val="24"/>
          <w:rtl w:val="true"/>
        </w:rPr>
        <w:t xml:space="preserve">' </w:t>
      </w:r>
      <w:r>
        <w:rPr>
          <w:rFonts w:cs="Miriam"/>
          <w:b/>
          <w:b/>
          <w:szCs w:val="24"/>
          <w:rtl w:val="true"/>
        </w:rPr>
        <w:t>מדינת</w:t>
      </w:r>
      <w:r>
        <w:rPr>
          <w:rFonts w:eastAsia="Garamond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eastAsia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</w:t>
      </w:r>
      <w:r>
        <w:rPr>
          <w:rtl w:val="true"/>
        </w:rPr>
        <w:t xml:space="preserve"> (</w:t>
      </w:r>
      <w:r>
        <w:rPr/>
        <w:t>3.8.2017</w:t>
      </w:r>
      <w:r>
        <w:rPr>
          <w:rtl w:val="true"/>
        </w:rPr>
        <w:t xml:space="preserve">); 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8420/16</w:t>
        </w:r>
      </w:hyperlink>
      <w:r>
        <w:rPr>
          <w:sz w:val="22"/>
          <w:rtl w:val="true"/>
        </w:rPr>
        <w:t xml:space="preserve"> ‏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טוב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eastAsia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14.11.2016</w:t>
      </w:r>
      <w:r>
        <w:rPr>
          <w:rtl w:val="true"/>
        </w:rPr>
        <w:t xml:space="preserve">)). </w:t>
      </w:r>
      <w:r>
        <w:rPr>
          <w:rtl w:val="true"/>
        </w:rPr>
        <w:t>במקרה שלפניי טענותיו של המערער מופנות למעשה כלפי התבטאויות של בית המשפט</w:t>
      </w:r>
      <w:r>
        <w:rPr>
          <w:rtl w:val="true"/>
        </w:rPr>
        <w:t xml:space="preserve">, </w:t>
      </w:r>
      <w:r>
        <w:rPr>
          <w:rtl w:val="true"/>
        </w:rPr>
        <w:t>החלטות דיוניות שנתן</w:t>
      </w:r>
      <w:r>
        <w:rPr>
          <w:rtl w:val="true"/>
        </w:rPr>
        <w:t xml:space="preserve">, </w:t>
      </w:r>
      <w:r>
        <w:rPr>
          <w:rtl w:val="true"/>
        </w:rPr>
        <w:t xml:space="preserve">וכן כנגד </w:t>
      </w:r>
      <w:r>
        <w:rPr>
          <w:sz w:val="28"/>
          <w:sz w:val="28"/>
          <w:rtl w:val="true"/>
        </w:rPr>
        <w:t>אופן ניהול ההליך</w:t>
      </w:r>
      <w:r>
        <w:rPr>
          <w:sz w:val="28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איני סבורה כי יש בטענות שפורטו כדי להקים עילה לפסילת המותב</w:t>
      </w:r>
      <w:r>
        <w:rPr>
          <w:rtl w:val="true"/>
        </w:rPr>
        <w:t xml:space="preserve">. </w:t>
      </w:r>
      <w:r>
        <w:rPr>
          <w:rtl w:val="true"/>
        </w:rPr>
        <w:t xml:space="preserve">עיון בפרוטוקול הדיון הרלוונטי מעלה </w:t>
      </w:r>
      <w:r>
        <w:rPr>
          <w:rtl w:val="true"/>
        </w:rPr>
        <w:t>–</w:t>
      </w:r>
      <w:r>
        <w:rPr>
          <w:rtl w:val="true"/>
        </w:rPr>
        <w:t xml:space="preserve"> כקביעת בית משפט קמא </w:t>
      </w:r>
      <w:r>
        <w:rPr>
          <w:rtl w:val="true"/>
        </w:rPr>
        <w:t>–</w:t>
      </w:r>
      <w:r>
        <w:rPr>
          <w:rtl w:val="true"/>
        </w:rPr>
        <w:t xml:space="preserve"> כי התנהלותו לא חרגה מניהול סביר של הדיון</w:t>
      </w:r>
      <w:r>
        <w:rPr>
          <w:rtl w:val="true"/>
        </w:rPr>
        <w:t xml:space="preserve">, </w:t>
      </w:r>
      <w:r>
        <w:rPr>
          <w:rtl w:val="true"/>
        </w:rPr>
        <w:t xml:space="preserve">ולא עלה בידי המערער להצביע על </w:t>
      </w:r>
      <w:r>
        <w:rPr>
          <w:rtl w:val="true"/>
        </w:rPr>
        <w:t>"</w:t>
      </w:r>
      <w:r>
        <w:rPr>
          <w:rtl w:val="true"/>
        </w:rPr>
        <w:t>עוינות</w:t>
      </w:r>
      <w:r>
        <w:rPr>
          <w:rtl w:val="true"/>
        </w:rPr>
        <w:t xml:space="preserve">" </w:t>
      </w:r>
      <w:r>
        <w:rPr>
          <w:rtl w:val="true"/>
        </w:rPr>
        <w:t>מצדו של המותב</w:t>
      </w:r>
      <w:r>
        <w:rPr>
          <w:rtl w:val="true"/>
        </w:rPr>
        <w:t xml:space="preserve">. </w:t>
      </w:r>
      <w:r>
        <w:rPr>
          <w:rtl w:val="true"/>
        </w:rPr>
        <w:t>כפי שהטעים המותב</w:t>
      </w:r>
      <w:r>
        <w:rPr>
          <w:rtl w:val="true"/>
        </w:rPr>
        <w:t xml:space="preserve">, </w:t>
      </w:r>
      <w:r>
        <w:rPr>
          <w:rtl w:val="true"/>
        </w:rPr>
        <w:t xml:space="preserve">דעתו אינה </w:t>
      </w:r>
      <w:r>
        <w:rPr>
          <w:rtl w:val="true"/>
        </w:rPr>
        <w:t>"</w:t>
      </w:r>
      <w:r>
        <w:rPr>
          <w:rtl w:val="true"/>
        </w:rPr>
        <w:t>נעולה</w:t>
      </w:r>
      <w:r>
        <w:rPr>
          <w:rtl w:val="true"/>
        </w:rPr>
        <w:t xml:space="preserve">", </w:t>
      </w:r>
      <w:r>
        <w:rPr>
          <w:rtl w:val="true"/>
        </w:rPr>
        <w:t>והוא פתוח להכריע בעניינו של המערער על יסוד התשתית הראייתית שתונח בפניו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וכפי שציין בית המשפט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אין בביקורת שנמתחה על התנהלות סנגורו של המערער כדי להעיד על חשש כלשהו למשוא פנים כלפי המערער עצמו </w:t>
      </w:r>
      <w:r>
        <w:rPr>
          <w:rtl w:val="true"/>
        </w:rPr>
        <w:t>(</w:t>
      </w:r>
      <w:r>
        <w:rPr>
          <w:rtl w:val="true"/>
        </w:rPr>
        <w:t xml:space="preserve">השוו </w:t>
      </w:r>
      <w:hyperlink r:id="rId7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1379/18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עמבר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eastAsia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7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18.2.2018</w:t>
      </w:r>
      <w:r>
        <w:rPr>
          <w:rtl w:val="true"/>
        </w:rPr>
        <w:t xml:space="preserve">)), </w:t>
      </w:r>
      <w:r>
        <w:rPr>
          <w:rtl w:val="true"/>
        </w:rPr>
        <w:t>ודברים אלה יפים גם באשר ל</w:t>
      </w:r>
      <w:r>
        <w:rPr>
          <w:rFonts w:ascii="Times New Roman;Arial Narrow" w:hAnsi="Times New Roman;Arial Narrow" w:cs="Times New Roman;Arial Narrow"/>
          <w:rtl w:val="true"/>
        </w:rPr>
        <w:t xml:space="preserve">הבעת מורת רוחו של בית המשפט מהתנהלות המערער </w:t>
      </w:r>
      <w:r>
        <w:rPr>
          <w:rFonts w:cs="Times New Roman;Arial Narrow" w:ascii="Times New Roman;Arial Narrow" w:hAnsi="Times New Roman;Arial Narrow"/>
          <w:rtl w:val="true"/>
        </w:rPr>
        <w:t>(</w:t>
      </w:r>
      <w:r>
        <w:rPr>
          <w:rFonts w:ascii="Times New Roman;Arial Narrow" w:hAnsi="Times New Roman;Arial Narrow" w:cs="Times New Roman;Arial Narrow"/>
          <w:rtl w:val="true"/>
        </w:rPr>
        <w:t xml:space="preserve">השוו </w:t>
      </w:r>
      <w:hyperlink r:id="rId8">
        <w:r>
          <w:rPr>
            <w:rStyle w:val="Hyperlink"/>
            <w:rFonts w:ascii="Times New Roman;Arial Narrow" w:hAnsi="Times New Roman;Arial Narrow" w:cs="Times New Roman;Arial Narrow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;Arial Narrow" w:ascii="Times New Roman;Arial Narrow" w:hAnsi="Times New Roman;Arial Narrow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;Arial Narrow" w:hAnsi="Times New Roman;Arial Narrow" w:cs="Times New Roman;Arial Narrow"/>
            <w:color w:val="0000FF"/>
            <w:u w:val="single"/>
            <w:rtl w:val="true"/>
          </w:rPr>
          <w:t xml:space="preserve">א </w:t>
        </w:r>
        <w:r>
          <w:rPr>
            <w:rStyle w:val="Hyperlink"/>
            <w:rFonts w:cs="Times New Roman;Arial Narrow" w:ascii="Times New Roman;Arial Narrow" w:hAnsi="Times New Roman;Arial Narrow"/>
            <w:color w:val="0000FF"/>
            <w:u w:val="single"/>
          </w:rPr>
          <w:t>596/07</w:t>
        </w:r>
      </w:hyperlink>
      <w:r>
        <w:rPr>
          <w:rFonts w:cs="Times New Roman;Arial Narrow" w:ascii="Times New Roman;Arial Narrow" w:hAnsi="Times New Roman;Arial Narrow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השופט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פאול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שטרק</w:t>
      </w:r>
      <w:r>
        <w:rPr>
          <w:rFonts w:cs="Times New Roman;Arial Narrow" w:ascii="Times New Roman;Arial Narrow" w:hAnsi="Times New Roman;Arial Narrow"/>
          <w:rtl w:val="true"/>
        </w:rPr>
        <w:t xml:space="preserve">,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eastAsia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Fonts w:ascii="Times New Roman;Arial Narrow" w:hAnsi="Times New Roman;Arial Narrow" w:cs="Times New Roman;Arial Narrow"/>
          <w:rtl w:val="true"/>
        </w:rPr>
        <w:t xml:space="preserve">פסקה </w:t>
      </w:r>
      <w:r>
        <w:rPr>
          <w:rFonts w:cs="Times New Roman;Arial Narrow" w:ascii="Times New Roman;Arial Narrow" w:hAnsi="Times New Roman;Arial Narrow"/>
        </w:rPr>
        <w:t>4</w:t>
      </w:r>
      <w:r>
        <w:rPr>
          <w:rFonts w:cs="Times New Roman;Arial Narrow" w:ascii="Times New Roman;Arial Narrow" w:hAnsi="Times New Roman;Arial Narrow"/>
          <w:rtl w:val="true"/>
        </w:rPr>
        <w:t xml:space="preserve"> (</w:t>
      </w:r>
      <w:r>
        <w:rPr>
          <w:rFonts w:cs="Times New Roman;Arial Narrow" w:ascii="Times New Roman;Arial Narrow" w:hAnsi="Times New Roman;Arial Narrow"/>
        </w:rPr>
        <w:t>22.4.2007</w:t>
      </w:r>
      <w:r>
        <w:rPr>
          <w:rFonts w:cs="Times New Roman;Arial Narrow" w:ascii="Times New Roman;Arial Narrow" w:hAnsi="Times New Roman;Arial Narrow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 xml:space="preserve">באשר לטענות בעניין החלטות דיוניות של המותב </w:t>
      </w:r>
      <w:r>
        <w:rPr>
          <w:rtl w:val="true"/>
        </w:rPr>
        <w:t>–</w:t>
      </w:r>
      <w:r>
        <w:rPr>
          <w:rtl w:val="true"/>
        </w:rPr>
        <w:t xml:space="preserve"> כידוע</w:t>
      </w:r>
      <w:r>
        <w:rPr>
          <w:rtl w:val="true"/>
        </w:rPr>
        <w:t xml:space="preserve">, </w:t>
      </w:r>
      <w:r>
        <w:rPr>
          <w:rtl w:val="true"/>
        </w:rPr>
        <w:t>בקשת פסלות וערעור עליה אינם האכסניה המתאימה להעלאת טענות מסוג זה</w:t>
      </w:r>
      <w:r>
        <w:rPr>
          <w:rtl w:val="true"/>
        </w:rPr>
        <w:t xml:space="preserve">, </w:t>
      </w:r>
      <w:r>
        <w:rPr>
          <w:rtl w:val="true"/>
        </w:rPr>
        <w:t xml:space="preserve">והדרך להשיג עליהן היא באמצעות מסלולי הערעור הקבועים בדין </w:t>
      </w:r>
      <w:r>
        <w:rPr>
          <w:rtl w:val="true"/>
        </w:rPr>
        <w:t>(</w:t>
      </w:r>
      <w:hyperlink r:id="rId9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1437/18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העירונית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לפיתוח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אשדוד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eastAsia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27.2.2018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לא ראיתי כל מקום להידרש לטענות המערער הנוגעות להתנהלות המותב בתקופה ש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</w:t>
      </w:r>
      <w:r>
        <w:rPr>
          <w:rtl w:val="true"/>
        </w:rPr>
        <w:t xml:space="preserve"> ההכרעה בערעור הפסלות הקודם שהגיש </w:t>
      </w:r>
      <w:r>
        <w:rPr>
          <w:sz w:val="22"/>
          <w:rtl w:val="true"/>
        </w:rPr>
        <w:t>(</w:t>
      </w:r>
      <w:r>
        <w:rPr>
          <w:rFonts w:ascii="FrankRuehl" w:hAnsi="FrankRuehl" w:eastAsia="Times New Roman;Arial Narrow" w:cs="FrankRuehl"/>
          <w:color w:val="000000"/>
          <w:sz w:val="28"/>
          <w:sz w:val="28"/>
          <w:rtl w:val="true"/>
        </w:rPr>
        <w:t xml:space="preserve">השוו </w:t>
      </w:r>
      <w:hyperlink r:id="rId10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9100/16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eastAsia="Times New Roman;Arial Narrow"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eastAsia="Times New Roman;Arial Narrow" w:cs="Miriam"/>
          <w:b/>
          <w:b/>
          <w:spacing w:val="0"/>
          <w:sz w:val="22"/>
          <w:sz w:val="22"/>
          <w:szCs w:val="24"/>
          <w:rtl w:val="true"/>
        </w:rPr>
        <w:t>שירה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eastAsia="Times New Roman;Arial Narrow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eastAsia="Times New Roman;Arial Narrow"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eastAsia="Times New Roman;Arial Narrow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eastAsia="Times New Roman;Arial Narrow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eastAsia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8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24.11.2016</w:t>
      </w:r>
      <w:r>
        <w:rPr>
          <w:rtl w:val="true"/>
        </w:rPr>
        <w:t>)</w:t>
      </w:r>
      <w:r>
        <w:rPr>
          <w:sz w:val="22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לכל אלה</w:t>
      </w:r>
      <w:r>
        <w:rPr>
          <w:rFonts w:ascii="Arial TUR;Arial" w:hAnsi="Arial TUR;Arial" w:cs="Arial TUR;Arial"/>
          <w:rtl w:val="true"/>
        </w:rPr>
        <w:t xml:space="preserve"> יש להו</w:t>
      </w:r>
      <w:r>
        <w:rPr>
          <w:rtl w:val="true"/>
        </w:rPr>
        <w:t>סיף את השיהוי הניכר בהעלאת טענות המערער הנוגעות ל</w:t>
      </w:r>
      <w:r>
        <w:rPr>
          <w:rFonts w:ascii="Arial TUR;Arial" w:hAnsi="Arial TUR;Arial" w:cs="Arial TUR;Arial"/>
          <w:rtl w:val="true"/>
        </w:rPr>
        <w:t>התבטאו</w:t>
      </w:r>
      <w:r>
        <w:rPr>
          <w:rtl w:val="true"/>
        </w:rPr>
        <w:t>יו</w:t>
      </w:r>
      <w:r>
        <w:rPr>
          <w:rFonts w:ascii="Arial TUR;Arial" w:hAnsi="Arial TUR;Arial" w:cs="Arial TUR;Arial"/>
          <w:rtl w:val="true"/>
        </w:rPr>
        <w:t xml:space="preserve">ת בית המשפט בדיונים מיום </w:t>
      </w:r>
      <w:r>
        <w:rPr/>
        <w:t>12.3.2015</w:t>
      </w:r>
      <w:r>
        <w:rPr>
          <w:rtl w:val="true"/>
        </w:rPr>
        <w:t xml:space="preserve"> </w:t>
      </w:r>
      <w:r>
        <w:rPr>
          <w:rtl w:val="true"/>
        </w:rPr>
        <w:t xml:space="preserve">ומיום </w:t>
      </w:r>
      <w:r>
        <w:rPr/>
        <w:t>3.3.2016</w:t>
      </w:r>
      <w:r>
        <w:rPr>
          <w:rtl w:val="true"/>
        </w:rPr>
        <w:t xml:space="preserve">, </w:t>
      </w:r>
      <w:r>
        <w:rPr>
          <w:rtl w:val="true"/>
        </w:rPr>
        <w:t>התומך אף הוא בדחיית הערעור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הערעור נדחה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  <w:sz w:val="26"/>
          <w:szCs w:val="32"/>
        </w:rPr>
      </w:pPr>
      <w:r>
        <w:rPr>
          <w:rFonts w:cs="Century" w:ascii="Century" w:hAnsi="Century"/>
          <w:sz w:val="26"/>
          <w:szCs w:val="32"/>
          <w:rtl w:val="true"/>
        </w:rPr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25.3.2018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  <w:bookmarkStart w:id="13" w:name="Start_Write"/>
      <w:bookmarkStart w:id="14" w:name="Start_Write"/>
      <w:bookmarkEnd w:id="14"/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18022060</w:t>
      </w:r>
      <w:r>
        <w:rPr>
          <w:sz w:val="16"/>
          <w:rtl w:val="true"/>
        </w:rPr>
        <w:t>_</w:t>
      </w:r>
      <w:r>
        <w:rPr>
          <w:sz w:val="16"/>
        </w:rPr>
        <w:t>V01.doc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גק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1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ה א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חיות </w:t>
      </w:r>
      <w:r>
        <w:rPr>
          <w:rFonts w:cs="David;Times New Roman" w:ascii="David;Times New Roman" w:hAnsi="David;Times New Roman"/>
          <w:color w:val="000000"/>
          <w:szCs w:val="22"/>
        </w:rPr>
        <w:t>54678313-2206/18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Arial Narrow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Arial Narrow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Arial Narrow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Arial Narrow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Arial Narrow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Arial Narrow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Arial Narrow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Arial Narrow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Arial Narrow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Arial Narrow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Arial Narrow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Arial Narrow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Arial Narrow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Arial Narrow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Arial Narrow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Arial Narrow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3"/>
      <w:footerReference w:type="default" r:id="rId1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altName w:val="Arial Narrow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Tahoma">
    <w:altName w:val="Verdana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altName w:val="Times New Roman"/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2206/18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נאזם אבו סלים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Arial Narrow" w:hAnsi="Times New Roman;Arial Narrow" w:eastAsia="Times New Roman;Arial Narrow" w:cs="David;Times New Roman"/>
      <w:color w:val="auto"/>
      <w:sz w:val="20"/>
      <w:szCs w:val="24"/>
      <w:lang w:val="en-US" w:bidi="he-IL" w:eastAsia="zh-CN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hanging="0" w:start="0" w:end="0"/>
      <w:jc w:val="start"/>
      <w:outlineLvl w:val="7"/>
    </w:pPr>
    <w:rPr>
      <w:rFonts w:ascii="Cambria" w:hAnsi="Cambria" w:cs="Times New Roman;Arial Narrow"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1">
    <w:name w:val=" Char Char1"/>
    <w:qFormat/>
    <w:rPr>
      <w:rFonts w:ascii="Cambria" w:hAnsi="Cambria" w:eastAsia="Times New Roman;Arial Narrow" w:cs="Times New Roman;Arial Narrow"/>
      <w:color w:val="272727"/>
      <w:sz w:val="21"/>
      <w:szCs w:val="21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eastAsia="Calibri" w:cs="FrankRuehl"/>
      <w:spacing w:val="10"/>
      <w:sz w:val="24"/>
      <w:szCs w:val="28"/>
    </w:rPr>
  </w:style>
  <w:style w:type="character" w:styleId="81">
    <w:name w:val="כותרת 8 תו1"/>
    <w:qFormat/>
    <w:rPr>
      <w:rFonts w:ascii="Calibri" w:hAnsi="Calibri" w:eastAsia="Times New Roman;Arial Narrow" w:cs="Arial"/>
      <w:i/>
      <w:iCs/>
      <w:sz w:val="24"/>
      <w:szCs w:val="24"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2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>
      <w:spacing w:lineRule="auto" w:line="360"/>
      <w:ind w:hanging="0" w:start="0" w:end="0"/>
      <w:jc w:val="both"/>
    </w:pPr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;Arial Narrow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;Arial Narrow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;Arial Narrow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2"/>
      </w:numPr>
      <w:ind w:hanging="0" w:start="0" w:end="0"/>
      <w:jc w:val="both"/>
      <w:textAlignment w:val="auto"/>
    </w:pPr>
    <w:rPr>
      <w:rFonts w:ascii="Garamond" w:hAnsi="Garamond" w:eastAsia="Calibri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;Verdana" w:hAnsi="Tahoma;Verdana" w:cs="Tahoma;Verdan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3800637" TargetMode="External"/><Relationship Id="rId3" Type="http://schemas.openxmlformats.org/officeDocument/2006/relationships/hyperlink" Target="http://www.nevo.co.il/case/3800637" TargetMode="External"/><Relationship Id="rId4" Type="http://schemas.openxmlformats.org/officeDocument/2006/relationships/hyperlink" Target="http://www.nevo.co.il/case/23751456" TargetMode="External"/><Relationship Id="rId5" Type="http://schemas.openxmlformats.org/officeDocument/2006/relationships/hyperlink" Target="http://www.nevo.co.il/case/22859841" TargetMode="External"/><Relationship Id="rId6" Type="http://schemas.openxmlformats.org/officeDocument/2006/relationships/hyperlink" Target="http://www.nevo.co.il/case/21534191" TargetMode="External"/><Relationship Id="rId7" Type="http://schemas.openxmlformats.org/officeDocument/2006/relationships/hyperlink" Target="http://www.nevo.co.il/case/23750593" TargetMode="External"/><Relationship Id="rId8" Type="http://schemas.openxmlformats.org/officeDocument/2006/relationships/hyperlink" Target="http://www.nevo.co.il/case/6192906" TargetMode="External"/><Relationship Id="rId9" Type="http://schemas.openxmlformats.org/officeDocument/2006/relationships/hyperlink" Target="http://www.nevo.co.il/case/23750825" TargetMode="External"/><Relationship Id="rId10" Type="http://schemas.openxmlformats.org/officeDocument/2006/relationships/hyperlink" Target="http://www.nevo.co.il/case/21664424" TargetMode="External"/><Relationship Id="rId11" Type="http://schemas.openxmlformats.org/officeDocument/2006/relationships/hyperlink" Target="http://www.court.gov.il/" TargetMode="External"/><Relationship Id="rId12" Type="http://schemas.openxmlformats.org/officeDocument/2006/relationships/hyperlink" Target="http://www.nevo.co.il/advertisements/nevo-100.doc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2018-04-04T02:05:00Z</dcterms:created>
  <dc:creator> </dc:creator>
  <dc:description/>
  <cp:keywords/>
  <dc:language>en-IL</dc:language>
  <cp:lastModifiedBy>orly</cp:lastModifiedBy>
  <cp:lastPrinted>2018-03-25T16:59:00Z</cp:lastPrinted>
  <dcterms:modified xsi:type="dcterms:W3CDTF">2018-04-04T02:05:00Z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נאזם אבו סלים</vt:lpwstr>
  </property>
  <property fmtid="{D5CDD505-2E9C-101B-9397-08002B2CF9AE}" pid="3" name="APPELLEE">
    <vt:lpwstr>מדינת ישראל</vt:lpwstr>
  </property>
  <property fmtid="{D5CDD505-2E9C-101B-9397-08002B2CF9AE}" pid="4" name="CASESLISTTMP1">
    <vt:lpwstr>3800637:2;23751456;22859841;21534191;23750593;6192906;23750825;21664424</vt:lpwstr>
  </property>
  <property fmtid="{D5CDD505-2E9C-101B-9397-08002B2CF9AE}" pid="5" name="DATE">
    <vt:lpwstr>20180325</vt:lpwstr>
  </property>
  <property fmtid="{D5CDD505-2E9C-101B-9397-08002B2CF9AE}" pid="6" name="ISABSTRACT">
    <vt:lpwstr>Y</vt:lpwstr>
  </property>
  <property fmtid="{D5CDD505-2E9C-101B-9397-08002B2CF9AE}" pid="7" name="JUDGE">
    <vt:lpwstr>ה א' חיות</vt:lpwstr>
  </property>
  <property fmtid="{D5CDD505-2E9C-101B-9397-08002B2CF9AE}" pid="8" name="LAWYER">
    <vt:lpwstr>עמראן חטיב</vt:lpwstr>
  </property>
  <property fmtid="{D5CDD505-2E9C-101B-9397-08002B2CF9AE}" pid="9" name="METAKZER">
    <vt:lpwstr>קרן</vt:lpwstr>
  </property>
  <property fmtid="{D5CDD505-2E9C-101B-9397-08002B2CF9AE}" pid="10" name="NOSE11">
    <vt:lpwstr>בתי-משפט</vt:lpwstr>
  </property>
  <property fmtid="{D5CDD505-2E9C-101B-9397-08002B2CF9AE}" pid="11" name="NOSE110">
    <vt:lpwstr/>
  </property>
  <property fmtid="{D5CDD505-2E9C-101B-9397-08002B2CF9AE}" pid="12" name="NOSE12">
    <vt:lpwstr>בתי-משפט</vt:lpwstr>
  </property>
  <property fmtid="{D5CDD505-2E9C-101B-9397-08002B2CF9AE}" pid="13" name="NOSE13">
    <vt:lpwstr/>
  </property>
  <property fmtid="{D5CDD505-2E9C-101B-9397-08002B2CF9AE}" pid="14" name="NOSE14">
    <vt:lpwstr/>
  </property>
  <property fmtid="{D5CDD505-2E9C-101B-9397-08002B2CF9AE}" pid="15" name="NOSE15">
    <vt:lpwstr/>
  </property>
  <property fmtid="{D5CDD505-2E9C-101B-9397-08002B2CF9AE}" pid="16" name="NOSE16">
    <vt:lpwstr/>
  </property>
  <property fmtid="{D5CDD505-2E9C-101B-9397-08002B2CF9AE}" pid="17" name="NOSE17">
    <vt:lpwstr/>
  </property>
  <property fmtid="{D5CDD505-2E9C-101B-9397-08002B2CF9AE}" pid="18" name="NOSE18">
    <vt:lpwstr/>
  </property>
  <property fmtid="{D5CDD505-2E9C-101B-9397-08002B2CF9AE}" pid="19" name="NOSE19">
    <vt:lpwstr/>
  </property>
  <property fmtid="{D5CDD505-2E9C-101B-9397-08002B2CF9AE}" pid="20" name="NOSE1ID">
    <vt:lpwstr>14;14</vt:lpwstr>
  </property>
  <property fmtid="{D5CDD505-2E9C-101B-9397-08002B2CF9AE}" pid="21" name="NOSE21">
    <vt:lpwstr>שופטים</vt:lpwstr>
  </property>
  <property fmtid="{D5CDD505-2E9C-101B-9397-08002B2CF9AE}" pid="22" name="NOSE210">
    <vt:lpwstr/>
  </property>
  <property fmtid="{D5CDD505-2E9C-101B-9397-08002B2CF9AE}" pid="23" name="NOSE22">
    <vt:lpwstr>פסלות שופט</vt:lpwstr>
  </property>
  <property fmtid="{D5CDD505-2E9C-101B-9397-08002B2CF9AE}" pid="24" name="NOSE23">
    <vt:lpwstr/>
  </property>
  <property fmtid="{D5CDD505-2E9C-101B-9397-08002B2CF9AE}" pid="25" name="NOSE24">
    <vt:lpwstr/>
  </property>
  <property fmtid="{D5CDD505-2E9C-101B-9397-08002B2CF9AE}" pid="26" name="NOSE25">
    <vt:lpwstr/>
  </property>
  <property fmtid="{D5CDD505-2E9C-101B-9397-08002B2CF9AE}" pid="27" name="NOSE26">
    <vt:lpwstr/>
  </property>
  <property fmtid="{D5CDD505-2E9C-101B-9397-08002B2CF9AE}" pid="28" name="NOSE27">
    <vt:lpwstr/>
  </property>
  <property fmtid="{D5CDD505-2E9C-101B-9397-08002B2CF9AE}" pid="29" name="NOSE28">
    <vt:lpwstr/>
  </property>
  <property fmtid="{D5CDD505-2E9C-101B-9397-08002B2CF9AE}" pid="30" name="NOSE29">
    <vt:lpwstr/>
  </property>
  <property fmtid="{D5CDD505-2E9C-101B-9397-08002B2CF9AE}" pid="31" name="NOSE2ID">
    <vt:lpwstr>341;336</vt:lpwstr>
  </property>
  <property fmtid="{D5CDD505-2E9C-101B-9397-08002B2CF9AE}" pid="32" name="NOSE31">
    <vt:lpwstr>פסילה</vt:lpwstr>
  </property>
  <property fmtid="{D5CDD505-2E9C-101B-9397-08002B2CF9AE}" pid="33" name="NOSE310">
    <vt:lpwstr/>
  </property>
  <property fmtid="{D5CDD505-2E9C-101B-9397-08002B2CF9AE}" pid="34" name="NOSE32">
    <vt:lpwstr>חשש ממשי למשוא פנים</vt:lpwstr>
  </property>
  <property fmtid="{D5CDD505-2E9C-101B-9397-08002B2CF9AE}" pid="35" name="NOSE33">
    <vt:lpwstr/>
  </property>
  <property fmtid="{D5CDD505-2E9C-101B-9397-08002B2CF9AE}" pid="36" name="NOSE34">
    <vt:lpwstr/>
  </property>
  <property fmtid="{D5CDD505-2E9C-101B-9397-08002B2CF9AE}" pid="37" name="NOSE35">
    <vt:lpwstr/>
  </property>
  <property fmtid="{D5CDD505-2E9C-101B-9397-08002B2CF9AE}" pid="38" name="NOSE36">
    <vt:lpwstr/>
  </property>
  <property fmtid="{D5CDD505-2E9C-101B-9397-08002B2CF9AE}" pid="39" name="NOSE37">
    <vt:lpwstr/>
  </property>
  <property fmtid="{D5CDD505-2E9C-101B-9397-08002B2CF9AE}" pid="40" name="NOSE38">
    <vt:lpwstr/>
  </property>
  <property fmtid="{D5CDD505-2E9C-101B-9397-08002B2CF9AE}" pid="41" name="NOSE39">
    <vt:lpwstr/>
  </property>
  <property fmtid="{D5CDD505-2E9C-101B-9397-08002B2CF9AE}" pid="42" name="NOSE3ID">
    <vt:lpwstr>2803;17095</vt:lpwstr>
  </property>
  <property fmtid="{D5CDD505-2E9C-101B-9397-08002B2CF9AE}" pid="43" name="PADIDATE">
    <vt:lpwstr>20180404</vt:lpwstr>
  </property>
  <property fmtid="{D5CDD505-2E9C-101B-9397-08002B2CF9AE}" pid="44" name="PADIMAIL">
    <vt:lpwstr>YES</vt:lpwstr>
  </property>
  <property fmtid="{D5CDD505-2E9C-101B-9397-08002B2CF9AE}" pid="45" name="PROCESS">
    <vt:lpwstr>עפ</vt:lpwstr>
  </property>
  <property fmtid="{D5CDD505-2E9C-101B-9397-08002B2CF9AE}" pid="46" name="PROCNUM">
    <vt:lpwstr>2206</vt:lpwstr>
  </property>
  <property fmtid="{D5CDD505-2E9C-101B-9397-08002B2CF9AE}" pid="47" name="PROCYEAR">
    <vt:lpwstr>18</vt:lpwstr>
  </property>
  <property fmtid="{D5CDD505-2E9C-101B-9397-08002B2CF9AE}" pid="48" name="PSAKDIN">
    <vt:lpwstr>פסק-דין</vt:lpwstr>
  </property>
  <property fmtid="{D5CDD505-2E9C-101B-9397-08002B2CF9AE}" pid="49" name="TYPE">
    <vt:lpwstr>1</vt:lpwstr>
  </property>
  <property fmtid="{D5CDD505-2E9C-101B-9397-08002B2CF9AE}" pid="50" name="TYPE_ABS_DATE">
    <vt:lpwstr>410120180325</vt:lpwstr>
  </property>
  <property fmtid="{D5CDD505-2E9C-101B-9397-08002B2CF9AE}" pid="51" name="TYPE_N_DATE">
    <vt:lpwstr>41020180325</vt:lpwstr>
  </property>
  <property fmtid="{D5CDD505-2E9C-101B-9397-08002B2CF9AE}" pid="52" name="WORDNUMPAGES">
    <vt:lpwstr>5</vt:lpwstr>
  </property>
</Properties>
</file>