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-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2211/21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בדארנה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48487-02-19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דניאל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26.4.2022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3"/>
        <w:gridCol w:w="2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שאמי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סראחנה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הרשעת המערער בעבירה של המתה בקלות דעת ועבירות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דחיית טענתו כי יש להמיר את העבירה לגרימת מוות ברשלנות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יצא לניסיון עקיפה תוך מודעות לסיכון שהוא נוטל ביציאתו לעקיפה בכביש מסוכן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ששדה הראייה בו מוגבל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והיה מודע לסיכון הבלתי סביר שיש בכך לגרימת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איזן בין מכלול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והעונש בן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אינו חורג מהענישה המקובלת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מקל 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המתה בקלות דעת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קלות דעת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רשלנות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תאונות דרכים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חקירה במשטרה – מחדלי חקירה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וגזר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שהרשיע את המערער בעבירות של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גרימת חבלה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 עקיפה מסוכנת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 עקיפה בדרך לא פנויה ונהיגה במהירות בלתי סבירה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פסילה מלהחזיק רישיון נהיגה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וחובת פיצוי כספי של עיזבון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גרוסקופף ובהסכמת השופטים אלרון וכנפי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להתערב בקביעת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התאונה התרחשה לאחר שהמערער ניסה לעקוף את הרכב שנסע לפניו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ובתוך כך סטה לנתיב הנסיעה של המנוח והתנגש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נפסק כי אין במחדלי חקירה נטענים כדי לבסס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ולהביא לזיכוי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לטענה כי יש להמיר את סעיף העבירה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גרימת מוות ברשלנות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ההבחנה בין סעיפי עבירה אלו נעוצה ביסוד הנפשי הדרוש לשם התגבשותן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היסודות כרוכים בנטילת סיכון בלתי סביר מבחינה אובייקטיבית לגרימת תוצאה בה אין הנאשם מעוניין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ההבדל ביניהם נוגע במודעות הסובייקטיבית של הנאשם לקיומו של סיכון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הרשלן לא מודע מבחינה סובייקטיבית לקיומו של הסיכון הבלתי סביר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שהיה צריך להיות מודע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קל הדעת מודע מבחינה סובייקטיבית לקיומו של הסיכון הבלתי סביר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ומחליט במודע ליטול אותו בתקווה שלא יתממש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טען כי אף אם ביצע את העקיפה וגרם בכך לתאונה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שביציאה לעקיפה הוא לא נטל סיכון בלתי סביר מתוך מודעות לקיומו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לכל היותר התרשל בדרך בה נהג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במילים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 אף אם ביצוע העקיפה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הזמן והדרך בו בוצעה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יצר סיכון בלתי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עצמו לא היה מודע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ניתן ליחס לו יסוד נפשי של התרשלות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של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לשם קביעת היסוד הנפשי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נעזר לעיתים קרובות בחזקות עובדתיות ובעדויות של המעורבים בתאונה והעדים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עובדתית ראשונה היא שאדם מודע לתוצאות הטבעיות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והשנייה היא שהתרשלות רבתי מלמדת על קלות דעת ביחס לתוצאות הצפויה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 במקרה בו אין צורך להתבסס על חזקות אלה לבדן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ניתן ללמוד את מודעות המערער לסיכון הבלתי סביר שהיה כרוך במעשיו מעדותו והתנהלותו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הכיר היטב את מקום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ומסר כי לא היה עולה על דעתו לבצע עקיפה במקום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שידוע לו כי הדבר מסוכן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ומשנקבע כי המערער יצא לניסיון עקיפה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מנוס מקביעה שהוא עשה כן תוך מודעות לסיכון שהוא נוטל ביציאתו לעקיפה בכביש מסוכן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ששדה הראייה בו מוגבל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הוא היה מודע לסיכון הבלתי סביר שיש בכך לגרימת התוצאה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שהמערער דבק בגרסה המתכחשת לעצם ביצוע העקיפה לאורך כל ההליך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מחזקת את הקביעה שהוא היה מודע לכך שביצוע העקיפה המיוחס לו יוצר סיכון בלתי סביר לתאונה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היה מעוניין להפוך עניין זה לחלק מיריעת המחלוקת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 נוסף לכך שלמערער היה ברור כי למרות סימון הדרך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העקיפה בנסיבות המקרה הייתה כרוכה בנטילת סיכון בלתי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גם בהודעת עד הראייה שהתרשם כי העקיפה בה מדובר הייתה בגדר התרשלות רבתי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שקיים סיכוי גבוה כי תוביל לתאונה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שניתן להניח על בסיס החזקה של מודעות להתרשלות רבתי כי גם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כמי שמכיר היטב את תנאי הדרך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ידוע שמדובר בעקיפה הכרוכה בנטילת סיכון בלתי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הדין מבוססת ומנומקת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קמה כל עילה להתערבות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מתחם ענישה הולם למעשי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בבואו למקם את העונש במתחם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נבחנו השיקולים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וביניהם שמדובר באדם המקיים אורח חייו נורמטיבי וחיובי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שהתאונה ותוצאותיה הסבו לו סבל רב וגזירת עונש חמור תפגע בו ובמהלך 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הביא בחשבון גם את סירוב המערער ליטול אחריות על מעשיו ואת הכחשותיו כי יצא לניסיון העקיפה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ממצאים שמצביעים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שאיזן בין שיקולים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החליט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למקם את עונשו של המערער בתחתית המתחם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 אינו חורג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 מדובר בעונש מקל יחסית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שעסקינן בהרשעה בעבירה של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שאר העונשים שהוטלו על המערער הולמים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להפחית מהעונש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דניאל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48487-02-19</w:t>
        </w:r>
      </w:hyperlink>
      <w:r>
        <w:rPr>
          <w:rtl w:val="true"/>
        </w:rPr>
        <w:t xml:space="preserve"> </w:t>
      </w:r>
      <w:r>
        <w:rPr>
          <w:rtl w:val="true"/>
        </w:rPr>
        <w:t>מהימים</w:t>
      </w:r>
      <w:r>
        <w:rPr>
          <w:rFonts w:eastAsia="Arial TUR;Arial" w:cs="Arial TUR;Arial"/>
          <w:rtl w:val="true"/>
        </w:rPr>
        <w:t xml:space="preserve"> </w:t>
      </w:r>
      <w:r>
        <w:rPr/>
        <w:t>28.10.2020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4.3.2021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>
          <w:rtl w:val="true"/>
        </w:rPr>
        <w:t>וחובת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עיזבון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color w:val="333333"/>
          <w:spacing w:val="10"/>
          <w:sz w:val="28"/>
          <w:szCs w:val="28"/>
        </w:rPr>
      </w:pPr>
      <w:r>
        <w:rPr>
          <w:rFonts w:cs="FrankRuehl" w:ascii="Arial TUR;Arial" w:hAnsi="Arial TUR;Arial"/>
          <w:color w:val="333333"/>
          <w:spacing w:val="10"/>
          <w:sz w:val="28"/>
          <w:szCs w:val="28"/>
        </w:rPr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ascii="Arial TUR;Arial" w:hAnsi="Arial TUR;Arial" w:cs="Miriam"/>
          <w:color w:val="333333"/>
          <w:rtl w:val="true"/>
        </w:rPr>
        <w:t>רקע</w:t>
      </w:r>
      <w:r>
        <w:rPr>
          <w:rFonts w:ascii="Arial TUR;Arial" w:hAnsi="Arial TUR;Arial" w:eastAsia="Arial TUR;Arial" w:cs="Arial TUR;Arial"/>
          <w:color w:val="333333"/>
          <w:rtl w:val="true"/>
        </w:rPr>
        <w:t xml:space="preserve"> </w:t>
      </w:r>
      <w:r>
        <w:rPr>
          <w:rFonts w:ascii="Arial TUR;Arial" w:hAnsi="Arial TUR;Arial" w:cs="Miriam"/>
          <w:color w:val="333333"/>
          <w:rtl w:val="true"/>
        </w:rPr>
        <w:t>וכתב</w:t>
      </w:r>
      <w:r>
        <w:rPr>
          <w:rFonts w:ascii="Arial TUR;Arial" w:hAnsi="Arial TUR;Arial" w:eastAsia="Arial TUR;Arial" w:cs="Arial TUR;Arial"/>
          <w:color w:val="333333"/>
          <w:rtl w:val="true"/>
        </w:rPr>
        <w:t xml:space="preserve"> </w:t>
      </w:r>
      <w:r>
        <w:rPr>
          <w:rFonts w:ascii="Arial TUR;Arial" w:hAnsi="Arial TUR;Arial" w:cs="Miriam"/>
          <w:color w:val="333333"/>
          <w:rtl w:val="true"/>
        </w:rPr>
        <w:t>האישום</w:t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color w:val="333333"/>
          <w:spacing w:val="10"/>
          <w:sz w:val="28"/>
          <w:szCs w:val="28"/>
        </w:rPr>
      </w:pPr>
      <w:r>
        <w:rPr>
          <w:rFonts w:cs="FrankRuehl" w:ascii="Arial TUR;Arial" w:hAnsi="Arial TUR;Arial"/>
          <w:color w:val="333333"/>
          <w:spacing w:val="10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color w:val="333333"/>
          <w:sz w:val="28"/>
        </w:rPr>
      </w:pPr>
      <w:r>
        <w:rPr>
          <w:color w:val="333333"/>
          <w:sz w:val="28"/>
          <w:sz w:val="28"/>
          <w:shd w:fill="FFFFFF" w:val="clear"/>
          <w:rtl w:val="true"/>
        </w:rPr>
        <w:t>כתב האישום נגד המערער</w:t>
      </w:r>
      <w:r>
        <w:rPr>
          <w:rtl w:val="true"/>
        </w:rPr>
        <w:t xml:space="preserve">, </w:t>
      </w:r>
      <w:r>
        <w:rPr>
          <w:rtl w:val="true"/>
        </w:rPr>
        <w:t>אמיר בן עאדל בדארנה</w:t>
      </w:r>
      <w:r>
        <w:rPr>
          <w:rtl w:val="true"/>
        </w:rPr>
        <w:t xml:space="preserve">, </w:t>
      </w:r>
      <w:r>
        <w:rPr>
          <w:color w:val="333333"/>
          <w:sz w:val="28"/>
          <w:sz w:val="28"/>
          <w:shd w:fill="FFFFFF" w:val="clear"/>
          <w:rtl w:val="true"/>
        </w:rPr>
        <w:t xml:space="preserve">הוגש ביום </w:t>
      </w:r>
      <w:r>
        <w:rPr>
          <w:color w:val="333333"/>
          <w:sz w:val="28"/>
          <w:shd w:fill="FFFFFF" w:val="clear"/>
        </w:rPr>
        <w:t>20.2.2019</w:t>
      </w:r>
      <w:r>
        <w:rPr>
          <w:rtl w:val="true"/>
        </w:rPr>
        <w:t xml:space="preserve">, </w:t>
      </w:r>
      <w:r>
        <w:rPr>
          <w:rtl w:val="true"/>
        </w:rPr>
        <w:t>וכלל חמישה אישומים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>
          <w:rFonts w:cs="Arial TUR;Arial" w:ascii="Arial TUR;Arial" w:hAnsi="Arial TUR;Arial"/>
          <w:color w:val="333333"/>
          <w:sz w:val="28"/>
        </w:rPr>
        <w:t>24.6.2018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נהג המערער ברכב מסוג ב</w:t>
      </w:r>
      <w:r>
        <w:rPr>
          <w:rFonts w:cs="Arial TUR;Arial" w:ascii="Arial TUR;Arial" w:hAnsi="Arial TUR;Arial"/>
          <w:color w:val="333333"/>
          <w:sz w:val="28"/>
          <w:rtl w:val="true"/>
        </w:rPr>
        <w:t>.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מ</w:t>
      </w:r>
      <w:r>
        <w:rPr>
          <w:rFonts w:cs="Arial TUR;Arial" w:ascii="Arial TUR;Arial" w:hAnsi="Arial TUR;Arial"/>
          <w:color w:val="333333"/>
          <w:sz w:val="28"/>
          <w:rtl w:val="true"/>
        </w:rPr>
        <w:t>.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 xml:space="preserve">וו </w:t>
      </w:r>
      <w:r>
        <w:rPr>
          <w:rFonts w:cs="Arial TUR;Arial" w:ascii="Arial TUR;Arial" w:hAnsi="Arial TUR;Arial"/>
          <w:color w:val="333333"/>
          <w:sz w:val="28"/>
          <w:rtl w:val="true"/>
        </w:rPr>
        <w:t>(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להלן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)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בכביש בין עירוני מפותל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דו מסלולי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כאשר לכל כיוון ישנו נתיב בודד ובעל שוליים צרים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בשל תוואי הכביש אשר כולל עקומות רבות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שדה הראייה בכיוון שבו נסע המערער מוגבל ובמקטעים בודדים בלבד הוא נפתח לפנים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כמו כן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מהירות הנסיעה המותרת בכביש מוגבלת על ידי תמרור ל</w:t>
      </w:r>
      <w:r>
        <w:rPr>
          <w:rFonts w:cs="Arial TUR;Arial" w:ascii="Arial TUR;Arial" w:hAnsi="Arial TUR;Arial"/>
          <w:color w:val="333333"/>
          <w:sz w:val="28"/>
          <w:rtl w:val="true"/>
        </w:rPr>
        <w:t>-</w:t>
      </w:r>
      <w:r>
        <w:rPr>
          <w:rFonts w:cs="Arial TUR;Arial" w:ascii="Arial TUR;Arial" w:hAnsi="Arial TUR;Arial"/>
          <w:color w:val="333333"/>
          <w:sz w:val="28"/>
        </w:rPr>
        <w:t>60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קמ</w:t>
      </w:r>
      <w:r>
        <w:rPr>
          <w:rFonts w:cs="Arial TUR;Arial" w:ascii="Arial TUR;Arial" w:hAnsi="Arial TUR;Arial"/>
          <w:color w:val="333333"/>
          <w:sz w:val="28"/>
          <w:rtl w:val="true"/>
        </w:rPr>
        <w:t>"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ש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 xml:space="preserve">בכיוון הנגדי נהג </w:t>
      </w:r>
      <w:r>
        <w:rPr>
          <w:rFonts w:ascii="Arial TUR;Arial" w:hAnsi="Arial TUR;Arial" w:cs="Arial TUR;Arial"/>
          <w:sz w:val="28"/>
          <w:sz w:val="28"/>
          <w:rtl w:val="true"/>
        </w:rPr>
        <w:t>ליאוניד קון ז</w:t>
      </w:r>
      <w:r>
        <w:rPr>
          <w:rFonts w:cs="Arial TUR;Arial" w:ascii="Arial TUR;Arial" w:hAnsi="Arial TUR;Arial"/>
          <w:sz w:val="28"/>
          <w:rtl w:val="true"/>
        </w:rPr>
        <w:t>"</w:t>
      </w:r>
      <w:r>
        <w:rPr>
          <w:rFonts w:ascii="Arial TUR;Arial" w:hAnsi="Arial TUR;Arial" w:cs="Arial TUR;Arial"/>
          <w:sz w:val="28"/>
          <w:sz w:val="28"/>
          <w:rtl w:val="true"/>
        </w:rPr>
        <w:t xml:space="preserve">ל </w:t>
      </w:r>
      <w:r>
        <w:rPr>
          <w:rFonts w:cs="Arial TUR;Arial" w:ascii="Arial TUR;Arial" w:hAnsi="Arial TUR;Arial"/>
          <w:sz w:val="28"/>
          <w:rtl w:val="true"/>
        </w:rPr>
        <w:t>(</w:t>
      </w:r>
      <w:r>
        <w:rPr>
          <w:rFonts w:ascii="Arial TUR;Arial" w:hAnsi="Arial TUR;Arial" w:cs="Arial TUR;Arial"/>
          <w:sz w:val="28"/>
          <w:sz w:val="28"/>
          <w:rtl w:val="true"/>
        </w:rPr>
        <w:t>להלן</w:t>
      </w:r>
      <w:r>
        <w:rPr>
          <w:rFonts w:cs="Arial TUR;Arial" w:ascii="Arial TUR;Arial" w:hAnsi="Arial TUR;Aria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Arial TUR;Arial" w:ascii="Arial TUR;Arial" w:hAnsi="Arial TUR;Arial"/>
          <w:sz w:val="28"/>
          <w:rtl w:val="true"/>
        </w:rPr>
        <w:t xml:space="preserve">) </w:t>
      </w:r>
      <w:r>
        <w:rPr>
          <w:rFonts w:ascii="Arial TUR;Arial" w:hAnsi="Arial TUR;Arial" w:cs="Arial TUR;Arial"/>
          <w:sz w:val="28"/>
          <w:sz w:val="28"/>
          <w:rtl w:val="true"/>
        </w:rPr>
        <w:t>ברכב פרטי מסוג מזדה</w:t>
      </w:r>
      <w:r>
        <w:rPr>
          <w:rFonts w:cs="Arial TUR;Arial" w:ascii="Arial TUR;Arial" w:hAnsi="Arial TUR;Arial"/>
          <w:sz w:val="28"/>
          <w:rtl w:val="true"/>
        </w:rPr>
        <w:t xml:space="preserve">. </w:t>
      </w:r>
      <w:r>
        <w:rPr>
          <w:rFonts w:ascii="Arial TUR;Arial" w:hAnsi="Arial TUR;Arial" w:cs="Arial TUR;Arial"/>
          <w:sz w:val="28"/>
          <w:sz w:val="28"/>
          <w:rtl w:val="true"/>
        </w:rPr>
        <w:t>בהתקרב המערער לעקומה לשמאל בדרך כיוון נסיעתו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 xml:space="preserve">כששדה הראייה לרכבים המתקרבים בנתיב הנגדי מוגבל במרחק של </w:t>
      </w:r>
      <w:r>
        <w:rPr>
          <w:rFonts w:cs="Arial TUR;Arial" w:ascii="Arial TUR;Arial" w:hAnsi="Arial TUR;Arial"/>
          <w:sz w:val="28"/>
        </w:rPr>
        <w:t>167.6</w:t>
      </w:r>
      <w:r>
        <w:rPr>
          <w:rFonts w:cs="Arial TUR;Arial" w:ascii="Arial TUR;Arial" w:hAnsi="Arial TUR;Arial"/>
          <w:sz w:val="28"/>
          <w:rtl w:val="true"/>
        </w:rPr>
        <w:t xml:space="preserve"> </w:t>
      </w:r>
      <w:r>
        <w:rPr>
          <w:rFonts w:ascii="Arial TUR;Arial" w:hAnsi="Arial TUR;Arial" w:cs="Arial TUR;Arial"/>
          <w:sz w:val="28"/>
          <w:sz w:val="28"/>
          <w:rtl w:val="true"/>
        </w:rPr>
        <w:t>מטר לפני העקומה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ניסה המערער לעקוף רכב אחר אשר נסע לפניו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באזור שבו הנתיבים מופרדים בקו הפרדה מקוטע</w:t>
      </w:r>
      <w:r>
        <w:rPr>
          <w:rFonts w:cs="Arial TUR;Arial" w:ascii="Arial TUR;Arial" w:hAnsi="Arial TUR;Arial"/>
          <w:sz w:val="28"/>
          <w:rtl w:val="true"/>
        </w:rPr>
        <w:t xml:space="preserve">. </w:t>
      </w:r>
      <w:r>
        <w:rPr>
          <w:rFonts w:ascii="Arial TUR;Arial" w:hAnsi="Arial TUR;Arial" w:cs="Arial TUR;Arial"/>
          <w:sz w:val="28"/>
          <w:sz w:val="28"/>
          <w:rtl w:val="true"/>
        </w:rPr>
        <w:t>בכך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חסם המערער את הדרך בפני רכבו של המנוח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ופגע בו מצד שמאל של חזית הרכב</w:t>
      </w:r>
      <w:r>
        <w:rPr>
          <w:rFonts w:cs="Arial TUR;Arial" w:ascii="Arial TUR;Arial" w:hAnsi="Arial TUR;Arial"/>
          <w:sz w:val="28"/>
          <w:rtl w:val="true"/>
        </w:rPr>
        <w:t xml:space="preserve">. </w:t>
      </w:r>
      <w:r>
        <w:rPr>
          <w:rFonts w:ascii="Arial TUR;Arial" w:hAnsi="Arial TUR;Arial" w:cs="Arial TUR;Arial"/>
          <w:sz w:val="28"/>
          <w:sz w:val="28"/>
          <w:rtl w:val="true"/>
        </w:rPr>
        <w:t>בעקבות ההתנגשות שני הרכבים התרוממו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כשרכב המערער נהדף לימין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התהפך ונגרר עד השול הימני בדרך כיוון נסיעתו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 xml:space="preserve">בעוד רכב המנוח פגע במעקב בטיחות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אשר מוצב בצד הפנימי לדרך בכיוון נסיעתו ועלה עליו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כתוצאה מכך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המנוח נפגע פצעים אנושים ומותו נקבע במקום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המערער אף הוא נפגע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333333"/>
          <w:sz w:val="28"/>
          <w:sz w:val="28"/>
          <w:rtl w:val="true"/>
        </w:rPr>
        <w:t>ונגרמו נזקים לשני הרכבים</w:t>
      </w:r>
      <w:r>
        <w:rPr>
          <w:rFonts w:cs="Arial TUR;Arial" w:ascii="Arial TUR;Arial" w:hAnsi="Arial TUR;Arial"/>
          <w:color w:val="333333"/>
          <w:sz w:val="28"/>
          <w:rtl w:val="true"/>
        </w:rPr>
        <w:t xml:space="preserve">. </w:t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color w:val="333333"/>
          <w:spacing w:val="10"/>
          <w:sz w:val="28"/>
          <w:szCs w:val="28"/>
        </w:rPr>
      </w:pPr>
      <w:r>
        <w:rPr>
          <w:rFonts w:cs="FrankRuehl" w:ascii="Arial TUR;Arial" w:hAnsi="Arial TUR;Arial"/>
          <w:color w:val="333333"/>
          <w:spacing w:val="10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בגין התאונה יוחסה למערער עבירה של הריגה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אשר הומרה לעבירה של המתה בקלות דעת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בעקבות כניסתו לתוקף של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 במהלך בירור ההליך</w:t>
      </w:r>
      <w:r>
        <w:rPr>
          <w:rtl w:val="true"/>
        </w:rPr>
        <w:t xml:space="preserve">. </w:t>
      </w:r>
      <w:r>
        <w:rPr>
          <w:rtl w:val="true"/>
        </w:rPr>
        <w:t xml:space="preserve">בנוסף יוחסו למערער בכתב האישום עבירות של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עקיפה</w:t>
      </w:r>
      <w:r>
        <w:rPr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התקנות</w:t>
      </w:r>
      <w:r>
        <w:rPr>
          <w:rtl w:val="true"/>
        </w:rPr>
        <w:t xml:space="preserve">) </w:t>
      </w:r>
      <w:r>
        <w:rPr>
          <w:rtl w:val="true"/>
        </w:rPr>
        <w:t xml:space="preserve">ומהירות בלתי סבירה לפי </w:t>
      </w:r>
      <w:hyperlink r:id="rId26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. </w:t>
      </w:r>
      <w:r>
        <w:rPr>
          <w:rtl w:val="true"/>
        </w:rPr>
        <w:t>המערער כפר באחריותו לתאונה</w:t>
      </w:r>
      <w:r>
        <w:rPr>
          <w:rtl w:val="true"/>
        </w:rPr>
        <w:t xml:space="preserve">, </w:t>
      </w:r>
      <w:r>
        <w:rPr>
          <w:rtl w:val="true"/>
        </w:rPr>
        <w:t>והצדדים ניהלו הליך הוכחות בבית המשפט המחוזי על מנת להכריע בין גרסאות הצדדים בדבר אופן התרחשות התאונה</w:t>
      </w:r>
      <w:r>
        <w:rPr>
          <w:rtl w:val="true"/>
        </w:rPr>
        <w:t xml:space="preserve">. </w:t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color w:val="333333"/>
          <w:spacing w:val="10"/>
          <w:sz w:val="28"/>
          <w:szCs w:val="28"/>
        </w:rPr>
      </w:pPr>
      <w:r>
        <w:rPr>
          <w:rFonts w:cs="FrankRuehl" w:ascii="Arial TUR;Arial" w:hAnsi="Arial TUR;Arial"/>
          <w:color w:val="333333"/>
          <w:spacing w:val="10"/>
          <w:sz w:val="28"/>
          <w:szCs w:val="28"/>
          <w:rtl w:val="true"/>
        </w:rPr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b/>
          <w:color w:val="333333"/>
          <w:spacing w:val="10"/>
          <w:sz w:val="28"/>
          <w:szCs w:val="28"/>
        </w:rPr>
      </w:pPr>
      <w:r>
        <w:rPr>
          <w:rFonts w:cs="FrankRuehl" w:ascii="Arial TUR;Arial" w:hAnsi="Arial TUR;Arial"/>
          <w:b/>
          <w:color w:val="333333"/>
          <w:spacing w:val="10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28.10.2020</w:t>
      </w:r>
      <w:r>
        <w:rPr>
          <w:rtl w:val="true"/>
        </w:rPr>
        <w:t xml:space="preserve"> </w:t>
      </w:r>
      <w:r>
        <w:rPr>
          <w:rtl w:val="true"/>
        </w:rPr>
        <w:t>דחה בית המשפט המחוזי בחיפה את גרסתו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במסגרתה </w:t>
      </w:r>
      <w:r>
        <w:rPr>
          <w:color w:val="333333"/>
          <w:sz w:val="28"/>
          <w:sz w:val="28"/>
          <w:shd w:fill="FFFFFF" w:val="clear"/>
          <w:rtl w:val="true"/>
        </w:rPr>
        <w:t>הכחיש שביצע עקיפה וטען כי רכבו של המנוח היה זה שסטה לנתיב נסיעתו ובכך גרם לתאונה</w:t>
      </w:r>
      <w:r>
        <w:rPr>
          <w:color w:val="333333"/>
          <w:sz w:val="28"/>
          <w:shd w:fill="FFFFFF" w:val="clear"/>
          <w:rtl w:val="true"/>
        </w:rPr>
        <w:t xml:space="preserve">, </w:t>
      </w:r>
      <w:r>
        <w:rPr>
          <w:color w:val="333333"/>
          <w:sz w:val="28"/>
          <w:sz w:val="28"/>
          <w:shd w:fill="FFFFFF" w:val="clear"/>
          <w:rtl w:val="true"/>
        </w:rPr>
        <w:t xml:space="preserve">והרשיע אותו </w:t>
      </w:r>
      <w:r>
        <w:rPr>
          <w:rtl w:val="true"/>
        </w:rPr>
        <w:t>במכלול העבירות שיוחסו לו בכתב האישום</w:t>
      </w:r>
      <w:r>
        <w:rPr>
          <w:color w:val="333333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התבסס על עדויות מומחים</w:t>
      </w:r>
      <w:r>
        <w:rPr>
          <w:rtl w:val="true"/>
        </w:rPr>
        <w:t xml:space="preserve">, </w:t>
      </w:r>
      <w:r>
        <w:rPr>
          <w:rtl w:val="true"/>
        </w:rPr>
        <w:t xml:space="preserve">וביניהם בוחן תנועה מטעם המשיבה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), </w:t>
      </w:r>
      <w:r>
        <w:rPr>
          <w:rtl w:val="true"/>
        </w:rPr>
        <w:t xml:space="preserve">מר סאלח סויד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התנועה</w:t>
      </w:r>
      <w:r>
        <w:rPr>
          <w:rtl w:val="true"/>
        </w:rPr>
        <w:t xml:space="preserve">), </w:t>
      </w:r>
      <w:r>
        <w:rPr>
          <w:rtl w:val="true"/>
        </w:rPr>
        <w:t>אשר קבע כי ההתנגשות החזיתית התרחשה באזור מרכז נתיב הנסיעה של המנוח</w:t>
      </w:r>
      <w:r>
        <w:rPr>
          <w:rtl w:val="true"/>
        </w:rPr>
        <w:t xml:space="preserve">. </w:t>
      </w:r>
      <w:r>
        <w:rPr>
          <w:rtl w:val="true"/>
        </w:rPr>
        <w:t xml:space="preserve">קביעה זו נסמכה על ניתוח המניח התרחשותו של מנגנון תאונתי בשם </w:t>
      </w:r>
      <w:r>
        <w:rPr>
          <w:rtl w:val="true"/>
        </w:rPr>
        <w:t>"</w:t>
      </w:r>
      <w:r>
        <w:rPr>
          <w:rtl w:val="true"/>
        </w:rPr>
        <w:t>קריסה והתרוממות</w:t>
      </w:r>
      <w:r>
        <w:rPr>
          <w:rtl w:val="true"/>
        </w:rPr>
        <w:t xml:space="preserve">", </w:t>
      </w:r>
      <w:r>
        <w:rPr>
          <w:rtl w:val="true"/>
        </w:rPr>
        <w:t>המאפיין התנגשויות חזיתיות בין כלי רכב</w:t>
      </w:r>
      <w:r>
        <w:rPr>
          <w:rtl w:val="true"/>
        </w:rPr>
        <w:t xml:space="preserve">. </w:t>
      </w:r>
      <w:r>
        <w:rPr>
          <w:rtl w:val="true"/>
        </w:rPr>
        <w:t>המנגנון מתאר קריסה של החלק הקדמי של כל אחד משני הרכבים המתנגשים</w:t>
      </w:r>
      <w:r>
        <w:rPr>
          <w:rtl w:val="true"/>
        </w:rPr>
        <w:t xml:space="preserve">, </w:t>
      </w:r>
      <w:r>
        <w:rPr>
          <w:rtl w:val="true"/>
        </w:rPr>
        <w:t>בעוד חלקם האחורי מתרומם כלפי מעלה</w:t>
      </w:r>
      <w:r>
        <w:rPr>
          <w:rtl w:val="true"/>
        </w:rPr>
        <w:t xml:space="preserve">, </w:t>
      </w:r>
      <w:r>
        <w:rPr>
          <w:rtl w:val="true"/>
        </w:rPr>
        <w:t>ללא תלות בהבדלי מסה ביניהם</w:t>
      </w:r>
      <w:r>
        <w:rPr>
          <w:rtl w:val="true"/>
        </w:rPr>
        <w:t xml:space="preserve">. </w:t>
      </w:r>
      <w:r>
        <w:rPr>
          <w:rtl w:val="true"/>
        </w:rPr>
        <w:t>בעקבות זאת נותרים סימנים אופייניים באספלט בדמות שפשופים וחריצים</w:t>
      </w:r>
      <w:r>
        <w:rPr>
          <w:rtl w:val="true"/>
        </w:rPr>
        <w:t xml:space="preserve">, </w:t>
      </w:r>
      <w:r>
        <w:rPr>
          <w:rtl w:val="true"/>
        </w:rPr>
        <w:t>שאכן אותרו בנתיב נסיעתו של המנוח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הופיעו בסמוך למקום התאונה קשתי התזה של נוזלים ושמן שדלפו מהרכבים לאחר ההתנגשות</w:t>
      </w:r>
      <w:r>
        <w:rPr>
          <w:rtl w:val="true"/>
        </w:rPr>
        <w:t xml:space="preserve">, </w:t>
      </w:r>
      <w:r>
        <w:rPr>
          <w:rtl w:val="true"/>
        </w:rPr>
        <w:t>ובאמצעותם ניתן היה לעקוב אחר מסלול תזוזת הרכבים לאחר התאונה</w:t>
      </w:r>
      <w:r>
        <w:rPr>
          <w:rtl w:val="true"/>
        </w:rPr>
        <w:t xml:space="preserve">, </w:t>
      </w:r>
      <w:r>
        <w:rPr>
          <w:rtl w:val="true"/>
        </w:rPr>
        <w:t>וכן שפשוף צבע לבן מרכבו של המערער</w:t>
      </w:r>
      <w:r>
        <w:rPr>
          <w:rtl w:val="true"/>
        </w:rPr>
        <w:t xml:space="preserve">, </w:t>
      </w:r>
      <w:r>
        <w:rPr>
          <w:rtl w:val="true"/>
        </w:rPr>
        <w:t>אשר התחיל בנתיבו של המנוח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עדות מומחה של פתולוג מטעם המדינה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אלון קריספין</w:t>
      </w:r>
      <w:r>
        <w:rPr>
          <w:rtl w:val="true"/>
        </w:rPr>
        <w:t xml:space="preserve">, </w:t>
      </w:r>
      <w:r>
        <w:rPr>
          <w:rtl w:val="true"/>
        </w:rPr>
        <w:t>העלתה כי חרף מצב רפואי מסוים שממנו סבל המנוח</w:t>
      </w:r>
      <w:r>
        <w:rPr>
          <w:rtl w:val="true"/>
        </w:rPr>
        <w:t xml:space="preserve">, </w:t>
      </w:r>
      <w:r>
        <w:rPr>
          <w:rtl w:val="true"/>
        </w:rPr>
        <w:t>אין כל יסוד לטענה שהוא התאונה התרחשה בעקבות התקף אפילפטי שעבר עובר להתנגשות</w:t>
      </w:r>
      <w:r>
        <w:rPr>
          <w:rtl w:val="true"/>
        </w:rPr>
        <w:t xml:space="preserve">. </w:t>
      </w:r>
      <w:r>
        <w:rPr>
          <w:rtl w:val="true"/>
        </w:rPr>
        <w:t>זאת הן לאור טיפול רפואי סדיר שקיבל המנוח</w:t>
      </w:r>
      <w:r>
        <w:rPr>
          <w:rtl w:val="true"/>
        </w:rPr>
        <w:t xml:space="preserve">, </w:t>
      </w:r>
      <w:r>
        <w:rPr>
          <w:rtl w:val="true"/>
        </w:rPr>
        <w:t>הן לאור ממצאי בוחן התנועה</w:t>
      </w:r>
      <w:r>
        <w:rPr>
          <w:rtl w:val="true"/>
        </w:rPr>
        <w:t xml:space="preserve">, </w:t>
      </w:r>
      <w:r>
        <w:rPr>
          <w:rtl w:val="true"/>
        </w:rPr>
        <w:t>המצביעים על כך שהמנוח נסע כהלכה בנתיבו בעת ההתנגשות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קמא קבע כי יש לקבל את גרסתו של עד הראייה מטעם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מר סלאמה נעאמנה </w:t>
      </w:r>
      <w:r>
        <w:rPr>
          <w:rtl w:val="true"/>
        </w:rPr>
        <w:t>(</w:t>
      </w:r>
      <w:r>
        <w:rPr>
          <w:rtl w:val="true"/>
        </w:rPr>
        <w:t>להלן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סלאמה</w:t>
      </w:r>
      <w:r>
        <w:rPr>
          <w:rtl w:val="true"/>
        </w:rPr>
        <w:t xml:space="preserve">), </w:t>
      </w:r>
      <w:r>
        <w:rPr>
          <w:rtl w:val="true"/>
        </w:rPr>
        <w:t xml:space="preserve">אשר נסע בכביש לכיוון מערב </w:t>
      </w:r>
      <w:r>
        <w:rPr>
          <w:rtl w:val="true"/>
        </w:rPr>
        <w:t>(</w:t>
      </w:r>
      <w:r>
        <w:rPr>
          <w:rtl w:val="true"/>
        </w:rPr>
        <w:t>כיוון נסיעתו של המערער</w:t>
      </w:r>
      <w:r>
        <w:rPr>
          <w:rtl w:val="true"/>
        </w:rPr>
        <w:t xml:space="preserve">) </w:t>
      </w:r>
      <w:r>
        <w:rPr>
          <w:rtl w:val="true"/>
        </w:rPr>
        <w:t>וראה רכב מאחוריו המנסה לעקוף אותו בסמוך לקרות התאונה</w:t>
      </w:r>
      <w:r>
        <w:rPr>
          <w:rtl w:val="true"/>
        </w:rPr>
        <w:t xml:space="preserve">. </w:t>
      </w:r>
      <w:r>
        <w:rPr>
          <w:rtl w:val="true"/>
        </w:rPr>
        <w:t>חרף העובדה שסלאמה לא ראה את ההתנגשות בעיניו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</w:t>
      </w:r>
      <w:r>
        <w:rPr>
          <w:rFonts w:ascii="Century" w:hAnsi="Century" w:cs="Century"/>
          <w:sz w:val="22"/>
          <w:sz w:val="22"/>
          <w:rtl w:val="true"/>
        </w:rPr>
        <w:t>קבע כי מדבריו עולה באופן ברור שניסיון העקיפה הוביל לתאונה ו</w:t>
      </w:r>
      <w:r>
        <w:rPr>
          <w:rtl w:val="true"/>
        </w:rPr>
        <w:t xml:space="preserve">הגדיר את גרסתו במשטרה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ופשוטה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להכרעת דינו של בית המשפט קמא</w:t>
      </w:r>
      <w:r>
        <w:rPr>
          <w:rtl w:val="true"/>
        </w:rPr>
        <w:t xml:space="preserve">). </w:t>
      </w:r>
      <w:r>
        <w:rPr>
          <w:rtl w:val="true"/>
        </w:rPr>
        <w:t>יצוין כי במהלך העדות בבית המשפט הוכרז סלאמה עד עוין</w:t>
      </w:r>
      <w:r>
        <w:rPr>
          <w:rtl w:val="true"/>
        </w:rPr>
        <w:t xml:space="preserve">, </w:t>
      </w:r>
      <w:r>
        <w:rPr>
          <w:rtl w:val="true"/>
        </w:rPr>
        <w:t>בשל מספר סתירות בין הודעתו במשטרה לבין חלק מהדברים שאמר בבית המשפט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כיוון שבית המשפט קמא קבע כי שינויים אלה נבעו מחוסר רצונו של העד להיות מעורב בהליך המשפטי בכלל</w:t>
      </w:r>
      <w:r>
        <w:rPr>
          <w:rtl w:val="true"/>
        </w:rPr>
        <w:t xml:space="preserve">, </w:t>
      </w:r>
      <w:r>
        <w:rPr>
          <w:rtl w:val="true"/>
        </w:rPr>
        <w:t>ולמסור עדות לרעת המערער בפרט</w:t>
      </w:r>
      <w:r>
        <w:rPr>
          <w:rtl w:val="true"/>
        </w:rPr>
        <w:t xml:space="preserve">, </w:t>
      </w:r>
      <w:r>
        <w:rPr>
          <w:rtl w:val="true"/>
        </w:rPr>
        <w:t>הועדפה הגרסה שנתן סלאמה במשטרה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בית המשפט קמא דחה את עיקר גרסתו של המערער</w:t>
      </w:r>
      <w:r>
        <w:rPr>
          <w:rtl w:val="true"/>
        </w:rPr>
        <w:t xml:space="preserve">, </w:t>
      </w:r>
      <w:r>
        <w:rPr>
          <w:rtl w:val="true"/>
        </w:rPr>
        <w:t>לפיה המנוח היה זה שסטה לנתיבו</w:t>
      </w:r>
      <w:r>
        <w:rPr>
          <w:rtl w:val="true"/>
        </w:rPr>
        <w:t xml:space="preserve">, </w:t>
      </w:r>
      <w:r>
        <w:rPr>
          <w:rtl w:val="true"/>
        </w:rPr>
        <w:t>בהיותה סותרת לחלוטין את הממצאים הפיזיים אשר נמצאו בשטח ואת גרסתו המועדפת של סלאמה</w:t>
      </w:r>
      <w:r>
        <w:rPr>
          <w:rtl w:val="true"/>
        </w:rPr>
        <w:t xml:space="preserve">, </w:t>
      </w:r>
      <w:r>
        <w:rPr>
          <w:rtl w:val="true"/>
        </w:rPr>
        <w:t xml:space="preserve">העד הישיר היחיד לאירוע </w:t>
      </w:r>
      <w:r>
        <w:rPr>
          <w:rtl w:val="true"/>
        </w:rPr>
        <w:t>(</w:t>
      </w:r>
      <w:r>
        <w:rPr>
          <w:rtl w:val="true"/>
        </w:rPr>
        <w:t>למעט המערער</w:t>
      </w:r>
      <w:r>
        <w:rPr>
          <w:rtl w:val="true"/>
        </w:rPr>
        <w:t xml:space="preserve">). </w:t>
      </w:r>
      <w:r>
        <w:rPr>
          <w:rtl w:val="true"/>
        </w:rPr>
        <w:t>בית המשפט קבע כי המערער מנסה לחמוק מאחריות לתאונה שהתרחשה בעקבות ניסיון העקיפה שביצע</w:t>
      </w:r>
      <w:r>
        <w:rPr>
          <w:rtl w:val="true"/>
        </w:rPr>
        <w:t xml:space="preserve">, </w:t>
      </w:r>
      <w:r>
        <w:rPr>
          <w:rtl w:val="true"/>
        </w:rPr>
        <w:t>ולשם כך בדה מליבו הסבר חלופי לתאונה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נדחו טענותיו של המערער ביחס ל</w:t>
      </w:r>
      <w:r>
        <w:rPr>
          <w:rtl w:val="true"/>
        </w:rPr>
        <w:t>"</w:t>
      </w:r>
      <w:r>
        <w:rPr>
          <w:rtl w:val="true"/>
        </w:rPr>
        <w:t>תפירת תיקים</w:t>
      </w:r>
      <w:r>
        <w:rPr>
          <w:rtl w:val="true"/>
        </w:rPr>
        <w:t xml:space="preserve">"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בית המשפט קמא קבע כי המדינה הוכיחה את היסוד העובדתי הנחוץ לצורך הרשעה בעבירת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שכן חרף העובדה שהמערער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כי הדרך מסוכנת</w:t>
      </w:r>
      <w:r>
        <w:rPr>
          <w:rtl w:val="true"/>
        </w:rPr>
        <w:t xml:space="preserve">, </w:t>
      </w:r>
      <w:r>
        <w:rPr>
          <w:rtl w:val="true"/>
        </w:rPr>
        <w:t>בעלת שוליים צרים וטווח ראייה מוגבל</w:t>
      </w:r>
      <w:r>
        <w:rPr>
          <w:rtl w:val="true"/>
        </w:rPr>
        <w:t xml:space="preserve">, </w:t>
      </w:r>
      <w:r>
        <w:rPr>
          <w:rtl w:val="true"/>
        </w:rPr>
        <w:t xml:space="preserve">הוא ביצע עקיפה במהירות בדרך לא פנויה וגרם לתאונה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83</w:t>
      </w:r>
      <w:r>
        <w:rPr>
          <w:rtl w:val="true"/>
        </w:rPr>
        <w:t xml:space="preserve">). </w:t>
      </w:r>
      <w:r>
        <w:rPr>
          <w:rtl w:val="true"/>
        </w:rPr>
        <w:t>בכך סטה המערער באופן חמור מרמת זהירות סבירה</w:t>
      </w:r>
      <w:r>
        <w:rPr>
          <w:rtl w:val="true"/>
        </w:rPr>
        <w:t xml:space="preserve">. </w:t>
      </w:r>
      <w:r>
        <w:rPr>
          <w:rtl w:val="true"/>
        </w:rPr>
        <w:t>כן נקבע כי הוכח יסוד נפשי של קלות דעת</w:t>
      </w:r>
      <w:r>
        <w:rPr>
          <w:rtl w:val="true"/>
        </w:rPr>
        <w:t xml:space="preserve">, </w:t>
      </w:r>
      <w:r>
        <w:rPr>
          <w:rtl w:val="true"/>
        </w:rPr>
        <w:t>שכן המערער אמנם קיווה שהעקיפה תעבור בשלום</w:t>
      </w:r>
      <w:r>
        <w:rPr>
          <w:rtl w:val="true"/>
        </w:rPr>
        <w:t xml:space="preserve">, </w:t>
      </w:r>
      <w:r>
        <w:rPr>
          <w:rtl w:val="true"/>
        </w:rPr>
        <w:t>אך תקווה זו הייתה מחוסרת בסיס</w:t>
      </w:r>
      <w:r>
        <w:rPr>
          <w:rtl w:val="true"/>
        </w:rPr>
        <w:t xml:space="preserve">, </w:t>
      </w:r>
      <w:r>
        <w:rPr>
          <w:rtl w:val="true"/>
        </w:rPr>
        <w:t>סובייקטיבי או אובייקטיבי</w:t>
      </w:r>
      <w:r>
        <w:rPr>
          <w:rtl w:val="true"/>
        </w:rPr>
        <w:t xml:space="preserve">, </w:t>
      </w:r>
      <w:r>
        <w:rPr>
          <w:rtl w:val="true"/>
        </w:rPr>
        <w:t>בהינתן הסיכון שהיה כרוך בביצוע העקיפה בשים לב לנתוני הדרך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המערער היה מודע למשמעות התנהגותו</w:t>
      </w:r>
      <w:r>
        <w:rPr>
          <w:rtl w:val="true"/>
        </w:rPr>
        <w:t>.</w:t>
      </w:r>
      <w:r>
        <w:rPr>
          <w:color w:val="333333"/>
          <w:sz w:val="28"/>
          <w:shd w:fill="FFFFFF" w:val="clear"/>
          <w:rtl w:val="true"/>
        </w:rPr>
        <w:t xml:space="preserve"> </w:t>
      </w:r>
      <w:r>
        <w:rPr>
          <w:color w:val="333333"/>
          <w:sz w:val="28"/>
          <w:sz w:val="28"/>
          <w:shd w:fill="FFFFFF" w:val="clear"/>
          <w:rtl w:val="true"/>
        </w:rPr>
        <w:t>לנוכח האמור</w:t>
      </w:r>
      <w:r>
        <w:rPr>
          <w:color w:val="333333"/>
          <w:sz w:val="28"/>
          <w:shd w:fill="FFFFFF" w:val="clear"/>
          <w:rtl w:val="true"/>
        </w:rPr>
        <w:t xml:space="preserve">, </w:t>
      </w:r>
      <w:r>
        <w:rPr>
          <w:color w:val="333333"/>
          <w:sz w:val="28"/>
          <w:sz w:val="28"/>
          <w:shd w:fill="FFFFFF" w:val="clear"/>
          <w:rtl w:val="true"/>
        </w:rPr>
        <w:t>הרשיע בית המשפט המחוזי את המערער בעבירות שבהן הואשם</w:t>
      </w:r>
      <w:r>
        <w:rPr>
          <w:color w:val="333333"/>
          <w:sz w:val="28"/>
          <w:shd w:fill="FFFFFF" w:val="clear"/>
          <w:rtl w:val="true"/>
        </w:rPr>
        <w:t xml:space="preserve">, </w:t>
      </w:r>
      <w:r>
        <w:rPr>
          <w:color w:val="333333"/>
          <w:sz w:val="28"/>
          <w:sz w:val="28"/>
          <w:shd w:fill="FFFFFF" w:val="clear"/>
          <w:rtl w:val="true"/>
        </w:rPr>
        <w:t>ואשר פורטו לעיל</w:t>
      </w:r>
      <w:r>
        <w:rPr>
          <w:color w:val="333333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גזר דינו של המערער ניתן ביום </w:t>
      </w:r>
      <w:r>
        <w:rPr/>
        <w:t>4.3.2021</w:t>
      </w:r>
      <w:r>
        <w:rPr>
          <w:rtl w:val="true"/>
        </w:rPr>
        <w:t xml:space="preserve">. </w:t>
      </w:r>
      <w:r>
        <w:rPr>
          <w:rtl w:val="true"/>
        </w:rPr>
        <w:t>בית המשפט קמא סקר את עיקרי תסקיר שירות המבחן בעניינו של המערער</w:t>
      </w:r>
      <w:r>
        <w:rPr>
          <w:rtl w:val="true"/>
        </w:rPr>
        <w:t xml:space="preserve">. </w:t>
      </w:r>
      <w:r>
        <w:rPr>
          <w:rtl w:val="true"/>
        </w:rPr>
        <w:t>שירות המבחן התרשם שמדובר באדם נורמטיבי</w:t>
      </w:r>
      <w:r>
        <w:rPr>
          <w:rtl w:val="true"/>
        </w:rPr>
        <w:t xml:space="preserve">, </w:t>
      </w:r>
      <w:r>
        <w:rPr>
          <w:rtl w:val="true"/>
        </w:rPr>
        <w:t>בעל יכולות וכוחות</w:t>
      </w:r>
      <w:r>
        <w:rPr>
          <w:rtl w:val="true"/>
        </w:rPr>
        <w:t xml:space="preserve">, </w:t>
      </w:r>
      <w:r>
        <w:rPr>
          <w:rtl w:val="true"/>
        </w:rPr>
        <w:t>שהשקיע מאמצים לקדם את עצמו לאורך חייו</w:t>
      </w:r>
      <w:r>
        <w:rPr>
          <w:rtl w:val="true"/>
        </w:rPr>
        <w:t xml:space="preserve">, </w:t>
      </w:r>
      <w:r>
        <w:rPr>
          <w:rtl w:val="true"/>
        </w:rPr>
        <w:t>ומעוניין לסיים את ההליך המשפטי כדי להמשיך בהם</w:t>
      </w:r>
      <w:r>
        <w:rPr>
          <w:rtl w:val="true"/>
        </w:rPr>
        <w:t xml:space="preserve">. </w:t>
      </w:r>
      <w:r>
        <w:rPr>
          <w:rtl w:val="true"/>
        </w:rPr>
        <w:t xml:space="preserve">מדובר ברווק 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נטול עבר פלילי או הרשעות תעבורה קודמות</w:t>
      </w:r>
      <w:r>
        <w:rPr>
          <w:rtl w:val="true"/>
        </w:rPr>
        <w:t xml:space="preserve">, </w:t>
      </w:r>
      <w:r>
        <w:rPr>
          <w:rtl w:val="true"/>
        </w:rPr>
        <w:t>אשר עובד כרופא שיניים עצמאי וכמוכר שתלים דנטליים</w:t>
      </w:r>
      <w:r>
        <w:rPr>
          <w:rtl w:val="true"/>
        </w:rPr>
        <w:t xml:space="preserve">. </w:t>
      </w:r>
      <w:r>
        <w:rPr>
          <w:rtl w:val="true"/>
        </w:rPr>
        <w:t>משפחתו נורמטיבית</w:t>
      </w:r>
      <w:r>
        <w:rPr>
          <w:rtl w:val="true"/>
        </w:rPr>
        <w:t xml:space="preserve">, </w:t>
      </w:r>
      <w:r>
        <w:rPr>
          <w:rtl w:val="true"/>
        </w:rPr>
        <w:t>הוריו גרושים</w:t>
      </w:r>
      <w:r>
        <w:rPr>
          <w:rtl w:val="true"/>
        </w:rPr>
        <w:t xml:space="preserve">, </w:t>
      </w:r>
      <w:r>
        <w:rPr>
          <w:rtl w:val="true"/>
        </w:rPr>
        <w:t>כאשר גם אביו הוא רופא שיניים</w:t>
      </w:r>
      <w:r>
        <w:rPr>
          <w:rtl w:val="true"/>
        </w:rPr>
        <w:t xml:space="preserve">. </w:t>
      </w:r>
      <w:r>
        <w:rPr>
          <w:rtl w:val="true"/>
        </w:rPr>
        <w:t>המערער סיים בגרות מלאה בהצטיינות</w:t>
      </w:r>
      <w:r>
        <w:rPr>
          <w:rtl w:val="true"/>
        </w:rPr>
        <w:t xml:space="preserve">, </w:t>
      </w:r>
      <w:r>
        <w:rPr>
          <w:rtl w:val="true"/>
        </w:rPr>
        <w:t>ורכש את השכלתו האקדמית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שירות המבחן ציין בתסקיר כי המערער הביע תחושת כאב וצער לנוכח תוצאות התאונה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נכתב שהמערער מתקשה ליטול אחריות על מעשיו</w:t>
      </w:r>
      <w:r>
        <w:rPr>
          <w:rtl w:val="true"/>
        </w:rPr>
        <w:t xml:space="preserve">, </w:t>
      </w:r>
      <w:r>
        <w:rPr>
          <w:rtl w:val="true"/>
        </w:rPr>
        <w:t>והוא מייחס למנוח את האחריות לתאונה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שירות המבחן לא המליץ על הליך טיפולי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עמד על כך שהערכים החברתיים שנפגעו במעשיו של המערער הם שמירה על החיים וביטחון הציבור בדרכים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כי המעשה לא היה מתוכנן</w:t>
      </w:r>
      <w:r>
        <w:rPr>
          <w:rtl w:val="true"/>
        </w:rPr>
        <w:t xml:space="preserve">, </w:t>
      </w:r>
      <w:r>
        <w:rPr>
          <w:rtl w:val="true"/>
        </w:rPr>
        <w:t>אלא נגרם כתוצאה מחוסר תכנון נאות</w:t>
      </w:r>
      <w:r>
        <w:rPr>
          <w:rtl w:val="true"/>
        </w:rPr>
        <w:t xml:space="preserve">. </w:t>
      </w:r>
      <w:r>
        <w:rPr>
          <w:rtl w:val="true"/>
        </w:rPr>
        <w:t>בנקודה זאת</w:t>
      </w:r>
      <w:r>
        <w:rPr>
          <w:rtl w:val="true"/>
        </w:rPr>
        <w:t xml:space="preserve">, </w:t>
      </w:r>
      <w:r>
        <w:rPr>
          <w:rtl w:val="true"/>
        </w:rPr>
        <w:t>בית המשפט העיר כי על אף תוצאתה הטרגית</w:t>
      </w:r>
      <w:r>
        <w:rPr>
          <w:rtl w:val="true"/>
        </w:rPr>
        <w:t xml:space="preserve">, </w:t>
      </w:r>
      <w:r>
        <w:rPr>
          <w:rtl w:val="true"/>
        </w:rPr>
        <w:t>העקיפה לא בוצעה במקום האסור בעקיפה</w:t>
      </w:r>
      <w:r>
        <w:rPr>
          <w:rtl w:val="true"/>
        </w:rPr>
        <w:t xml:space="preserve">, </w:t>
      </w:r>
      <w:r>
        <w:rPr>
          <w:rtl w:val="true"/>
        </w:rPr>
        <w:t>אלא במקום שאינו מתאים לעקיפה בנסיבות שבהן היא נעשתה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נכתב כי חלקו היחסי של המערער מוחלט</w:t>
      </w:r>
      <w:r>
        <w:rPr>
          <w:rtl w:val="true"/>
        </w:rPr>
        <w:t xml:space="preserve">, </w:t>
      </w:r>
      <w:r>
        <w:rPr>
          <w:rtl w:val="true"/>
        </w:rPr>
        <w:t>והיה עליו לצפות את הנזק שנגרם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נדרש בית המשפט למתחם הענישה הראוי וקבע כי הוא נע בין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לצד בחינת נסיבות העבירה אשר הוזכרו לעיל</w:t>
      </w:r>
      <w:r>
        <w:rPr>
          <w:rtl w:val="true"/>
        </w:rPr>
        <w:t xml:space="preserve">, </w:t>
      </w:r>
      <w:r>
        <w:rPr>
          <w:rtl w:val="true"/>
        </w:rPr>
        <w:t>בית המשפט הזכיר כי הטלת עונש כבד תפגע במערער ובמהלך חייו</w:t>
      </w:r>
      <w:r>
        <w:rPr>
          <w:rtl w:val="true"/>
        </w:rPr>
        <w:t xml:space="preserve">, </w:t>
      </w:r>
      <w:r>
        <w:rPr>
          <w:rtl w:val="true"/>
        </w:rPr>
        <w:t>ומנגד את היעדר נטילת האחריות על מעשיו</w:t>
      </w:r>
      <w:r>
        <w:rPr>
          <w:rtl w:val="true"/>
        </w:rPr>
        <w:t xml:space="preserve">, </w:t>
      </w:r>
      <w:r>
        <w:rPr>
          <w:rtl w:val="true"/>
        </w:rPr>
        <w:t>אף לאחר הרשעתו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ציין כי אילו היה פתח להליך שיקומי</w:t>
      </w:r>
      <w:r>
        <w:rPr>
          <w:rtl w:val="true"/>
        </w:rPr>
        <w:t xml:space="preserve">, </w:t>
      </w:r>
      <w:r>
        <w:rPr>
          <w:rtl w:val="true"/>
        </w:rPr>
        <w:t>ניתן היה לשקול הימנעות מהטלת עונש מאסר בפועל</w:t>
      </w:r>
      <w:r>
        <w:rPr>
          <w:rtl w:val="true"/>
        </w:rPr>
        <w:t xml:space="preserve">, </w:t>
      </w:r>
      <w:r>
        <w:rPr>
          <w:rtl w:val="true"/>
        </w:rPr>
        <w:t>אך בשל עמדתו הנחרצת של המערער</w:t>
      </w:r>
      <w:r>
        <w:rPr>
          <w:rtl w:val="true"/>
        </w:rPr>
        <w:t xml:space="preserve">, </w:t>
      </w:r>
      <w:r>
        <w:rPr>
          <w:rtl w:val="true"/>
        </w:rPr>
        <w:t>המסרב ליטול אחריות</w:t>
      </w:r>
      <w:r>
        <w:rPr>
          <w:rtl w:val="true"/>
        </w:rPr>
        <w:t xml:space="preserve">, </w:t>
      </w:r>
      <w:r>
        <w:rPr>
          <w:rtl w:val="true"/>
        </w:rPr>
        <w:t>לא ניתן להימנע מהטלת עונש מאסר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המערער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פסילה מלהחזיק רישיון נהיגה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לעיזבונו של המנוח בסך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0"/>
        <w:shd w:fill="FFFFFF" w:val="clear"/>
        <w:bidi w:val="1"/>
        <w:spacing w:lineRule="atLeast" w:line="360" w:before="0" w:after="0"/>
        <w:ind w:end="0"/>
        <w:jc w:val="both"/>
        <w:rPr>
          <w:rFonts w:ascii="Garamond" w:hAnsi="Garamond" w:cs="Garamond"/>
          <w:color w:val="333333"/>
          <w:spacing w:val="10"/>
        </w:rPr>
      </w:pPr>
      <w:r>
        <w:rPr>
          <w:rFonts w:ascii="Garamond" w:hAnsi="Garamond" w:cs="Miriam"/>
          <w:color w:val="333333"/>
          <w:rtl w:val="true"/>
        </w:rPr>
        <w:t>תמצית</w:t>
      </w:r>
      <w:r>
        <w:rPr>
          <w:rFonts w:ascii="Garamond" w:hAnsi="Garamond" w:eastAsia="Garamond" w:cs="Garamond"/>
          <w:color w:val="333333"/>
          <w:rtl w:val="true"/>
        </w:rPr>
        <w:t xml:space="preserve"> </w:t>
      </w:r>
      <w:r>
        <w:rPr>
          <w:rFonts w:ascii="Garamond" w:hAnsi="Garamond" w:cs="Miriam"/>
          <w:color w:val="333333"/>
          <w:rtl w:val="true"/>
        </w:rPr>
        <w:t>טענות</w:t>
      </w:r>
      <w:r>
        <w:rPr>
          <w:rFonts w:ascii="Garamond" w:hAnsi="Garamond" w:eastAsia="Garamond" w:cs="Garamond"/>
          <w:color w:val="333333"/>
          <w:rtl w:val="true"/>
        </w:rPr>
        <w:t xml:space="preserve"> </w:t>
      </w:r>
      <w:r>
        <w:rPr>
          <w:rFonts w:ascii="Garamond" w:hAnsi="Garamond" w:cs="Miriam"/>
          <w:color w:val="333333"/>
          <w:rtl w:val="true"/>
        </w:rPr>
        <w:t>הצדדים</w:t>
      </w:r>
      <w:r>
        <w:rPr>
          <w:rFonts w:ascii="Garamond" w:hAnsi="Garamond" w:eastAsia="Garamond" w:cs="Garamond"/>
          <w:color w:val="333333"/>
          <w:rtl w:val="true"/>
        </w:rPr>
        <w:t xml:space="preserve"> </w:t>
      </w:r>
      <w:r>
        <w:rPr>
          <w:rFonts w:ascii="Garamond" w:hAnsi="Garamond" w:cs="Miriam"/>
          <w:color w:val="333333"/>
          <w:rtl w:val="true"/>
        </w:rPr>
        <w:t>בערעור</w:t>
      </w:r>
    </w:p>
    <w:p>
      <w:pPr>
        <w:pStyle w:val="Ruller41"/>
        <w:ind w:end="0"/>
        <w:jc w:val="both"/>
        <w:rPr>
          <w:rFonts w:ascii="Garamond" w:hAnsi="Garamond" w:cs="Garamond"/>
          <w:color w:val="333333"/>
          <w:spacing w:val="10"/>
        </w:rPr>
      </w:pPr>
      <w:r>
        <w:rPr>
          <w:rFonts w:cs="Garamond" w:ascii="Garamond" w:hAnsi="Garamond"/>
          <w:color w:val="333333"/>
          <w:spacing w:val="1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 xml:space="preserve">כלפי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חוזר על עיקרי דבריו בבית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וסבור שבית המשפט קמא שגה ביחס לשני נושאים </w:t>
      </w:r>
      <w:r>
        <w:rPr>
          <w:rtl w:val="true"/>
        </w:rPr>
        <w:t>–</w:t>
      </w:r>
      <w:r>
        <w:rPr>
          <w:rtl w:val="true"/>
        </w:rPr>
        <w:t xml:space="preserve"> קביעות הנוגעות לזירת התאונה וממצאיה</w:t>
      </w:r>
      <w:r>
        <w:rPr>
          <w:rtl w:val="true"/>
        </w:rPr>
        <w:t xml:space="preserve">, </w:t>
      </w:r>
      <w:r>
        <w:rPr>
          <w:rtl w:val="true"/>
        </w:rPr>
        <w:t>וקביעות הנוגעות לעדים שהביאו הצדדים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 xml:space="preserve">המערער כי הוכח </w:t>
      </w:r>
      <w:r>
        <w:rPr>
          <w:rtl w:val="true"/>
        </w:rPr>
        <w:t>"</w:t>
      </w:r>
      <w:r>
        <w:rPr>
          <w:rtl w:val="true"/>
        </w:rPr>
        <w:t>מעל לכל ספק סביר</w:t>
      </w:r>
      <w:r>
        <w:rPr>
          <w:rtl w:val="true"/>
        </w:rPr>
        <w:t xml:space="preserve">" </w:t>
      </w:r>
      <w:r>
        <w:rPr>
          <w:rtl w:val="true"/>
        </w:rPr>
        <w:t>שהוא לא סטה מנתיבו</w:t>
      </w:r>
      <w:r>
        <w:rPr>
          <w:rtl w:val="true"/>
        </w:rPr>
        <w:t xml:space="preserve">, </w:t>
      </w:r>
      <w:r>
        <w:rPr>
          <w:rtl w:val="true"/>
        </w:rPr>
        <w:t>והוא כלל לא עקף רכב אחר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התאונה התרחשה בשל סטיית רכבו של המנוח לנתיב שבו נסע המערער</w:t>
      </w:r>
      <w:r>
        <w:rPr>
          <w:rtl w:val="true"/>
        </w:rPr>
        <w:t xml:space="preserve">. </w:t>
      </w:r>
      <w:r>
        <w:rPr>
          <w:rtl w:val="true"/>
        </w:rPr>
        <w:t>ביחס לממצאים שקבע בית המשפט בנוגע לעדויות</w:t>
      </w:r>
      <w:r>
        <w:rPr>
          <w:rtl w:val="true"/>
        </w:rPr>
        <w:t xml:space="preserve">, </w:t>
      </w:r>
      <w:r>
        <w:rPr>
          <w:rtl w:val="true"/>
        </w:rPr>
        <w:t>המערער סבור כי שגה בית המשפט כשאימץ את עדותו של בוחן התנועה</w:t>
      </w:r>
      <w:r>
        <w:rPr>
          <w:rtl w:val="true"/>
        </w:rPr>
        <w:t xml:space="preserve">, </w:t>
      </w:r>
      <w:r>
        <w:rPr>
          <w:rtl w:val="true"/>
        </w:rPr>
        <w:t>חרף העובדה שנפלו בעדותו סתירות מהותיות</w:t>
      </w:r>
      <w:r>
        <w:rPr>
          <w:rtl w:val="true"/>
        </w:rPr>
        <w:t xml:space="preserve">, </w:t>
      </w:r>
      <w:r>
        <w:rPr>
          <w:rtl w:val="true"/>
        </w:rPr>
        <w:t xml:space="preserve">שהוא </w:t>
      </w:r>
      <w:r>
        <w:rPr>
          <w:rtl w:val="true"/>
        </w:rPr>
        <w:t>"</w:t>
      </w:r>
      <w:r>
        <w:rPr>
          <w:rtl w:val="true"/>
        </w:rPr>
        <w:t>ננעל</w:t>
      </w:r>
      <w:r>
        <w:rPr>
          <w:rtl w:val="true"/>
        </w:rPr>
        <w:t xml:space="preserve">" </w:t>
      </w:r>
      <w:r>
        <w:rPr>
          <w:rtl w:val="true"/>
        </w:rPr>
        <w:t>על עדותו של סלאמה והסתמך עליה בחוות דעתו במקום להסתמך על ממצאים בשטח</w:t>
      </w:r>
      <w:r>
        <w:rPr>
          <w:rtl w:val="true"/>
        </w:rPr>
        <w:t xml:space="preserve">, </w:t>
      </w:r>
      <w:r>
        <w:rPr>
          <w:rtl w:val="true"/>
        </w:rPr>
        <w:t>ושנפלו בעבודתו פגמים רבים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המערער מונה רשימה של מחדלי חקירה אשר אילולי התרחשותם</w:t>
      </w:r>
      <w:r>
        <w:rPr>
          <w:rtl w:val="true"/>
        </w:rPr>
        <w:t xml:space="preserve">, </w:t>
      </w:r>
      <w:r>
        <w:rPr>
          <w:rtl w:val="true"/>
        </w:rPr>
        <w:t>בוחן התנועה היה מגיע למסקנות אחרות</w:t>
      </w:r>
      <w:r>
        <w:rPr>
          <w:rtl w:val="true"/>
        </w:rPr>
        <w:t xml:space="preserve">. </w:t>
      </w:r>
      <w:r>
        <w:rPr>
          <w:rtl w:val="true"/>
        </w:rPr>
        <w:t xml:space="preserve">בין היתר נטען כי בוחן התנועה לא בחן את פלט השיחות שבוצעו מהטלפון הנייד של המנוח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השיחות</w:t>
      </w:r>
      <w:r>
        <w:rPr>
          <w:rtl w:val="true"/>
        </w:rPr>
        <w:t xml:space="preserve">) </w:t>
      </w:r>
      <w:r>
        <w:rPr>
          <w:rtl w:val="true"/>
        </w:rPr>
        <w:t>או את קיומה של דיבורית ברכבו</w:t>
      </w:r>
      <w:r>
        <w:rPr>
          <w:rtl w:val="true"/>
        </w:rPr>
        <w:t xml:space="preserve">; </w:t>
      </w:r>
      <w:r>
        <w:rPr>
          <w:rtl w:val="true"/>
        </w:rPr>
        <w:t>בוחן התנועה לא עיין בתיק הרפואי של המנוח</w:t>
      </w:r>
      <w:r>
        <w:rPr>
          <w:rtl w:val="true"/>
        </w:rPr>
        <w:t xml:space="preserve">; </w:t>
      </w:r>
      <w:r>
        <w:rPr>
          <w:rtl w:val="true"/>
        </w:rPr>
        <w:t>שעת התאונה שצוינה בדו</w:t>
      </w:r>
      <w:r>
        <w:rPr>
          <w:rtl w:val="true"/>
        </w:rPr>
        <w:t>"</w:t>
      </w:r>
      <w:r>
        <w:rPr>
          <w:rtl w:val="true"/>
        </w:rPr>
        <w:t>ח של בוחן התנועה אינה מתיישבת עם פלט השיחות</w:t>
      </w:r>
      <w:r>
        <w:rPr>
          <w:rtl w:val="true"/>
        </w:rPr>
        <w:t xml:space="preserve">; </w:t>
      </w:r>
      <w:r>
        <w:rPr>
          <w:rtl w:val="true"/>
        </w:rPr>
        <w:t>ובוחן התנועה לא חקר עדים אחרים שקשורים לתאונה</w:t>
      </w:r>
      <w:r>
        <w:rPr>
          <w:rtl w:val="true"/>
        </w:rPr>
        <w:t xml:space="preserve">, </w:t>
      </w:r>
      <w:r>
        <w:rPr>
          <w:rtl w:val="true"/>
        </w:rPr>
        <w:t>למעט סלאמה</w:t>
      </w:r>
      <w:r>
        <w:rPr>
          <w:rtl w:val="true"/>
        </w:rPr>
        <w:t xml:space="preserve">, </w:t>
      </w:r>
      <w:r>
        <w:rPr>
          <w:rtl w:val="true"/>
        </w:rPr>
        <w:t>לרבות עדים ששמותיהם עלו בחקירתו של המערער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הועלו טענות מקצועיות נוספות</w:t>
      </w:r>
      <w:r>
        <w:rPr>
          <w:rtl w:val="true"/>
        </w:rPr>
        <w:t xml:space="preserve">, </w:t>
      </w:r>
      <w:r>
        <w:rPr>
          <w:rtl w:val="true"/>
        </w:rPr>
        <w:t>אשר סותרות לכאורה את חוות דעתו של בוחן התנועה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המערער טוען שיש לאמץ את חוות דעתו של המומחה מטעמו</w:t>
      </w:r>
      <w:r>
        <w:rPr>
          <w:rtl w:val="true"/>
        </w:rPr>
        <w:t xml:space="preserve">, </w:t>
      </w:r>
      <w:r>
        <w:rPr>
          <w:rtl w:val="true"/>
        </w:rPr>
        <w:t>הסותרת את ממצאיו ומסקנותיו של בוחן התנועה</w:t>
      </w:r>
      <w:r>
        <w:rPr>
          <w:rtl w:val="true"/>
        </w:rPr>
        <w:t xml:space="preserve">. </w:t>
      </w:r>
      <w:r>
        <w:rPr>
          <w:rtl w:val="true"/>
        </w:rPr>
        <w:t>עוד טוען המערער כי קיימת סבירות גבוהה שמחלת האפילפסיה</w:t>
      </w:r>
      <w:r>
        <w:rPr>
          <w:rtl w:val="true"/>
        </w:rPr>
        <w:t xml:space="preserve">, </w:t>
      </w:r>
      <w:r>
        <w:rPr>
          <w:rtl w:val="true"/>
        </w:rPr>
        <w:t>ממנה סבל המנוח</w:t>
      </w:r>
      <w:r>
        <w:rPr>
          <w:rtl w:val="true"/>
        </w:rPr>
        <w:t xml:space="preserve">, </w:t>
      </w:r>
      <w:r>
        <w:rPr>
          <w:rtl w:val="true"/>
        </w:rPr>
        <w:t>היא שגרמה לו לסטות לנתיבו של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מלין על האמון שנתן בית המשפט קמא בעדויות של סלאמה</w:t>
      </w:r>
      <w:r>
        <w:rPr>
          <w:rtl w:val="true"/>
        </w:rPr>
        <w:t xml:space="preserve">, </w:t>
      </w:r>
      <w:r>
        <w:rPr>
          <w:rtl w:val="true"/>
        </w:rPr>
        <w:t>חרף הסתירות הרבות אשר קיימות בה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סבור שעדותו שלו הייתה סדורה ועקבית לאורך החקירה והמשפט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לשיטת המערער יש לזכותו מעבירת ההמתה בקלות דעת ולכל היותר להרשיעו בעבירה של גרימת מוות ברשלנות</w:t>
      </w:r>
      <w:r>
        <w:rPr>
          <w:rtl w:val="true"/>
        </w:rPr>
        <w:t xml:space="preserve">, </w:t>
      </w:r>
      <w:r>
        <w:rPr>
          <w:rtl w:val="true"/>
        </w:rPr>
        <w:t>לאור ספק שלדבריו קינן בלבו של בית המשפט בנוגע לקיומו של היסוד הנפשי של קלות דעת</w:t>
      </w:r>
      <w:r>
        <w:rPr>
          <w:rtl w:val="true"/>
        </w:rPr>
        <w:t xml:space="preserve">. </w:t>
      </w:r>
      <w:r>
        <w:rPr>
          <w:rtl w:val="true"/>
        </w:rPr>
        <w:t>בהקשר זה הדגיש המערער שמדובר בכביש אשר מופרד בקו הפרדה מקוטע</w:t>
      </w:r>
      <w:r>
        <w:rPr>
          <w:rtl w:val="true"/>
        </w:rPr>
        <w:t xml:space="preserve">, </w:t>
      </w:r>
      <w:r>
        <w:rPr>
          <w:rtl w:val="true"/>
        </w:rPr>
        <w:t>דהיינו שהעקיפה מותרת בו על פי 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לגזר הדין</w:t>
      </w:r>
      <w:r>
        <w:rPr>
          <w:rtl w:val="true"/>
        </w:rPr>
        <w:t xml:space="preserve">, </w:t>
      </w:r>
      <w:r>
        <w:rPr>
          <w:rtl w:val="true"/>
        </w:rPr>
        <w:t>המערער סבור כי ניתן משקל רב מדי לחוסר הסכמתו להודות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ומנגד ניתן משקל נמוך מדי לשיקולים לקולה</w:t>
      </w:r>
      <w:r>
        <w:rPr>
          <w:rtl w:val="true"/>
        </w:rPr>
        <w:t xml:space="preserve">, </w:t>
      </w:r>
      <w:r>
        <w:rPr>
          <w:rtl w:val="true"/>
        </w:rPr>
        <w:t>דוגמת חוות דעת של עובדת סוציאלית מהמחלקה לשירותים חברתיים בעיריית עראבה</w:t>
      </w:r>
      <w:r>
        <w:rPr>
          <w:rtl w:val="true"/>
        </w:rPr>
        <w:t xml:space="preserve">, </w:t>
      </w:r>
      <w:r>
        <w:rPr>
          <w:rtl w:val="true"/>
        </w:rPr>
        <w:t>שהמליצה על מתן ליווי מקצועי ותמיכה רגשית</w:t>
      </w:r>
      <w:r>
        <w:rPr>
          <w:rtl w:val="true"/>
        </w:rPr>
        <w:t xml:space="preserve">.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הנכונות שהביע להצעה זו צריכה הייתה להביא להימנעות מהטלת עונש מאסר בפועל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בית המשפט התעלם מעברו הנקי מפלילים</w:t>
      </w:r>
      <w:r>
        <w:rPr>
          <w:rtl w:val="true"/>
        </w:rPr>
        <w:t xml:space="preserve">; </w:t>
      </w:r>
      <w:r>
        <w:rPr>
          <w:rtl w:val="true"/>
        </w:rPr>
        <w:t>מגילו הצעיר</w:t>
      </w:r>
      <w:r>
        <w:rPr>
          <w:rtl w:val="true"/>
        </w:rPr>
        <w:t xml:space="preserve">; </w:t>
      </w:r>
      <w:r>
        <w:rPr>
          <w:rtl w:val="true"/>
        </w:rPr>
        <w:t>ומהיותו רופא שיניים</w:t>
      </w:r>
      <w:r>
        <w:rPr>
          <w:rtl w:val="true"/>
        </w:rPr>
        <w:t xml:space="preserve">, </w:t>
      </w:r>
      <w:r>
        <w:rPr>
          <w:rtl w:val="true"/>
        </w:rPr>
        <w:t>אשר בעקבות התאונה וההליך המשפטי המתנהל נגדו נפגע מקור פרנסתו</w:t>
      </w:r>
      <w:r>
        <w:rPr>
          <w:rtl w:val="true"/>
        </w:rPr>
        <w:t xml:space="preserve">. </w:t>
      </w:r>
      <w:r>
        <w:rPr>
          <w:rtl w:val="true"/>
        </w:rPr>
        <w:t>עוד טען המערער כי פסילת רישיון הנהיגה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קשה מנשוא מבחינתו</w:t>
      </w:r>
      <w:r>
        <w:rPr>
          <w:rtl w:val="true"/>
        </w:rPr>
        <w:t xml:space="preserve">, </w:t>
      </w:r>
      <w:r>
        <w:rPr>
          <w:rtl w:val="true"/>
        </w:rPr>
        <w:t>ועל כן ביקש לסייג את הפסילה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 המערער להימנע מהטלת עונש של פיצוי</w:t>
      </w:r>
      <w:r>
        <w:rPr>
          <w:rtl w:val="true"/>
        </w:rPr>
        <w:t xml:space="preserve">, </w:t>
      </w:r>
      <w:r>
        <w:rPr>
          <w:rtl w:val="true"/>
        </w:rPr>
        <w:t>בהינתן שעיזבון המנוח רשאי לתבוע את חברת הביטוח שביטחה אותו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סומכת את ידיה על הכרעת הדין ועל גזר הדין ועל כן היא מבקשת לדחות את הערעור על שני חלקיו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יש לדחות את טענותיו של המערער ביחס להכרעת הדין</w:t>
      </w:r>
      <w:r>
        <w:rPr>
          <w:rtl w:val="true"/>
        </w:rPr>
        <w:t xml:space="preserve">, </w:t>
      </w:r>
      <w:r>
        <w:rPr>
          <w:rtl w:val="true"/>
        </w:rPr>
        <w:t>אשר רובן ככולן עוסקות בממצאי מהימנות של עדים ובממצאים עובדתיים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המדינה מדגישה שהטענות המועלות בערעור נדונו כבר בפני בית המשפט קמא ונדחו על ידו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 מקום לטענות המופנות כלפי עדותו של בוחן התנועה</w:t>
      </w:r>
      <w:r>
        <w:rPr>
          <w:rtl w:val="true"/>
        </w:rPr>
        <w:t xml:space="preserve">, </w:t>
      </w:r>
      <w:r>
        <w:rPr>
          <w:rtl w:val="true"/>
        </w:rPr>
        <w:t>שכן בעבודתו לא נפלו פגמים</w:t>
      </w:r>
      <w:r>
        <w:rPr>
          <w:rtl w:val="true"/>
        </w:rPr>
        <w:t xml:space="preserve">, </w:t>
      </w:r>
      <w:r>
        <w:rPr>
          <w:rtl w:val="true"/>
        </w:rPr>
        <w:t>ומסקנותיו מבוססות על הממצאים שנאספו בזירת התאונה</w:t>
      </w:r>
      <w:r>
        <w:rPr>
          <w:rtl w:val="true"/>
        </w:rPr>
        <w:t xml:space="preserve">. </w:t>
      </w:r>
      <w:r>
        <w:rPr>
          <w:rtl w:val="true"/>
        </w:rPr>
        <w:t>עוד סבורה המדינה כי אין בסיס לטענת המערער לפיה יש להניח בסבירות גבוהה שהמנוח סבל מהתקף אפילפטי שהוביל לסטייתו מהנתיב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המדינה שבה ומסבירה כי הסתירות בעדותו של סלאמה נובעות מחוסר רצון להיות מעורב בהליך המתנהל נגד המערער</w:t>
      </w:r>
      <w:r>
        <w:rPr>
          <w:rtl w:val="true"/>
        </w:rPr>
        <w:t xml:space="preserve">, </w:t>
      </w:r>
      <w:r>
        <w:rPr>
          <w:rtl w:val="true"/>
        </w:rPr>
        <w:t>בהיותו מתגורר באותו כפר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נטען כי אין להסיק מגזר דינו של המשפט קמא כי קונן בו ספק כלשהו ביחס להתגבשות היסוד הנפשי של קלות דעת אצל המערער</w:t>
      </w:r>
      <w:r>
        <w:rPr>
          <w:rtl w:val="true"/>
        </w:rPr>
        <w:t xml:space="preserve">. </w:t>
      </w:r>
      <w:r>
        <w:rPr>
          <w:rtl w:val="true"/>
        </w:rPr>
        <w:t>זאת בין היתר לאור דבריו של המערער עצמו הן בחקירתו במשטרה והן בעדותו בבית המשפט</w:t>
      </w:r>
      <w:r>
        <w:rPr>
          <w:rtl w:val="true"/>
        </w:rPr>
        <w:t xml:space="preserve">, </w:t>
      </w:r>
      <w:r>
        <w:rPr>
          <w:rtl w:val="true"/>
        </w:rPr>
        <w:t>לפיהם הוא הכיר את הדרך היטב והיה מודע להיותה מסוכנת ומוגבלת מבחינת שדה הראייה</w:t>
      </w:r>
      <w:r>
        <w:rPr>
          <w:rtl w:val="true"/>
        </w:rPr>
        <w:t xml:space="preserve">. </w:t>
      </w:r>
      <w:r>
        <w:rPr>
          <w:rtl w:val="true"/>
        </w:rPr>
        <w:t>לדברי המדינה</w:t>
      </w:r>
      <w:r>
        <w:rPr>
          <w:rtl w:val="true"/>
        </w:rPr>
        <w:t xml:space="preserve">, </w:t>
      </w:r>
      <w:r>
        <w:rPr>
          <w:rtl w:val="true"/>
        </w:rPr>
        <w:t>העובדה שהמערער דבק בגרסתו שהוא לא ביצע עקיפה</w:t>
      </w:r>
      <w:r>
        <w:rPr>
          <w:rtl w:val="true"/>
        </w:rPr>
        <w:t xml:space="preserve">, </w:t>
      </w:r>
      <w:r>
        <w:rPr>
          <w:rtl w:val="true"/>
        </w:rPr>
        <w:t>חרף הממצאים הברורים אשר סותרים זאת</w:t>
      </w:r>
      <w:r>
        <w:rPr>
          <w:rtl w:val="true"/>
        </w:rPr>
        <w:t xml:space="preserve">, </w:t>
      </w:r>
      <w:r>
        <w:rPr>
          <w:rtl w:val="true"/>
        </w:rPr>
        <w:t>מחזקת את הקביעה שהיה מודע לכך שביצוע העקיפה המיוחסת לו מהווה נטילת סיכון בלתי סביר בהינתן תנאי הדרך</w:t>
      </w:r>
      <w:r>
        <w:rPr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לשיטתה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אין בעובדה כי העקיפה נעשתה בכביש המחולק באמצעות קו הפרדה מקוטע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ולא קו הפרדה רצוף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כדי להשפיע על קביעת היסוד הנפשי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היוצא לעקיפה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אף במקום המופרד בקו הפרדה מקוטע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מבלי לוודא שהדרך פנויה כדי לאפשר את חזרתו לנתיבו בבטיחות וללא סיכון לנסיעתו או לנסיעת רכב אחר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מודע לאפשרות שתיגרם תאונה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לטענתה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עקיפה כזו אינה נעשית מתוך היסח הדעת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אלא מתוך החלטה מודעת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 דוחה גם את הטענות אשר נטענו ביחס לגזר הדין</w:t>
      </w:r>
      <w:r>
        <w:rPr>
          <w:rtl w:val="true"/>
        </w:rPr>
        <w:t xml:space="preserve">, </w:t>
      </w:r>
      <w:r>
        <w:rPr>
          <w:rtl w:val="true"/>
        </w:rPr>
        <w:t>בהיותו מדויק ומנומק כדבעי לדידה</w:t>
      </w:r>
      <w:r>
        <w:rPr>
          <w:rtl w:val="true"/>
        </w:rPr>
        <w:t xml:space="preserve">. </w:t>
      </w:r>
      <w:r>
        <w:rPr>
          <w:rtl w:val="true"/>
        </w:rPr>
        <w:t>לדבריה העונש שהושת על המערער הולם את חומרת המעשה שבו הורשע</w:t>
      </w:r>
      <w:r>
        <w:rPr>
          <w:rtl w:val="true"/>
        </w:rPr>
        <w:t xml:space="preserve">, </w:t>
      </w:r>
      <w:r>
        <w:rPr>
          <w:rtl w:val="true"/>
        </w:rPr>
        <w:t>הנזק הכבד מנשוא שנגרם ממנו</w:t>
      </w:r>
      <w:r>
        <w:rPr>
          <w:rtl w:val="true"/>
        </w:rPr>
        <w:t xml:space="preserve">, </w:t>
      </w:r>
      <w:r>
        <w:rPr>
          <w:rtl w:val="true"/>
        </w:rPr>
        <w:t>ועולה בקנה אחת עם מדיניות הענישה הנהוגה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המדינה מדגישה כי בית המשפט השית על המערער עונש הממוקם בתחתית מתחם הענישה שנקבע</w:t>
      </w:r>
      <w:r>
        <w:rPr>
          <w:rtl w:val="true"/>
        </w:rPr>
        <w:t xml:space="preserve">, </w:t>
      </w:r>
      <w:r>
        <w:rPr>
          <w:rtl w:val="true"/>
        </w:rPr>
        <w:t>חרף סירובו ליטול אחריות על 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הדיונית אציין כי בתום שמיעת טיעוני הצדדים</w:t>
      </w:r>
      <w:r>
        <w:rPr>
          <w:rtl w:val="true"/>
        </w:rPr>
        <w:t xml:space="preserve">, </w:t>
      </w:r>
      <w:r>
        <w:rPr>
          <w:rtl w:val="true"/>
        </w:rPr>
        <w:t>הצענו לצדדים לבחון אפשרות להסדר לפיו יומר סעיף ההרשעה העיקרי מהמתה בקלות דעת לגרם מוות ברשלנות תוך הותרת העונש שהושת על המערער על כנו</w:t>
      </w:r>
      <w:r>
        <w:rPr>
          <w:rtl w:val="true"/>
        </w:rPr>
        <w:t xml:space="preserve">. </w:t>
      </w:r>
      <w:r>
        <w:rPr>
          <w:rtl w:val="true"/>
        </w:rPr>
        <w:t>המדינה הודיעה</w:t>
      </w:r>
      <w:r>
        <w:rPr>
          <w:rtl w:val="true"/>
        </w:rPr>
        <w:t xml:space="preserve">, </w:t>
      </w:r>
      <w:r>
        <w:rPr>
          <w:rtl w:val="true"/>
        </w:rPr>
        <w:t>לאחר שבחנה אפשרות זו</w:t>
      </w:r>
      <w:r>
        <w:rPr>
          <w:rtl w:val="true"/>
        </w:rPr>
        <w:t xml:space="preserve">, </w:t>
      </w:r>
      <w:r>
        <w:rPr>
          <w:rtl w:val="true"/>
        </w:rPr>
        <w:t>כי לא תוכל להסכים בנסיבות המקרה להמרת סעיף העבירה</w:t>
      </w:r>
      <w:r>
        <w:rPr>
          <w:rtl w:val="true"/>
        </w:rPr>
        <w:t xml:space="preserve">, </w:t>
      </w:r>
      <w:r>
        <w:rPr>
          <w:rtl w:val="true"/>
        </w:rPr>
        <w:t>והצדדים הוסיפו טיעונים בכתב בעניין זה</w:t>
      </w:r>
      <w:r>
        <w:rPr>
          <w:rtl w:val="true"/>
        </w:rPr>
        <w:t xml:space="preserve">. </w:t>
      </w:r>
      <w:r>
        <w:rPr>
          <w:rtl w:val="true"/>
        </w:rPr>
        <w:t>הכרעתנו ניתנת תוך שאנו נותנים דעתנו גם להשלמת הטיעונים האמורה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 xml:space="preserve">ובנספחיו ובטיעוני הצדדים בכתב </w:t>
      </w:r>
      <w:r>
        <w:rPr>
          <w:rtl w:val="true"/>
        </w:rPr>
        <w:t>(</w:t>
      </w:r>
      <w:r>
        <w:rPr>
          <w:rtl w:val="true"/>
        </w:rPr>
        <w:t>ובכלל זה הטיעונים המשלימים לעניין סעיף ההרשעה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ושמע</w:t>
      </w:r>
      <w:r>
        <w:rPr>
          <w:rtl w:val="true"/>
        </w:rPr>
        <w:t>נו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טיעוני</w:t>
      </w:r>
      <w:r>
        <w:rPr>
          <w:rtl w:val="true"/>
        </w:rPr>
        <w:t>ם שהעלו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 xml:space="preserve">הגעתי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נעשה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עיקר טענות המערער בנוגע להכרעת הדין מכוונות כלפי ממצאים עובדתיים וממצאי מהימנות אשר קבע בית המשפט קמא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כלל ידוע הוא כי לא בנקל תתערב ערכאת הערעור בקביעות של הערכאה הדיונית ביחס לממצאים מסוגים אלה</w:t>
      </w:r>
      <w:r>
        <w:rPr>
          <w:rtl w:val="true"/>
        </w:rPr>
        <w:t xml:space="preserve">, </w:t>
      </w:r>
      <w:r>
        <w:rPr>
          <w:rtl w:val="true"/>
        </w:rPr>
        <w:t>בשל יכולתה של האחרונה להתרשם באופן בלתי אמצעי מהצדדים</w:t>
      </w:r>
      <w:r>
        <w:rPr>
          <w:rtl w:val="true"/>
        </w:rPr>
        <w:t xml:space="preserve">, </w:t>
      </w:r>
      <w:r>
        <w:rPr>
          <w:rtl w:val="true"/>
        </w:rPr>
        <w:t xml:space="preserve">מראיותיהם ומהעדים מטעמים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</w:t>
      </w:r>
      <w:r>
        <w:rPr/>
        <w:t>1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2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אלגרגאוי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10.10.2021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אלגרגאוי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3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לא מצאתי כי המקרה דנן נמנה עם המקרים החריגים אשר מצדיקים התערבות כאמור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המחלוקת המרכזית אשר התגלעה בין הצדדים נוגעת לנתיב שבו אירעה התאונה</w:t>
      </w:r>
      <w:r>
        <w:rPr>
          <w:rtl w:val="true"/>
        </w:rPr>
        <w:t xml:space="preserve">, </w:t>
      </w:r>
      <w:r>
        <w:rPr>
          <w:rtl w:val="true"/>
        </w:rPr>
        <w:t>ובהתאם לכך</w:t>
      </w:r>
      <w:r>
        <w:rPr>
          <w:rtl w:val="true"/>
        </w:rPr>
        <w:t xml:space="preserve">, </w:t>
      </w:r>
      <w:r>
        <w:rPr>
          <w:rtl w:val="true"/>
        </w:rPr>
        <w:t>ביחס לגורם שהוביל לתאונה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קמא קיבל את עמדת המדינה</w:t>
      </w:r>
      <w:r>
        <w:rPr>
          <w:rtl w:val="true"/>
        </w:rPr>
        <w:t xml:space="preserve">, </w:t>
      </w:r>
      <w:r>
        <w:rPr>
          <w:rtl w:val="true"/>
        </w:rPr>
        <w:t>הגורסת כי התאונה התרחשה בנתיב נסיעתו של המנוח לאחר שהמערער ניסה לעקוף את הרכב שנסע לפניו</w:t>
      </w:r>
      <w:r>
        <w:rPr>
          <w:rtl w:val="true"/>
        </w:rPr>
        <w:t xml:space="preserve">, </w:t>
      </w:r>
      <w:r>
        <w:rPr>
          <w:rtl w:val="true"/>
        </w:rPr>
        <w:t>ובתוך כך סטה לנתיבו של המנוח והתנגש בו</w:t>
      </w:r>
      <w:r>
        <w:rPr>
          <w:rtl w:val="true"/>
        </w:rPr>
        <w:t xml:space="preserve">. </w:t>
      </w:r>
      <w:r>
        <w:rPr>
          <w:rtl w:val="true"/>
        </w:rPr>
        <w:t>בהכרעת דינו המנומקת</w:t>
      </w:r>
      <w:r>
        <w:rPr>
          <w:rtl w:val="true"/>
        </w:rPr>
        <w:t xml:space="preserve">, </w:t>
      </w:r>
      <w:r>
        <w:rPr>
          <w:rtl w:val="true"/>
        </w:rPr>
        <w:t xml:space="preserve">אשר מחזיקה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מפרט בית המשפט קמא את הראיות השונות אשר הוצגו לפניו</w:t>
      </w:r>
      <w:r>
        <w:rPr>
          <w:rtl w:val="true"/>
        </w:rPr>
        <w:t xml:space="preserve">, </w:t>
      </w:r>
      <w:r>
        <w:rPr>
          <w:rtl w:val="true"/>
        </w:rPr>
        <w:t>ובתוכן את חוות דעתו של בוחן התנועה</w:t>
      </w:r>
      <w:r>
        <w:rPr>
          <w:rtl w:val="true"/>
        </w:rPr>
        <w:t xml:space="preserve">. </w:t>
      </w:r>
      <w:r>
        <w:rPr>
          <w:rtl w:val="true"/>
        </w:rPr>
        <w:t>בית המשפט קמא קבע כי עדות זו לא נסתרה בחקירה הנגדית</w:t>
      </w:r>
      <w:r>
        <w:rPr>
          <w:rtl w:val="true"/>
        </w:rPr>
        <w:t xml:space="preserve">, </w:t>
      </w:r>
      <w:r>
        <w:rPr>
          <w:rtl w:val="true"/>
        </w:rPr>
        <w:t xml:space="preserve">ועל כן היא עדיפה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על חוות דעתו של המומחה שהובא מטעם ההגנה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להכרעת דינו של בית המשפט קמא</w:t>
      </w:r>
      <w:r>
        <w:rPr>
          <w:rtl w:val="true"/>
        </w:rPr>
        <w:t xml:space="preserve">), </w:t>
      </w:r>
      <w:r>
        <w:rPr>
          <w:rtl w:val="true"/>
        </w:rPr>
        <w:t>בין היתר כיוון שהאחרון התקשה להסביר בחקירתו הנגדית כיצד עמדתו מתיישבת עם מנגנון התאונה המאפיין התנגשויות חזיתיות</w:t>
      </w:r>
      <w:r>
        <w:rPr>
          <w:rtl w:val="true"/>
        </w:rPr>
        <w:t xml:space="preserve">. </w:t>
      </w:r>
      <w:r>
        <w:rPr>
          <w:rtl w:val="true"/>
        </w:rPr>
        <w:t>סבורני כי אין לקבל את הטענות אשר העלה המערער ביחס לעדות זו</w:t>
      </w:r>
      <w:r>
        <w:rPr>
          <w:rtl w:val="true"/>
        </w:rPr>
        <w:t xml:space="preserve">. </w:t>
      </w:r>
      <w:r>
        <w:rPr>
          <w:rtl w:val="true"/>
        </w:rPr>
        <w:t>הממצאים האמפיריים שעליהם בוחן התנועה הסתמך לצורך מסקנותיו מפורטים בדו</w:t>
      </w:r>
      <w:r>
        <w:rPr>
          <w:rtl w:val="true"/>
        </w:rPr>
        <w:t>"</w:t>
      </w:r>
      <w:r>
        <w:rPr>
          <w:rtl w:val="true"/>
        </w:rPr>
        <w:t>ח שערך בסמוך לתאונה ואשר הוגש לבית המשפט קמא</w:t>
      </w:r>
      <w:r>
        <w:rPr>
          <w:rtl w:val="true"/>
        </w:rPr>
        <w:t xml:space="preserve">, </w:t>
      </w:r>
      <w:r>
        <w:rPr>
          <w:rtl w:val="true"/>
        </w:rPr>
        <w:t>והניתוח שלהם עולה בקנה אחד עם העמדה המקצועית המקובלת ביחס לתוצאותיה של התנגשות חזיתית בין כלי רכב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המערער העלה בפנינו טענות רבות</w:t>
      </w:r>
      <w:r>
        <w:rPr>
          <w:rtl w:val="true"/>
        </w:rPr>
        <w:t xml:space="preserve">, </w:t>
      </w:r>
      <w:r>
        <w:rPr>
          <w:rtl w:val="true"/>
        </w:rPr>
        <w:t>אשר נדחו כבר בהליך קמא</w:t>
      </w:r>
      <w:r>
        <w:rPr>
          <w:rtl w:val="true"/>
        </w:rPr>
        <w:t xml:space="preserve">, </w:t>
      </w:r>
      <w:r>
        <w:rPr>
          <w:rtl w:val="true"/>
        </w:rPr>
        <w:t>והנוגעות רובן ככולן למחדלי חקירה המתייחסים להתנהלותו של בוחן התנועה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אף אם הייתה מתקבלת הטענה שהתקיימו מחדלי החקירה הללו</w:t>
      </w:r>
      <w:r>
        <w:rPr>
          <w:rtl w:val="true"/>
        </w:rPr>
        <w:t xml:space="preserve">, </w:t>
      </w:r>
      <w:r>
        <w:rPr>
          <w:rtl w:val="true"/>
        </w:rPr>
        <w:t>כולם או חלקם</w:t>
      </w:r>
      <w:r>
        <w:rPr>
          <w:rtl w:val="true"/>
        </w:rPr>
        <w:t xml:space="preserve">, </w:t>
      </w:r>
      <w:r>
        <w:rPr>
          <w:rtl w:val="true"/>
        </w:rPr>
        <w:t>הרי שלא היה בהם די</w:t>
      </w:r>
      <w:r>
        <w:rPr>
          <w:rtl w:val="true"/>
        </w:rPr>
        <w:t xml:space="preserve">,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על מנת לבסס ספק סביר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ולהביא לזיכויו של המערער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כידוע לצורך ביסוס ספק כזה נדרש כי יוכח קיומו של מחדל חקירה מהותי המקפח את הגנתו של הנאשם והיורד לשורש העניין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8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52</w:t>
      </w:r>
      <w:r>
        <w:rPr>
          <w:rtl w:val="true"/>
        </w:rPr>
        <w:t xml:space="preserve">). </w:t>
      </w:r>
      <w:r>
        <w:rPr>
          <w:color w:val="000000"/>
          <w:sz w:val="28"/>
          <w:sz w:val="28"/>
          <w:shd w:fill="FFFFFF" w:val="clear"/>
          <w:rtl w:val="true"/>
        </w:rPr>
        <w:t>אינני סבור כי המחדלים לכאורה אשר נמנו בערעור חוצים רף זה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 xml:space="preserve">שכן </w:t>
      </w:r>
      <w:r>
        <w:rPr>
          <w:rtl w:val="true"/>
        </w:rPr>
        <w:t xml:space="preserve">מכלול הראיות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 xml:space="preserve">מספק </w:t>
      </w:r>
      <w:r>
        <w:rPr>
          <w:rtl w:val="true"/>
        </w:rPr>
        <w:t>תמונה</w:t>
      </w:r>
      <w:r>
        <w:rPr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לאופן</w:t>
      </w:r>
      <w:r>
        <w:rPr>
          <w:rtl w:val="true"/>
        </w:rPr>
        <w:t xml:space="preserve"> </w:t>
      </w:r>
      <w:r>
        <w:rPr>
          <w:rtl w:val="true"/>
        </w:rPr>
        <w:t>התרחשות</w:t>
      </w:r>
      <w:r>
        <w:rPr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 לאחר בחינה של הטענות הנוגעות למחדלי חקירה לגופן לא מצאתי בהן ממש</w:t>
      </w:r>
      <w:r>
        <w:rPr>
          <w:rtl w:val="true"/>
        </w:rPr>
        <w:t xml:space="preserve">. </w:t>
      </w:r>
      <w:r>
        <w:rPr>
          <w:rtl w:val="true"/>
        </w:rPr>
        <w:t>כך לדוגמה</w:t>
      </w:r>
      <w:r>
        <w:rPr>
          <w:rtl w:val="true"/>
        </w:rPr>
        <w:t xml:space="preserve">, </w:t>
      </w:r>
      <w:r>
        <w:rPr>
          <w:rtl w:val="true"/>
        </w:rPr>
        <w:t>לצורך טענת הגנה שלפיה המנוח דיבר בטלפון בזמן התאונה</w:t>
      </w:r>
      <w:r>
        <w:rPr>
          <w:rtl w:val="true"/>
        </w:rPr>
        <w:t xml:space="preserve">, </w:t>
      </w:r>
      <w:r>
        <w:rPr>
          <w:rtl w:val="true"/>
        </w:rPr>
        <w:t>המערער מלין על כך שבוחן התנועה לא בחן את פלט השיחות הנכנסות והיוצאות לטלפון של המנוח</w:t>
      </w:r>
      <w:r>
        <w:rPr>
          <w:rtl w:val="true"/>
        </w:rPr>
        <w:t xml:space="preserve">, </w:t>
      </w:r>
      <w:r>
        <w:rPr>
          <w:rtl w:val="true"/>
        </w:rPr>
        <w:t>או את קיומה של דיבורית ברכבו</w:t>
      </w:r>
      <w:r>
        <w:rPr>
          <w:rtl w:val="true"/>
        </w:rPr>
        <w:t xml:space="preserve">. </w:t>
      </w:r>
      <w:r>
        <w:rPr>
          <w:rtl w:val="true"/>
        </w:rPr>
        <w:t>אלא שבוחן התנועה הבהיר שבדיקה זו לא הייתה משנה את מסקנתו</w:t>
      </w:r>
      <w:r>
        <w:rPr>
          <w:rtl w:val="true"/>
        </w:rPr>
        <w:t xml:space="preserve">, </w:t>
      </w:r>
      <w:r>
        <w:rPr>
          <w:rtl w:val="true"/>
        </w:rPr>
        <w:t>ללא תלות בתוצאותיה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הכרעת הדין הוכיחה את טענתו</w:t>
      </w:r>
      <w:r>
        <w:rPr>
          <w:rtl w:val="true"/>
        </w:rPr>
        <w:t xml:space="preserve">, </w:t>
      </w:r>
      <w:r>
        <w:rPr>
          <w:rtl w:val="true"/>
        </w:rPr>
        <w:t>כיוון שחרף העובדה שבית המשפט היה מוכן להניח לטובת המערער כי המנוח שוחח בטלפון בזמן התאונה</w:t>
      </w:r>
      <w:r>
        <w:rPr>
          <w:rtl w:val="true"/>
        </w:rPr>
        <w:t xml:space="preserve">, </w:t>
      </w:r>
      <w:r>
        <w:rPr>
          <w:rtl w:val="true"/>
        </w:rPr>
        <w:t>הוא קבע כי אין בכך כדי להשפיע על קבלת המסקנה שהתאונה התרחשה בנתיבו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בהיותה מבוססת על הממצאים הפיסיים שאותרו על ידי בוחן התנועה במקום התאונה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להכרעת דינו של בית המשפט קמא</w:t>
      </w:r>
      <w:r>
        <w:rPr>
          <w:rtl w:val="true"/>
        </w:rPr>
        <w:t xml:space="preserve">). </w:t>
      </w:r>
      <w:r>
        <w:rPr>
          <w:rtl w:val="true"/>
        </w:rPr>
        <w:t>דעתי דומה גם ביחס לשאר הטענות הנוגעות למחדלי החקירה</w:t>
      </w:r>
      <w:r>
        <w:rPr>
          <w:rtl w:val="true"/>
        </w:rPr>
        <w:t xml:space="preserve">, </w:t>
      </w:r>
      <w:r>
        <w:rPr>
          <w:rtl w:val="true"/>
        </w:rPr>
        <w:t>ואיני רואה צורך להרחיב בנוגע אליהן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גם לאחר עיון בטענות המערער אינני מוצא סיבה להתערב במסקנותיו של בית המשפט קמא ביחס לעדותו של בוחן התנועה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יש לדחות את השגת המערער על האמון שנתן בית המשפט קמא בגרסה שנתן סלאמה</w:t>
      </w:r>
      <w:r>
        <w:rPr>
          <w:rtl w:val="true"/>
        </w:rPr>
        <w:t xml:space="preserve">, </w:t>
      </w:r>
      <w:r>
        <w:rPr>
          <w:rtl w:val="true"/>
        </w:rPr>
        <w:t>עד הראייה הישיר היחיד לתאונה</w:t>
      </w:r>
      <w:r>
        <w:rPr>
          <w:rtl w:val="true"/>
        </w:rPr>
        <w:t xml:space="preserve">, </w:t>
      </w:r>
      <w:r>
        <w:rPr>
          <w:rtl w:val="true"/>
        </w:rPr>
        <w:t>במסגרת הודעתו במשטרה</w:t>
      </w:r>
      <w:r>
        <w:rPr>
          <w:rtl w:val="true"/>
        </w:rPr>
        <w:t xml:space="preserve">, </w:t>
      </w:r>
      <w:r>
        <w:rPr>
          <w:rtl w:val="true"/>
        </w:rPr>
        <w:t>וזאת חרף השינויים שחלו בגרסתו לאורך ההליך בבית המשפט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הערכאה הדיונית היא זו שמתרשמת באופן בלתי אמצעי מהעדים המופיעים לפניה</w:t>
      </w:r>
      <w:r>
        <w:rPr>
          <w:rtl w:val="true"/>
        </w:rPr>
        <w:t xml:space="preserve">, </w:t>
      </w:r>
      <w:r>
        <w:rPr>
          <w:rtl w:val="true"/>
        </w:rPr>
        <w:t>ורק במקרים חריגים מאוד ערכאת הערעור תתערב בממצאי מהימנות כגון דא</w:t>
      </w:r>
      <w:r>
        <w:rPr>
          <w:rtl w:val="true"/>
        </w:rPr>
        <w:t xml:space="preserve">. </w:t>
      </w:r>
      <w:r>
        <w:rPr>
          <w:rtl w:val="true"/>
        </w:rPr>
        <w:t xml:space="preserve">העדות במשטרה הוגשה מכוח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לאור קביעתו של בית המשפט קמא</w:t>
      </w:r>
      <w:r>
        <w:rPr>
          <w:rtl w:val="true"/>
        </w:rPr>
        <w:t xml:space="preserve">, </w:t>
      </w:r>
      <w:r>
        <w:rPr>
          <w:rtl w:val="true"/>
        </w:rPr>
        <w:t>כי השינויים בגרסתו</w:t>
      </w:r>
      <w:r>
        <w:rPr>
          <w:rtl w:val="true"/>
        </w:rPr>
        <w:t xml:space="preserve">, </w:t>
      </w:r>
      <w:r>
        <w:rPr>
          <w:rtl w:val="true"/>
        </w:rPr>
        <w:t>דהיינו החזרה מדבריו הראשוניים</w:t>
      </w:r>
      <w:r>
        <w:rPr>
          <w:rtl w:val="true"/>
        </w:rPr>
        <w:t xml:space="preserve">, </w:t>
      </w:r>
      <w:r>
        <w:rPr>
          <w:rtl w:val="true"/>
        </w:rPr>
        <w:t>נובעים מחוסר רצונו להיות מעורב בהליך פלילי המתנהל נגד המערער</w:t>
      </w:r>
      <w:r>
        <w:rPr>
          <w:rtl w:val="true"/>
        </w:rPr>
        <w:t xml:space="preserve">. </w:t>
      </w:r>
      <w:r>
        <w:rPr>
          <w:rtl w:val="true"/>
        </w:rPr>
        <w:t>לא ראיתי מקום להתערב בהחלטה זו</w:t>
      </w:r>
      <w:r>
        <w:rPr>
          <w:rtl w:val="true"/>
        </w:rPr>
        <w:t xml:space="preserve">, </w:t>
      </w:r>
      <w:r>
        <w:rPr>
          <w:rtl w:val="true"/>
        </w:rPr>
        <w:t>בהיותה סבירה בנסיבות שלפנינו</w:t>
      </w:r>
      <w:r>
        <w:rPr>
          <w:rtl w:val="true"/>
        </w:rPr>
        <w:t xml:space="preserve">, </w:t>
      </w:r>
      <w:r>
        <w:rPr>
          <w:rtl w:val="true"/>
        </w:rPr>
        <w:t>בעיקר כשמביאים בחשבון את העובדה שהמערער מתגורר באותו כפר שבו מתגורר סלאמה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הצדדים טענו בכתב ביחס לטענה בה מיקדנו אותם במסגרת הדיון בערעור</w:t>
      </w:r>
      <w:r>
        <w:rPr>
          <w:rtl w:val="true"/>
        </w:rPr>
        <w:t xml:space="preserve">, </w:t>
      </w:r>
      <w:r>
        <w:rPr>
          <w:rtl w:val="true"/>
        </w:rPr>
        <w:t>לפיה יש להמיר את סעיף העבירה שבו הורשע המערער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המתה בקלות דעת</w:t>
      </w:r>
      <w:r>
        <w:rPr>
          <w:rtl w:val="true"/>
        </w:rPr>
        <w:t>" 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גרימת מוות ברשלנות</w:t>
      </w:r>
      <w:r>
        <w:rPr>
          <w:rtl w:val="true"/>
        </w:rPr>
        <w:t>" (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ההבחנה בין שני סעיפי העבירה הללו נעוצה ביסוד הנפשי הדרוש לשם התגבשותן</w:t>
      </w:r>
      <w:r>
        <w:rPr>
          <w:rtl w:val="true"/>
        </w:rPr>
        <w:t xml:space="preserve">: </w:t>
      </w:r>
      <w:r>
        <w:rPr>
          <w:rtl w:val="true"/>
        </w:rPr>
        <w:t>הרשעה בעבירה של גרימת מוות ברשלנות אינה דורשת הוכחה שהנאשם היה מודע בפועל לאפשרות שתיגרם התוצאה הקטלנית</w:t>
      </w:r>
      <w:r>
        <w:rPr>
          <w:rtl w:val="true"/>
        </w:rPr>
        <w:t xml:space="preserve">, </w:t>
      </w:r>
      <w:r>
        <w:rPr>
          <w:rtl w:val="true"/>
        </w:rPr>
        <w:t xml:space="preserve">אלא רק שאדם מן היישוב היה מודע לאפשרות זו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ואילו היסוד הנפשי הדרוש לשם הרשעה בהמתה בקלות דעת </w:t>
      </w:r>
      <w:r>
        <w:rPr>
          <w:rtl w:val="true"/>
        </w:rPr>
        <w:t>זהה</w:t>
      </w:r>
      <w:r>
        <w:rPr>
          <w:rtl w:val="true"/>
        </w:rPr>
        <w:t xml:space="preserve"> </w:t>
      </w:r>
      <w:r>
        <w:rPr>
          <w:rtl w:val="true"/>
        </w:rPr>
        <w:t>לאחת</w:t>
      </w:r>
      <w:r>
        <w:rPr>
          <w:rtl w:val="true"/>
        </w:rPr>
        <w:t xml:space="preserve"> </w:t>
      </w:r>
      <w:r>
        <w:rPr>
          <w:rtl w:val="true"/>
        </w:rPr>
        <w:t>החלופות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עבירה זו דורשת הוכחת יסוד הכרתי של מודעות לאפשרות גרימת התוצאה ויחס חפצי של נטילת סיכון בלתי סביר</w:t>
      </w:r>
      <w:r>
        <w:rPr>
          <w:rtl w:val="true"/>
        </w:rPr>
        <w:t xml:space="preserve">, </w:t>
      </w:r>
      <w:r>
        <w:rPr>
          <w:rtl w:val="true"/>
        </w:rPr>
        <w:t>מתוך תקווה להצליח למנוע את התממשותו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39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מרדכי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קרמניצר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וחאלד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גנאים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הרפורמה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בעבירות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ההמתה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[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</w:rPr>
          <w:t>2019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]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לאור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עקרונות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היסוד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של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המשפט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ומחקר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היסטורי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והשוואתי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/>
        <w:t>270-266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אלגרגאוי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23-22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במילים אחרות</w:t>
      </w:r>
      <w:r>
        <w:rPr>
          <w:rtl w:val="true"/>
        </w:rPr>
        <w:t xml:space="preserve">: </w:t>
      </w:r>
      <w:r>
        <w:rPr>
          <w:rtl w:val="true"/>
        </w:rPr>
        <w:t xml:space="preserve">שני היסודות הנפשיים </w:t>
      </w:r>
      <w:r>
        <w:rPr>
          <w:rtl w:val="true"/>
        </w:rPr>
        <w:t>–</w:t>
      </w:r>
      <w:r>
        <w:rPr>
          <w:rtl w:val="true"/>
        </w:rPr>
        <w:t xml:space="preserve"> רשלנות וקלות דעת </w:t>
      </w:r>
      <w:r>
        <w:rPr>
          <w:rtl w:val="true"/>
        </w:rPr>
        <w:t>–</w:t>
      </w:r>
      <w:r>
        <w:rPr>
          <w:rtl w:val="true"/>
        </w:rPr>
        <w:t xml:space="preserve"> כרוכים בנטילת סיכון בלתי סביר מבחינה אובייקטיבית לגרימת תוצאה בה אין הנאשם מעוניין</w:t>
      </w:r>
      <w:r>
        <w:rPr>
          <w:rtl w:val="true"/>
        </w:rPr>
        <w:t xml:space="preserve">; </w:t>
      </w:r>
      <w:r>
        <w:rPr>
          <w:rtl w:val="true"/>
        </w:rPr>
        <w:t>ההבדל ביניהן נוגע במודעות הסובייקטיבית של הנאשם לקיומו של סיכון זה</w:t>
      </w:r>
      <w:r>
        <w:rPr>
          <w:rtl w:val="true"/>
        </w:rPr>
        <w:t xml:space="preserve">: </w:t>
      </w:r>
      <w:r>
        <w:rPr>
          <w:rtl w:val="true"/>
        </w:rPr>
        <w:t xml:space="preserve">הרשלן אינו מודע מבחינה סובייקטיבית לקיומו של הסיכון הבלתי סביר </w:t>
      </w:r>
      <w:r>
        <w:rPr>
          <w:rtl w:val="true"/>
        </w:rPr>
        <w:t>(</w:t>
      </w:r>
      <w:r>
        <w:rPr>
          <w:rtl w:val="true"/>
        </w:rPr>
        <w:t>למרות שהיה צריך להיות מודע לו</w:t>
      </w:r>
      <w:r>
        <w:rPr>
          <w:rtl w:val="true"/>
        </w:rPr>
        <w:t xml:space="preserve">); </w:t>
      </w:r>
      <w:r>
        <w:rPr>
          <w:rtl w:val="true"/>
        </w:rPr>
        <w:t xml:space="preserve">קל הדעת מודע מבחינה סובייקטיבית לקיומו של הסיכון הבלתי סביר </w:t>
      </w:r>
      <w:r>
        <w:rPr>
          <w:rtl w:val="true"/>
        </w:rPr>
        <w:t>(</w:t>
      </w:r>
      <w:r>
        <w:rPr>
          <w:rtl w:val="true"/>
        </w:rPr>
        <w:t>ומחליט במודע ליטול אותו מתוך תקווה שלא יתממש</w:t>
      </w:r>
      <w:r>
        <w:rPr>
          <w:rtl w:val="true"/>
        </w:rPr>
        <w:t xml:space="preserve">). </w:t>
      </w:r>
      <w:r>
        <w:rPr>
          <w:rtl w:val="true"/>
        </w:rPr>
        <w:t xml:space="preserve">זוהי כל ההבחנה כולה </w:t>
      </w:r>
      <w:r>
        <w:rPr>
          <w:rtl w:val="true"/>
        </w:rPr>
        <w:t>–</w:t>
      </w:r>
      <w:r>
        <w:rPr>
          <w:rtl w:val="true"/>
        </w:rPr>
        <w:t xml:space="preserve"> ואידך</w:t>
      </w:r>
      <w:r>
        <w:rPr>
          <w:rtl w:val="true"/>
        </w:rPr>
        <w:t xml:space="preserve">, </w:t>
      </w:r>
      <w:r>
        <w:rPr>
          <w:rtl w:val="true"/>
        </w:rPr>
        <w:t>יישומה הוא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אף אם ביצע את העקיפה כפי שנקבע</w:t>
      </w:r>
      <w:r>
        <w:rPr>
          <w:rtl w:val="true"/>
        </w:rPr>
        <w:t xml:space="preserve">, </w:t>
      </w:r>
      <w:r>
        <w:rPr>
          <w:rtl w:val="true"/>
        </w:rPr>
        <w:t>וגרם בכך לתאונה</w:t>
      </w:r>
      <w:r>
        <w:rPr>
          <w:rtl w:val="true"/>
        </w:rPr>
        <w:t xml:space="preserve">, </w:t>
      </w:r>
      <w:r>
        <w:rPr>
          <w:rtl w:val="true"/>
        </w:rPr>
        <w:t>הרי שביציאה לעקיפה הוא לא נטל סיכון בלתי סביר מתוך מודעות לקיומו</w:t>
      </w:r>
      <w:r>
        <w:rPr>
          <w:rtl w:val="true"/>
        </w:rPr>
        <w:t xml:space="preserve">, </w:t>
      </w:r>
      <w:r>
        <w:rPr>
          <w:rtl w:val="true"/>
        </w:rPr>
        <w:t>אלא לכל היותר התרשל בדרך בה נהג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לשיטתו אף אם ביצוע העקיפה</w:t>
      </w:r>
      <w:r>
        <w:rPr>
          <w:rtl w:val="true"/>
        </w:rPr>
        <w:t xml:space="preserve">, </w:t>
      </w:r>
      <w:r>
        <w:rPr>
          <w:rtl w:val="true"/>
        </w:rPr>
        <w:t>בהינתן המקום</w:t>
      </w:r>
      <w:r>
        <w:rPr>
          <w:rtl w:val="true"/>
        </w:rPr>
        <w:t xml:space="preserve">, </w:t>
      </w:r>
      <w:r>
        <w:rPr>
          <w:rtl w:val="true"/>
        </w:rPr>
        <w:t>הזמן והדרך בו בוצעה</w:t>
      </w:r>
      <w:r>
        <w:rPr>
          <w:rtl w:val="true"/>
        </w:rPr>
        <w:t xml:space="preserve">, </w:t>
      </w:r>
      <w:r>
        <w:rPr>
          <w:rtl w:val="true"/>
        </w:rPr>
        <w:t>יצר סיכון בלתי סביר</w:t>
      </w:r>
      <w:r>
        <w:rPr>
          <w:rtl w:val="true"/>
        </w:rPr>
        <w:t xml:space="preserve">, </w:t>
      </w:r>
      <w:r>
        <w:rPr>
          <w:rtl w:val="true"/>
        </w:rPr>
        <w:t>הוא עצמו לא היה מודע לכך</w:t>
      </w:r>
      <w:r>
        <w:rPr>
          <w:rtl w:val="true"/>
        </w:rPr>
        <w:t xml:space="preserve">, </w:t>
      </w:r>
      <w:r>
        <w:rPr>
          <w:rtl w:val="true"/>
        </w:rPr>
        <w:t>ועל כן ניתן ליחס לו יסוד נפשי של התרשלות</w:t>
      </w:r>
      <w:r>
        <w:rPr>
          <w:rtl w:val="true"/>
        </w:rPr>
        <w:t xml:space="preserve">, </w:t>
      </w:r>
      <w:r>
        <w:rPr>
          <w:rtl w:val="true"/>
        </w:rPr>
        <w:t>אך לא של קלות דעת</w:t>
      </w:r>
      <w:r>
        <w:rPr>
          <w:rtl w:val="true"/>
        </w:rPr>
        <w:t xml:space="preserve">. </w:t>
      </w:r>
      <w:r>
        <w:rPr>
          <w:rtl w:val="true"/>
        </w:rPr>
        <w:t xml:space="preserve">יצוין כי טענה זו נפוצה מאוד בקרב נאשמים בעבירות הקשורות בתאונות דרכים </w:t>
      </w:r>
      <w:r>
        <w:rPr>
          <w:rtl w:val="true"/>
        </w:rPr>
        <w:t>(</w:t>
      </w:r>
      <w:r>
        <w:rPr>
          <w:rtl w:val="true"/>
        </w:rPr>
        <w:t xml:space="preserve">ראו בעניין זה את דבריי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אלגרגאוי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26-25</w:t>
      </w:r>
      <w:r>
        <w:rPr>
          <w:rtl w:val="true"/>
        </w:rPr>
        <w:t xml:space="preserve"> </w:t>
      </w:r>
      <w:r>
        <w:rPr>
          <w:rtl w:val="true"/>
        </w:rPr>
        <w:t>ואת ההפניות שם</w:t>
      </w:r>
      <w:r>
        <w:rPr>
          <w:rtl w:val="true"/>
        </w:rPr>
        <w:t xml:space="preserve">). </w:t>
      </w:r>
      <w:r>
        <w:rPr>
          <w:rtl w:val="true"/>
        </w:rPr>
        <w:t>משאיננו יכולים לבחון כליות ולב</w:t>
      </w:r>
      <w:r>
        <w:rPr>
          <w:rtl w:val="true"/>
        </w:rPr>
        <w:t xml:space="preserve">, </w:t>
      </w:r>
      <w:r>
        <w:rPr>
          <w:rtl w:val="true"/>
        </w:rPr>
        <w:t>לשם קביעת היסוד הנפשי עלינו להיעזר לעיתים קרובות בחזקות עובדתיות ובעדויות של המעורבים בתאונה והעדים לה</w:t>
      </w:r>
      <w:r>
        <w:rPr>
          <w:rtl w:val="true"/>
        </w:rPr>
        <w:t xml:space="preserve">. </w:t>
      </w:r>
      <w:r>
        <w:rPr>
          <w:rtl w:val="true"/>
        </w:rPr>
        <w:t>חזקה עובדתית ראשונה אשר רלוונטית לענייננו היא שאדם מודע לתוצאות הטבעיות של מעשיו</w:t>
      </w:r>
      <w:r>
        <w:rPr>
          <w:rtl w:val="true"/>
        </w:rPr>
        <w:t xml:space="preserve">, </w:t>
      </w:r>
      <w:r>
        <w:rPr>
          <w:rtl w:val="true"/>
        </w:rPr>
        <w:t xml:space="preserve">והשנייה היא שהתרשלות רבתי מלמדת על קלות דעת ביחס לתוצאות הצפויה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15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גלפונד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</w:t>
      </w:r>
      <w:r>
        <w:rPr/>
        <w:t>2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גלפונד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עסקינן במקרה בו אין צורך להתבסס על חזקות אלה לבדן</w:t>
      </w:r>
      <w:r>
        <w:rPr>
          <w:rtl w:val="true"/>
        </w:rPr>
        <w:t xml:space="preserve">, </w:t>
      </w:r>
      <w:r>
        <w:rPr>
          <w:rtl w:val="true"/>
        </w:rPr>
        <w:t>שכן ניתן ללמוד את מודעות המערער לסיכון הבלתי סביר שהיה כרוך במעשיו בראש ובראשונה מתוך עדותו שלו ומתוך התנהלותו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אין בקיומו של תמרור או של סימון כלשהו על הכביש כדי להשליך בהכרח על קביעת היסוד הנפשי שהיה לנאשם בעת ביצוע העבירה </w:t>
      </w:r>
      <w:r>
        <w:rPr>
          <w:rtl w:val="true"/>
        </w:rPr>
        <w:t>(</w:t>
      </w:r>
      <w:r>
        <w:rPr>
          <w:rtl w:val="true"/>
        </w:rPr>
        <w:t>להרשעה בעבירת הריגה</w:t>
      </w:r>
      <w:r>
        <w:rPr>
          <w:rtl w:val="true"/>
        </w:rPr>
        <w:t xml:space="preserve">, </w:t>
      </w:r>
      <w:r>
        <w:rPr>
          <w:rtl w:val="true"/>
        </w:rPr>
        <w:t xml:space="preserve">לפני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במקרים של עקיפה בכביש אשר מופרד בקו הפרדה מקוטע</w:t>
      </w:r>
      <w:r>
        <w:rPr>
          <w:rtl w:val="true"/>
        </w:rPr>
        <w:t xml:space="preserve">, 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7461/03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דסוקה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11.12.2003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דסוקה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גלפונד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 שגם במקום המותר בעקיפה מבחינת סימני הדרך יתכנו נסיבות בהן ידוע לנהג כי ביצוע עקיפה</w:t>
      </w:r>
      <w:r>
        <w:rPr>
          <w:rtl w:val="true"/>
        </w:rPr>
        <w:t xml:space="preserve">, </w:t>
      </w:r>
      <w:r>
        <w:rPr>
          <w:rtl w:val="true"/>
        </w:rPr>
        <w:t>בתנאים ובנסיבות בהן מדובר</w:t>
      </w:r>
      <w:r>
        <w:rPr>
          <w:rtl w:val="true"/>
        </w:rPr>
        <w:t xml:space="preserve">, </w:t>
      </w:r>
      <w:r>
        <w:rPr>
          <w:rtl w:val="true"/>
        </w:rPr>
        <w:t>מהווה נטילת סיכון בלתי סביר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 ידוע לנהג שתנאי הראות</w:t>
      </w:r>
      <w:r>
        <w:rPr>
          <w:rtl w:val="true"/>
        </w:rPr>
        <w:t xml:space="preserve">, </w:t>
      </w:r>
      <w:r>
        <w:rPr>
          <w:rtl w:val="true"/>
        </w:rPr>
        <w:t>גודלו של הרכב שלפניו או מהירותו</w:t>
      </w:r>
      <w:r>
        <w:rPr>
          <w:rtl w:val="true"/>
        </w:rPr>
        <w:t xml:space="preserve">, </w:t>
      </w:r>
      <w:r>
        <w:rPr>
          <w:rtl w:val="true"/>
        </w:rPr>
        <w:t>אינם מאפשרים יציאה בטוחה לעקיפה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מדבריו של המערער ניכר שהוא הכיר היטב את מקום התאונה</w:t>
      </w:r>
      <w:r>
        <w:rPr>
          <w:rtl w:val="true"/>
        </w:rPr>
        <w:t xml:space="preserve">, </w:t>
      </w:r>
      <w:r>
        <w:rPr>
          <w:rtl w:val="true"/>
        </w:rPr>
        <w:t xml:space="preserve">והוא אף העיד על עצמו שהוא נוסע בו באופן שבועי </w:t>
      </w:r>
      <w:r>
        <w:rPr>
          <w:rtl w:val="true"/>
        </w:rPr>
        <w:t>(</w:t>
      </w:r>
      <w:r>
        <w:rPr>
          <w:rtl w:val="true"/>
        </w:rPr>
        <w:t xml:space="preserve">שורות </w:t>
      </w:r>
      <w:r>
        <w:rPr/>
        <w:t>19-16</w:t>
      </w:r>
      <w:r>
        <w:rPr>
          <w:rtl w:val="true"/>
        </w:rPr>
        <w:t xml:space="preserve"> </w:t>
      </w:r>
      <w:r>
        <w:rPr>
          <w:rtl w:val="true"/>
        </w:rPr>
        <w:t xml:space="preserve">לחקירת המערער על ידי בוחן התנועה מיום </w:t>
      </w:r>
      <w:r>
        <w:rPr/>
        <w:t>26.6.2018</w:t>
      </w:r>
      <w:r>
        <w:rPr>
          <w:rtl w:val="true"/>
        </w:rPr>
        <w:t xml:space="preserve">). </w:t>
      </w:r>
      <w:r>
        <w:rPr>
          <w:rtl w:val="true"/>
        </w:rPr>
        <w:t>בהמשך לכך מסר כי לא היה עולה על דעתו לבצע עקיפה במקום זה</w:t>
      </w:r>
      <w:r>
        <w:rPr>
          <w:rtl w:val="true"/>
        </w:rPr>
        <w:t xml:space="preserve">, </w:t>
      </w:r>
      <w:r>
        <w:rPr>
          <w:rtl w:val="true"/>
        </w:rPr>
        <w:t>מאחר שידוע לו כי הדבר מסוכן</w:t>
      </w:r>
      <w:r>
        <w:rPr>
          <w:rtl w:val="true"/>
        </w:rPr>
        <w:t xml:space="preserve">. </w:t>
      </w:r>
      <w:r>
        <w:rPr>
          <w:rtl w:val="true"/>
        </w:rPr>
        <w:t>ואלה פרטיי עדותו בעניין זה</w:t>
      </w:r>
      <w:r>
        <w:rPr>
          <w:rtl w:val="true"/>
        </w:rPr>
        <w:t xml:space="preserve">: </w:t>
      </w:r>
      <w:r>
        <w:rPr>
          <w:rtl w:val="true"/>
        </w:rPr>
        <w:t xml:space="preserve">לשאלה האם הוא זוכר שעקף רכב בצבע לבן לפני ההתנגשות הוא ענה כי כלל לא היה רכב לפניו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בשורות </w:t>
      </w:r>
      <w:r>
        <w:rPr/>
        <w:t>75-74</w:t>
      </w:r>
      <w:r>
        <w:rPr>
          <w:rtl w:val="true"/>
        </w:rPr>
        <w:t xml:space="preserve">), </w:t>
      </w:r>
      <w:r>
        <w:rPr>
          <w:rtl w:val="true"/>
        </w:rPr>
        <w:t>ולאחר מכן ציין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לעקוף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בכביש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בשורות </w:t>
      </w:r>
      <w:r>
        <w:rPr/>
        <w:t>80-79</w:t>
      </w:r>
      <w:r>
        <w:rPr>
          <w:rtl w:val="true"/>
        </w:rPr>
        <w:t xml:space="preserve">). </w:t>
      </w:r>
      <w:r>
        <w:rPr>
          <w:rtl w:val="true"/>
        </w:rPr>
        <w:t>וכן אמר בתשובתו לשאלה של בוחן התנועה האם מותר לעקוף באזור שבו התרחשה התאונה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מקווקו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בסיבוב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בשורות </w:t>
      </w:r>
      <w:r>
        <w:rPr/>
        <w:t>83-81</w:t>
      </w:r>
      <w:r>
        <w:rPr>
          <w:rtl w:val="true"/>
        </w:rPr>
        <w:t xml:space="preserve">. </w:t>
      </w:r>
      <w:r>
        <w:rPr>
          <w:rtl w:val="true"/>
        </w:rPr>
        <w:t>המערער אישר בעדותו בבית המשפט כי מסר את הדברים הללו בחקירתו במשטרה</w:t>
      </w:r>
      <w:r>
        <w:rPr>
          <w:rtl w:val="true"/>
        </w:rPr>
        <w:t xml:space="preserve">, </w:t>
      </w:r>
      <w:r>
        <w:rPr>
          <w:rtl w:val="true"/>
        </w:rPr>
        <w:t>ולא התכחש להם</w:t>
      </w:r>
      <w:r>
        <w:rPr>
          <w:rtl w:val="true"/>
        </w:rPr>
        <w:t xml:space="preserve">. </w:t>
      </w:r>
      <w:r>
        <w:rPr>
          <w:rtl w:val="true"/>
        </w:rPr>
        <w:t xml:space="preserve">ראו פרוטוקול </w:t>
      </w:r>
      <w:r>
        <w:rPr/>
        <w:t>2.1.2020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29-7</w:t>
      </w:r>
      <w:r>
        <w:rPr>
          <w:rtl w:val="true"/>
        </w:rPr>
        <w:t xml:space="preserve">).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משנקבע כי בניגוד לגרסתו המערער אכן יצא לניסיון עקיפה</w:t>
      </w:r>
      <w:r>
        <w:rPr>
          <w:rtl w:val="true"/>
        </w:rPr>
        <w:t xml:space="preserve">, </w:t>
      </w:r>
      <w:r>
        <w:rPr>
          <w:rtl w:val="true"/>
        </w:rPr>
        <w:t>אין מנוס מקביעה שהוא עשה כן תוך מודעות לסיכון שהוא נוטל ביציאתו לעקיפה בכביש הררי ומסוכן</w:t>
      </w:r>
      <w:r>
        <w:rPr>
          <w:rtl w:val="true"/>
        </w:rPr>
        <w:t xml:space="preserve">, </w:t>
      </w:r>
      <w:r>
        <w:rPr>
          <w:rtl w:val="true"/>
        </w:rPr>
        <w:t>אשר שדה הראייה בו מוגבל</w:t>
      </w:r>
      <w:r>
        <w:rPr>
          <w:rtl w:val="true"/>
        </w:rPr>
        <w:t xml:space="preserve">, </w:t>
      </w:r>
      <w:r>
        <w:rPr>
          <w:rtl w:val="true"/>
        </w:rPr>
        <w:t>וכי הוא היה מודע לסיכון הבלתי סביר שיש בכך לגרימת התוצאה הקטלנית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מקובלת עלי טענת המדינה לפיה גם העובדה שהמערער דבק בגרסה המתכחשת לעצם ביצוע העקיפה לאורך כל ההליך</w:t>
      </w:r>
      <w:r>
        <w:rPr>
          <w:rtl w:val="true"/>
        </w:rPr>
        <w:t xml:space="preserve">, </w:t>
      </w:r>
      <w:r>
        <w:rPr>
          <w:rtl w:val="true"/>
        </w:rPr>
        <w:t>ולא חזר בו גם נוכח ממצאי המומחים מהזירה</w:t>
      </w:r>
      <w:r>
        <w:rPr>
          <w:rtl w:val="true"/>
        </w:rPr>
        <w:t xml:space="preserve">, </w:t>
      </w:r>
      <w:r>
        <w:rPr>
          <w:rtl w:val="true"/>
        </w:rPr>
        <w:t>מחזקת את הקביעה שהוא היה מודע לכך שביצוע העקיפה המיוחס לו יוצר סיכון בלתי סביר לתאונה</w:t>
      </w:r>
      <w:r>
        <w:rPr>
          <w:rtl w:val="true"/>
        </w:rPr>
        <w:t xml:space="preserve">, </w:t>
      </w:r>
      <w:r>
        <w:rPr>
          <w:rtl w:val="true"/>
        </w:rPr>
        <w:t>ולא היה מעוניין כלל להפוך עניין זה לחלק מיריעת המחלוקת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למעלה מהדרוש</w:t>
      </w:r>
      <w:r>
        <w:rPr>
          <w:rtl w:val="true"/>
        </w:rPr>
        <w:t xml:space="preserve">, </w:t>
      </w:r>
      <w:r>
        <w:rPr>
          <w:rtl w:val="true"/>
        </w:rPr>
        <w:t>יצוין כי חיזוק נוסף לכך שלמערער היה ברור כי למרות סימון הדרך</w:t>
      </w:r>
      <w:r>
        <w:rPr>
          <w:rtl w:val="true"/>
        </w:rPr>
        <w:t xml:space="preserve">, </w:t>
      </w:r>
      <w:r>
        <w:rPr>
          <w:rtl w:val="true"/>
        </w:rPr>
        <w:t>העקיפה בנסיבות המקרה הייתה כרוכה בנטילת סיכון בלתי סביר</w:t>
      </w:r>
      <w:r>
        <w:rPr>
          <w:rtl w:val="true"/>
        </w:rPr>
        <w:t xml:space="preserve">, </w:t>
      </w:r>
      <w:r>
        <w:rPr>
          <w:rtl w:val="true"/>
        </w:rPr>
        <w:t>נמצא גם בהודעתו של עד הראייה סלאמה במשטרה</w:t>
      </w:r>
      <w:r>
        <w:rPr>
          <w:rtl w:val="true"/>
        </w:rPr>
        <w:t xml:space="preserve">. </w:t>
      </w:r>
      <w:r>
        <w:rPr>
          <w:rtl w:val="true"/>
        </w:rPr>
        <w:t>במענה לשאלה מאיזה מרחק עקף אותו המערער</w:t>
      </w:r>
      <w:r>
        <w:rPr>
          <w:rtl w:val="true"/>
        </w:rPr>
        <w:t xml:space="preserve">, </w:t>
      </w:r>
      <w:r>
        <w:rPr>
          <w:rtl w:val="true"/>
        </w:rPr>
        <w:t>השיב סלאמה</w:t>
      </w:r>
      <w:r>
        <w:rPr>
          <w:rtl w:val="true"/>
        </w:rPr>
        <w:t>: "</w:t>
      </w:r>
      <w:r>
        <w:rPr>
          <w:rtl w:val="true"/>
        </w:rPr>
        <w:t xml:space="preserve">הרכב הפרטי היה </w:t>
      </w:r>
      <w:r>
        <w:rPr/>
        <w:t>20-15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 xml:space="preserve">מקסימום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תאונה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29-26</w:t>
      </w:r>
      <w:r>
        <w:rPr>
          <w:rtl w:val="true"/>
        </w:rPr>
        <w:t xml:space="preserve"> </w:t>
      </w:r>
      <w:r>
        <w:rPr>
          <w:rtl w:val="true"/>
        </w:rPr>
        <w:t xml:space="preserve">לעדותו של סלאמה במשטרה מיום </w:t>
      </w:r>
      <w:r>
        <w:rPr/>
        <w:t>24.6.2018</w:t>
      </w:r>
      <w:r>
        <w:rPr>
          <w:rtl w:val="true"/>
        </w:rPr>
        <w:t xml:space="preserve">; 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'). </w:t>
      </w:r>
      <w:r>
        <w:rPr>
          <w:rtl w:val="true"/>
        </w:rPr>
        <w:t>מכאן שלהתרשמותו של סלאמה העקיפה בה מדובר הייתה בגדר התרשלות רבתי</w:t>
      </w:r>
      <w:r>
        <w:rPr>
          <w:rtl w:val="true"/>
        </w:rPr>
        <w:t xml:space="preserve">, </w:t>
      </w:r>
      <w:r>
        <w:rPr>
          <w:rtl w:val="true"/>
        </w:rPr>
        <w:t>שקיים סיכוי גבוה כי תוביל לתאונה</w:t>
      </w:r>
      <w:r>
        <w:rPr>
          <w:rtl w:val="true"/>
        </w:rPr>
        <w:t xml:space="preserve">.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הרי שניתן להניח על בסיס החזקה של מודעות להתרשלות רבתי כי גם למערער</w:t>
      </w:r>
      <w:r>
        <w:rPr>
          <w:rtl w:val="true"/>
        </w:rPr>
        <w:t xml:space="preserve">, </w:t>
      </w:r>
      <w:r>
        <w:rPr>
          <w:rtl w:val="true"/>
        </w:rPr>
        <w:t>כמי שמכיר היטב את תנאי הדרך</w:t>
      </w:r>
      <w:r>
        <w:rPr>
          <w:rtl w:val="true"/>
        </w:rPr>
        <w:t xml:space="preserve">, </w:t>
      </w:r>
      <w:r>
        <w:rPr>
          <w:rtl w:val="true"/>
        </w:rPr>
        <w:t xml:space="preserve">היה ידוע שמדובר בעקיפה הכרוכה בנטילת סיכון בלתי סביר </w:t>
      </w:r>
      <w:r>
        <w:rPr>
          <w:rtl w:val="true"/>
        </w:rPr>
        <w:t>(</w:t>
      </w:r>
      <w:r>
        <w:rPr>
          <w:rtl w:val="true"/>
        </w:rPr>
        <w:t>למקרה דומה</w:t>
      </w:r>
      <w:r>
        <w:rPr>
          <w:rtl w:val="true"/>
        </w:rPr>
        <w:t xml:space="preserve">, </w:t>
      </w:r>
      <w:r>
        <w:rPr>
          <w:rtl w:val="true"/>
        </w:rPr>
        <w:t>בו בית המשפט נעזר בעדויות של עדי ראייה לתאונת דרכים לשם קביעת היסוד הנפשי</w:t>
      </w:r>
      <w:r>
        <w:rPr>
          <w:rtl w:val="true"/>
        </w:rPr>
        <w:t xml:space="preserve">, 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גלפונד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color w:val="000000"/>
          <w:sz w:val="28"/>
          <w:sz w:val="28"/>
          <w:shd w:fill="FFFFFF" w:val="clear"/>
          <w:rtl w:val="true"/>
        </w:rPr>
        <w:t>לנוכח האמור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 xml:space="preserve">לא מצאתי כי </w:t>
      </w:r>
      <w:r>
        <w:rPr>
          <w:rtl w:val="true"/>
        </w:rPr>
        <w:t xml:space="preserve">המערער הצביע על טעות </w:t>
      </w:r>
      <w:r>
        <w:rPr>
          <w:color w:val="000000"/>
          <w:sz w:val="28"/>
          <w:sz w:val="28"/>
          <w:shd w:fill="FFFFFF" w:val="clear"/>
          <w:rtl w:val="true"/>
        </w:rPr>
        <w:t>בהכרעת דינו של בית המשפט קמא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מדובר בהכרעת דין מבוססת ומנומקת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הנשענת על התרשמותה של הערכאה הדיונית מהעדויות אשר הובאו בפניה ומהממצאים בזירת התאונה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ככזו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לא קמה כל עילה להתערבות ערכאת הערעור בה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לאור זאת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אציע לחבריי לדחות את הערעור שהוגש ביחס להכרעת הדין</w:t>
      </w:r>
      <w:r>
        <w:rPr>
          <w:color w:val="000000"/>
          <w:sz w:val="28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הלכה פסוקה היא </w:t>
      </w:r>
      <w:r>
        <w:rPr>
          <w:rFonts w:ascii="Arial TUR;Arial" w:hAnsi="Arial TUR;Arial" w:cs="Arial TUR;Arial"/>
          <w:sz w:val="22"/>
          <w:sz w:val="22"/>
          <w:rtl w:val="true"/>
        </w:rPr>
        <w:t>ש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תיטה שלא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 xml:space="preserve">שהשיתה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54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אלגרגאוי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37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כפי שהובהר</w:t>
      </w:r>
      <w:r>
        <w:rPr>
          <w:rtl w:val="true"/>
        </w:rPr>
        <w:t xml:space="preserve">, </w:t>
      </w:r>
      <w:r>
        <w:rPr>
          <w:rtl w:val="true"/>
        </w:rPr>
        <w:t>ביציאתו של המערער לעקיפה בכביש מסוכן בנסיבות האמורות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שמעשהו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להסתיים</w:t>
      </w:r>
      <w:r>
        <w:rPr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משפט זה עמד לא אחת על התפקיד שהוא נוטל במאבק המתנהל נגד תאונות הדרכים</w:t>
      </w:r>
      <w:r>
        <w:rPr>
          <w:rtl w:val="true"/>
        </w:rPr>
        <w:t xml:space="preserve">, </w:t>
      </w:r>
      <w:r>
        <w:rPr>
          <w:rtl w:val="true"/>
        </w:rPr>
        <w:t>באמצעות גזירת עונשים הולמים</w:t>
      </w:r>
      <w:r>
        <w:rPr>
          <w:rtl w:val="true"/>
        </w:rPr>
        <w:t xml:space="preserve">, </w:t>
      </w:r>
      <w:r>
        <w:rPr>
          <w:rtl w:val="true"/>
        </w:rPr>
        <w:t xml:space="preserve">שייטעו בתודעת הנהגים את החובה לנהוג בזהירות ותוך ציות לחוקי התנועה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11786/04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9</w:t>
      </w:r>
      <w:r>
        <w:rPr/>
        <w:t>.2005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5</w:t>
      </w:r>
      <w:r>
        <w:rPr/>
        <w:t>.2010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</w:t>
      </w:r>
      <w:r>
        <w:rPr/>
        <w:t>6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לאחר בחינת העונש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הוא מצדיק </w:t>
      </w:r>
      <w:r>
        <w:rPr>
          <w:rtl w:val="true"/>
        </w:rPr>
        <w:t>התערבות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התרשמתי כי בית המשפט קמא קבע מתחם ענישה הולם למעשיו של המערער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בבואו למקם את העונש במתחם</w:t>
      </w:r>
      <w:r>
        <w:rPr>
          <w:rtl w:val="true"/>
        </w:rPr>
        <w:t xml:space="preserve">, </w:t>
      </w:r>
      <w:r>
        <w:rPr>
          <w:rtl w:val="true"/>
        </w:rPr>
        <w:t>נבחנו היטב השיקולים לקולה</w:t>
      </w:r>
      <w:r>
        <w:rPr>
          <w:rtl w:val="true"/>
        </w:rPr>
        <w:t xml:space="preserve">, </w:t>
      </w:r>
      <w:r>
        <w:rPr>
          <w:rtl w:val="true"/>
        </w:rPr>
        <w:t>וביניהם שמדובר באדם המקיים אורח חייו נורמטיבי וחיובי</w:t>
      </w:r>
      <w:r>
        <w:rPr>
          <w:rtl w:val="true"/>
        </w:rPr>
        <w:t xml:space="preserve">, </w:t>
      </w:r>
      <w:r>
        <w:rPr>
          <w:rtl w:val="true"/>
        </w:rPr>
        <w:t>אשר התאונה ותוצאותיה הסבו לו סבל רב וגזירת עונש חמור תפגע בו ובמהלך חייו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הביא בחשבון גם את סירובו של המערער ליטול אחריות על מעשיו ואת הכחשותיו הנחרצות כי יצא לניסיון העקיפה</w:t>
      </w:r>
      <w:r>
        <w:rPr>
          <w:rtl w:val="true"/>
        </w:rPr>
        <w:t xml:space="preserve">, </w:t>
      </w:r>
      <w:r>
        <w:rPr>
          <w:rtl w:val="true"/>
        </w:rPr>
        <w:t>חרף הממצאים הברורים אשר מצביעים על כך</w:t>
      </w:r>
      <w:r>
        <w:rPr>
          <w:rtl w:val="true"/>
        </w:rPr>
        <w:t xml:space="preserve">. </w:t>
      </w:r>
      <w:r>
        <w:rPr>
          <w:rtl w:val="true"/>
        </w:rPr>
        <w:t>לאחר שאיזן בין שיקולים אלה</w:t>
      </w:r>
      <w:r>
        <w:rPr>
          <w:rtl w:val="true"/>
        </w:rPr>
        <w:t xml:space="preserve">, </w:t>
      </w:r>
      <w:r>
        <w:rPr>
          <w:rtl w:val="true"/>
        </w:rPr>
        <w:t>החליט בית המשפט למקם את עונשו של המערער בתחתית המתחם שנקבע</w:t>
      </w:r>
      <w:r>
        <w:rPr>
          <w:rtl w:val="true"/>
        </w:rPr>
        <w:t xml:space="preserve">. </w:t>
      </w:r>
      <w:r>
        <w:rPr>
          <w:rtl w:val="true"/>
        </w:rPr>
        <w:t>יצוין כי עונשו של המערער אינו חורג מהענישה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ודאי שלא לחומרה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דסוקה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tl w:val="true"/>
        </w:rPr>
        <w:t xml:space="preserve">). </w:t>
      </w:r>
      <w:r>
        <w:rPr>
          <w:rtl w:val="true"/>
        </w:rPr>
        <w:t>אם נדקדק בדבר</w:t>
      </w:r>
      <w:r>
        <w:rPr>
          <w:rtl w:val="true"/>
        </w:rPr>
        <w:t xml:space="preserve">, </w:t>
      </w:r>
      <w:r>
        <w:rPr>
          <w:rtl w:val="true"/>
        </w:rPr>
        <w:t>המדובר בעונש מקל יחסית</w:t>
      </w:r>
      <w:r>
        <w:rPr>
          <w:rtl w:val="true"/>
        </w:rPr>
        <w:t xml:space="preserve">, </w:t>
      </w:r>
      <w:r>
        <w:rPr>
          <w:rtl w:val="true"/>
        </w:rPr>
        <w:t>ככל שעסקינן בהרשעה בעבירה של המתה בקלות דעת</w:t>
      </w:r>
      <w:r>
        <w:rPr>
          <w:rtl w:val="true"/>
        </w:rPr>
        <w:t xml:space="preserve">. </w:t>
      </w:r>
      <w:r>
        <w:rPr>
          <w:rtl w:val="true"/>
        </w:rPr>
        <w:t>בשים לב לאמור</w:t>
      </w:r>
      <w:r>
        <w:rPr>
          <w:rtl w:val="true"/>
        </w:rPr>
        <w:t xml:space="preserve">, </w:t>
      </w:r>
      <w:r>
        <w:rPr>
          <w:rtl w:val="true"/>
        </w:rPr>
        <w:t>סבורני כי גם שאר העונשים שהוטלו על המערער הולמים את חומרת מעשיו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 מצאתי מקום להפחית מהעונש אשר נגזר על המערער על ידי בית המשפט קמא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משאלו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 כי נפלה שגגה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מצדיקה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דינ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</w:t>
      </w:r>
      <w:r>
        <w:rPr>
          <w:rtl w:val="true"/>
        </w:rPr>
        <w:t xml:space="preserve"> ולחברתי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Arial TUR;Arial"/>
          <w:szCs w:val="20"/>
        </w:rPr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/>
        <w:t>14.8.2022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 </w:t>
      </w:r>
      <w:r>
        <w:rPr>
          <w:sz w:val="28"/>
        </w:rPr>
        <w:t>074-7831077</w:t>
      </w:r>
      <w:r>
        <w:rPr>
          <w:sz w:val="28"/>
          <w:rtl w:val="true"/>
        </w:rPr>
        <w:t xml:space="preserve">, </w:t>
      </w:r>
      <w:r>
        <w:rPr>
          <w:sz w:val="28"/>
        </w:rPr>
        <w:t>07-7831078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bookmarkStart w:id="2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14.7.2022</w:t>
      </w:r>
      <w:r>
        <w:rPr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21022110</w:t>
      </w:r>
      <w:r>
        <w:rPr>
          <w:sz w:val="16"/>
          <w:rtl w:val="true"/>
        </w:rPr>
        <w:t>_</w:t>
      </w:r>
      <w:r>
        <w:rPr>
          <w:sz w:val="16"/>
        </w:rPr>
        <w:t>Y12.docx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54678313-2211/21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97" w:right="1985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2211/21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אמיר בדארנה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bodyverdict1">
    <w:name w:val="bodyverdict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68566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0.a" TargetMode="External"/><Relationship Id="rId7" Type="http://schemas.openxmlformats.org/officeDocument/2006/relationships/hyperlink" Target="http://www.nevo.co.il/law/70301/21.a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01c" TargetMode="External"/><Relationship Id="rId10" Type="http://schemas.openxmlformats.org/officeDocument/2006/relationships/hyperlink" Target="http://www.nevo.co.il/law/70301/304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38.3" TargetMode="External"/><Relationship Id="rId13" Type="http://schemas.openxmlformats.org/officeDocument/2006/relationships/hyperlink" Target="http://www.nevo.co.il/law/74274" TargetMode="External"/><Relationship Id="rId14" Type="http://schemas.openxmlformats.org/officeDocument/2006/relationships/hyperlink" Target="http://www.nevo.co.il/law/74274/51" TargetMode="External"/><Relationship Id="rId15" Type="http://schemas.openxmlformats.org/officeDocument/2006/relationships/hyperlink" Target="http://www.nevo.co.il/law/74274/e.1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10a" TargetMode="External"/><Relationship Id="rId18" Type="http://schemas.openxmlformats.org/officeDocument/2006/relationships/hyperlink" Target="http://www.nevo.co.il/case/25468566" TargetMode="External"/><Relationship Id="rId19" Type="http://schemas.openxmlformats.org/officeDocument/2006/relationships/hyperlink" Target="http://www.nevo.co.il/law/70301/29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01c" TargetMode="External"/><Relationship Id="rId22" Type="http://schemas.openxmlformats.org/officeDocument/2006/relationships/hyperlink" Target="http://www.nevo.co.il/law/5227/38.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274/e.1" TargetMode="External"/><Relationship Id="rId25" Type="http://schemas.openxmlformats.org/officeDocument/2006/relationships/hyperlink" Target="http://www.nevo.co.il/law/74274" TargetMode="External"/><Relationship Id="rId26" Type="http://schemas.openxmlformats.org/officeDocument/2006/relationships/hyperlink" Target="http://www.nevo.co.il/law/74274/51" TargetMode="External"/><Relationship Id="rId27" Type="http://schemas.openxmlformats.org/officeDocument/2006/relationships/hyperlink" Target="http://www.nevo.co.il/case/26142559" TargetMode="External"/><Relationship Id="rId28" Type="http://schemas.openxmlformats.org/officeDocument/2006/relationships/hyperlink" Target="http://www.nevo.co.il/case/26518589" TargetMode="External"/><Relationship Id="rId29" Type="http://schemas.openxmlformats.org/officeDocument/2006/relationships/hyperlink" Target="http://www.nevo.co.il/case/26146667" TargetMode="External"/><Relationship Id="rId30" Type="http://schemas.openxmlformats.org/officeDocument/2006/relationships/hyperlink" Target="http://www.nevo.co.il/case/26600512" TargetMode="External"/><Relationship Id="rId31" Type="http://schemas.openxmlformats.org/officeDocument/2006/relationships/hyperlink" Target="http://www.nevo.co.il/case/13041846" TargetMode="External"/><Relationship Id="rId32" Type="http://schemas.openxmlformats.org/officeDocument/2006/relationships/hyperlink" Target="http://www.nevo.co.il/law/98569/10a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70301/301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04" TargetMode="External"/><Relationship Id="rId37" Type="http://schemas.openxmlformats.org/officeDocument/2006/relationships/hyperlink" Target="http://www.nevo.co.il/law/70301/21.a" TargetMode="External"/><Relationship Id="rId38" Type="http://schemas.openxmlformats.org/officeDocument/2006/relationships/hyperlink" Target="http://www.nevo.co.il/law/70301/20.a" TargetMode="External"/><Relationship Id="rId39" Type="http://schemas.openxmlformats.org/officeDocument/2006/relationships/hyperlink" Target="http://www.nevo.co.il/safrut/bookgroup/2063" TargetMode="External"/><Relationship Id="rId40" Type="http://schemas.openxmlformats.org/officeDocument/2006/relationships/hyperlink" Target="http://www.nevo.co.il/case/13104233" TargetMode="External"/><Relationship Id="rId41" Type="http://schemas.openxmlformats.org/officeDocument/2006/relationships/hyperlink" Target="http://www.nevo.co.il/case/6104480" TargetMode="External"/><Relationship Id="rId42" Type="http://schemas.openxmlformats.org/officeDocument/2006/relationships/hyperlink" Target="http://www.nevo.co.il/case/6182127" TargetMode="External"/><Relationship Id="rId43" Type="http://schemas.openxmlformats.org/officeDocument/2006/relationships/hyperlink" Target="http://www.nevo.co.il/case/6123100" TargetMode="External"/><Relationship Id="rId44" Type="http://schemas.openxmlformats.org/officeDocument/2006/relationships/hyperlink" Target="http://www.nevo.co.il/case/22275574" TargetMode="External"/><Relationship Id="rId45" Type="http://schemas.openxmlformats.org/officeDocument/2006/relationships/hyperlink" Target="https://supreme.court.gov.il/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2022-07-16T07:42:00Z</dcterms:created>
  <dc:creator>h4</dc:creator>
  <dc:description/>
  <cp:keywords/>
  <dc:language>en-IL</dc:language>
  <cp:lastModifiedBy>orly</cp:lastModifiedBy>
  <cp:lastPrinted>2022-07-14T11:02:00Z</cp:lastPrinted>
  <dcterms:modified xsi:type="dcterms:W3CDTF">2022-07-16T07:42:00Z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אמיר בדארנה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CASENOTES1">
    <vt:lpwstr>ProcID=133;209&amp;PartA=433&amp;PartC=13</vt:lpwstr>
  </property>
  <property fmtid="{D5CDD505-2E9C-101B-9397-08002B2CF9AE}" pid="10" name="CASENOTES10">
    <vt:lpwstr>ProcID=213&amp;PartA=21&amp;PartC=22</vt:lpwstr>
  </property>
  <property fmtid="{D5CDD505-2E9C-101B-9397-08002B2CF9AE}" pid="11" name="CASENOTES11">
    <vt:lpwstr>ProcID=213&amp;PartA=22&amp;PartC=27</vt:lpwstr>
  </property>
  <property fmtid="{D5CDD505-2E9C-101B-9397-08002B2CF9AE}" pid="12" name="CASENOTES12">
    <vt:lpwstr>ProcID=213&amp;PartA=19&amp;PartC=20</vt:lpwstr>
  </property>
  <property fmtid="{D5CDD505-2E9C-101B-9397-08002B2CF9AE}" pid="13" name="CASENOTES13">
    <vt:lpwstr>ProcID=213&amp;PartA=20&amp;PartC=26</vt:lpwstr>
  </property>
  <property fmtid="{D5CDD505-2E9C-101B-9397-08002B2CF9AE}" pid="14" name="CASENOTES14">
    <vt:lpwstr>ProcID=213&amp;PartA=12&amp;PartC=18</vt:lpwstr>
  </property>
  <property fmtid="{D5CDD505-2E9C-101B-9397-08002B2CF9AE}" pid="15" name="CASENOTES15">
    <vt:lpwstr>ProcID=213&amp;PartA=23&amp;PartC=27</vt:lpwstr>
  </property>
  <property fmtid="{D5CDD505-2E9C-101B-9397-08002B2CF9AE}" pid="16" name="CASENOTES16">
    <vt:lpwstr>ProcID=213&amp;PartA=10&amp;PartC=23</vt:lpwstr>
  </property>
  <property fmtid="{D5CDD505-2E9C-101B-9397-08002B2CF9AE}" pid="17" name="CASENOTES17">
    <vt:lpwstr>ProcID=213&amp;PartA=22&amp;PartC=26</vt:lpwstr>
  </property>
  <property fmtid="{D5CDD505-2E9C-101B-9397-08002B2CF9AE}" pid="18" name="CASENOTES18">
    <vt:lpwstr>ProcID=213&amp;PartA=24&amp;PartC=28</vt:lpwstr>
  </property>
  <property fmtid="{D5CDD505-2E9C-101B-9397-08002B2CF9AE}" pid="19" name="CASENOTES19">
    <vt:lpwstr>ProcID=213&amp;PartA=21&amp;PartC=26</vt:lpwstr>
  </property>
  <property fmtid="{D5CDD505-2E9C-101B-9397-08002B2CF9AE}" pid="20" name="CASENOTES2">
    <vt:lpwstr>ProcID=213&amp;PartA=10&amp;PartC=20</vt:lpwstr>
  </property>
  <property fmtid="{D5CDD505-2E9C-101B-9397-08002B2CF9AE}" pid="21" name="CASENOTES20">
    <vt:lpwstr>ProcID=213&amp;PartA=24&amp;PartC=27</vt:lpwstr>
  </property>
  <property fmtid="{D5CDD505-2E9C-101B-9397-08002B2CF9AE}" pid="22" name="CASENOTES21">
    <vt:lpwstr>ProcID=213&amp;PartA=10&amp;PartC=25</vt:lpwstr>
  </property>
  <property fmtid="{D5CDD505-2E9C-101B-9397-08002B2CF9AE}" pid="23" name="CASENOTES3">
    <vt:lpwstr>ProcID=213&amp;PartA=18&amp;PartC=29</vt:lpwstr>
  </property>
  <property fmtid="{D5CDD505-2E9C-101B-9397-08002B2CF9AE}" pid="24" name="CASENOTES4">
    <vt:lpwstr>ProcID=213&amp;PartA=13&amp;PartC=22</vt:lpwstr>
  </property>
  <property fmtid="{D5CDD505-2E9C-101B-9397-08002B2CF9AE}" pid="25" name="CASENOTES5">
    <vt:lpwstr>ProcID=213&amp;PartA=18&amp;PartC=26</vt:lpwstr>
  </property>
  <property fmtid="{D5CDD505-2E9C-101B-9397-08002B2CF9AE}" pid="26" name="CASENOTES6">
    <vt:lpwstr>ProcID=213&amp;PartA=14&amp;PartC=15</vt:lpwstr>
  </property>
  <property fmtid="{D5CDD505-2E9C-101B-9397-08002B2CF9AE}" pid="27" name="CASENOTES7">
    <vt:lpwstr>ProcID=213&amp;PartA=19&amp;PartC=28</vt:lpwstr>
  </property>
  <property fmtid="{D5CDD505-2E9C-101B-9397-08002B2CF9AE}" pid="28" name="CASENOTES8">
    <vt:lpwstr>ProcID=213&amp;PartA=22&amp;PartC=24</vt:lpwstr>
  </property>
  <property fmtid="{D5CDD505-2E9C-101B-9397-08002B2CF9AE}" pid="29" name="CASENOTES9">
    <vt:lpwstr>ProcID=213&amp;PartA=28&amp;PartC=29</vt:lpwstr>
  </property>
  <property fmtid="{D5CDD505-2E9C-101B-9397-08002B2CF9AE}" pid="30" name="CASESLISTTMP1">
    <vt:lpwstr>25468566:2;26142559;26518589;26146667;26600512;13041846;13104233;6104480;6182127;6123100;22275574</vt:lpwstr>
  </property>
  <property fmtid="{D5CDD505-2E9C-101B-9397-08002B2CF9AE}" pid="31" name="CITY">
    <vt:lpwstr/>
  </property>
  <property fmtid="{D5CDD505-2E9C-101B-9397-08002B2CF9AE}" pid="32" name="DATE">
    <vt:lpwstr>20220714</vt:lpwstr>
  </property>
  <property fmtid="{D5CDD505-2E9C-101B-9397-08002B2CF9AE}" pid="33" name="DELEMATA">
    <vt:lpwstr/>
  </property>
  <property fmtid="{D5CDD505-2E9C-101B-9397-08002B2CF9AE}" pid="34" name="ISABSTRACT">
    <vt:lpwstr>Y</vt:lpwstr>
  </property>
  <property fmtid="{D5CDD505-2E9C-101B-9397-08002B2CF9AE}" pid="35" name="JUDGE">
    <vt:lpwstr>י' אלרון;ע' גרוסקופף;ג' כנפי שטייניץ</vt:lpwstr>
  </property>
  <property fmtid="{D5CDD505-2E9C-101B-9397-08002B2CF9AE}" pid="36" name="LAWLISTTMP1">
    <vt:lpwstr>70301/298;301c:2;304;021.a;020.a</vt:lpwstr>
  </property>
  <property fmtid="{D5CDD505-2E9C-101B-9397-08002B2CF9AE}" pid="37" name="LAWLISTTMP2">
    <vt:lpwstr>5227/038.3</vt:lpwstr>
  </property>
  <property fmtid="{D5CDD505-2E9C-101B-9397-08002B2CF9AE}" pid="38" name="LAWLISTTMP3">
    <vt:lpwstr>74274/e.1;051</vt:lpwstr>
  </property>
  <property fmtid="{D5CDD505-2E9C-101B-9397-08002B2CF9AE}" pid="39" name="LAWLISTTMP4">
    <vt:lpwstr>98569/010a</vt:lpwstr>
  </property>
  <property fmtid="{D5CDD505-2E9C-101B-9397-08002B2CF9AE}" pid="40" name="LAWYER">
    <vt:lpwstr>מוחמד סראחנה;אסד שאמי;מחמוד שאמי</vt:lpwstr>
  </property>
  <property fmtid="{D5CDD505-2E9C-101B-9397-08002B2CF9AE}" pid="41" name="LINKK1">
    <vt:lpwstr/>
  </property>
  <property fmtid="{D5CDD505-2E9C-101B-9397-08002B2CF9AE}" pid="42" name="LINKK2">
    <vt:lpwstr/>
  </property>
  <property fmtid="{D5CDD505-2E9C-101B-9397-08002B2CF9AE}" pid="43" name="LINKK3">
    <vt:lpwstr/>
  </property>
  <property fmtid="{D5CDD505-2E9C-101B-9397-08002B2CF9AE}" pid="44" name="LINKK4">
    <vt:lpwstr/>
  </property>
  <property fmtid="{D5CDD505-2E9C-101B-9397-08002B2CF9AE}" pid="45" name="LINKK5">
    <vt:lpwstr/>
  </property>
  <property fmtid="{D5CDD505-2E9C-101B-9397-08002B2CF9AE}" pid="46" name="METAKZER">
    <vt:lpwstr>פאני</vt:lpwstr>
  </property>
  <property fmtid="{D5CDD505-2E9C-101B-9397-08002B2CF9AE}" pid="47" name="NEWPARTA">
    <vt:lpwstr/>
  </property>
  <property fmtid="{D5CDD505-2E9C-101B-9397-08002B2CF9AE}" pid="48" name="NEWPARTB">
    <vt:lpwstr/>
  </property>
  <property fmtid="{D5CDD505-2E9C-101B-9397-08002B2CF9AE}" pid="49" name="NEWPARTC">
    <vt:lpwstr/>
  </property>
  <property fmtid="{D5CDD505-2E9C-101B-9397-08002B2CF9AE}" pid="50" name="NEWPROC">
    <vt:lpwstr/>
  </property>
  <property fmtid="{D5CDD505-2E9C-101B-9397-08002B2CF9AE}" pid="51" name="NOSE11">
    <vt:lpwstr>עונשין</vt:lpwstr>
  </property>
  <property fmtid="{D5CDD505-2E9C-101B-9397-08002B2CF9AE}" pid="52" name="NOSE110">
    <vt:lpwstr/>
  </property>
  <property fmtid="{D5CDD505-2E9C-101B-9397-08002B2CF9AE}" pid="53" name="NOSE12">
    <vt:lpwstr>עונשין</vt:lpwstr>
  </property>
  <property fmtid="{D5CDD505-2E9C-101B-9397-08002B2CF9AE}" pid="54" name="NOSE13">
    <vt:lpwstr>עונשין</vt:lpwstr>
  </property>
  <property fmtid="{D5CDD505-2E9C-101B-9397-08002B2CF9AE}" pid="55" name="NOSE14">
    <vt:lpwstr>עונשין</vt:lpwstr>
  </property>
  <property fmtid="{D5CDD505-2E9C-101B-9397-08002B2CF9AE}" pid="56" name="NOSE15">
    <vt:lpwstr>דיון פלילי</vt:lpwstr>
  </property>
  <property fmtid="{D5CDD505-2E9C-101B-9397-08002B2CF9AE}" pid="57" name="NOSE16">
    <vt:lpwstr>דיון פלילי</vt:lpwstr>
  </property>
  <property fmtid="{D5CDD505-2E9C-101B-9397-08002B2CF9AE}" pid="58" name="NOSE17">
    <vt:lpwstr>דיון פלילי</vt:lpwstr>
  </property>
  <property fmtid="{D5CDD505-2E9C-101B-9397-08002B2CF9AE}" pid="59" name="NOSE18">
    <vt:lpwstr/>
  </property>
  <property fmtid="{D5CDD505-2E9C-101B-9397-08002B2CF9AE}" pid="60" name="NOSE19">
    <vt:lpwstr/>
  </property>
  <property fmtid="{D5CDD505-2E9C-101B-9397-08002B2CF9AE}" pid="61" name="NOSE1ID">
    <vt:lpwstr>77;77;77;77;18;18;18</vt:lpwstr>
  </property>
  <property fmtid="{D5CDD505-2E9C-101B-9397-08002B2CF9AE}" pid="62" name="NOSE21">
    <vt:lpwstr>עבירות</vt:lpwstr>
  </property>
  <property fmtid="{D5CDD505-2E9C-101B-9397-08002B2CF9AE}" pid="63" name="NOSE210">
    <vt:lpwstr/>
  </property>
  <property fmtid="{D5CDD505-2E9C-101B-9397-08002B2CF9AE}" pid="64" name="NOSE22">
    <vt:lpwstr>מחשבה פלילית</vt:lpwstr>
  </property>
  <property fmtid="{D5CDD505-2E9C-101B-9397-08002B2CF9AE}" pid="65" name="NOSE23">
    <vt:lpwstr>מחשבה פלילית</vt:lpwstr>
  </property>
  <property fmtid="{D5CDD505-2E9C-101B-9397-08002B2CF9AE}" pid="66" name="NOSE24">
    <vt:lpwstr>ענישה</vt:lpwstr>
  </property>
  <property fmtid="{D5CDD505-2E9C-101B-9397-08002B2CF9AE}" pid="67" name="NOSE25">
    <vt:lpwstr>ערעור</vt:lpwstr>
  </property>
  <property fmtid="{D5CDD505-2E9C-101B-9397-08002B2CF9AE}" pid="68" name="NOSE26">
    <vt:lpwstr>ערעור</vt:lpwstr>
  </property>
  <property fmtid="{D5CDD505-2E9C-101B-9397-08002B2CF9AE}" pid="69" name="NOSE27">
    <vt:lpwstr>חקירה במשטרה</vt:lpwstr>
  </property>
  <property fmtid="{D5CDD505-2E9C-101B-9397-08002B2CF9AE}" pid="70" name="NOSE28">
    <vt:lpwstr/>
  </property>
  <property fmtid="{D5CDD505-2E9C-101B-9397-08002B2CF9AE}" pid="71" name="NOSE29">
    <vt:lpwstr/>
  </property>
  <property fmtid="{D5CDD505-2E9C-101B-9397-08002B2CF9AE}" pid="72" name="NOSE2ID">
    <vt:lpwstr>1443;1436;1436;1446;504;504;475</vt:lpwstr>
  </property>
  <property fmtid="{D5CDD505-2E9C-101B-9397-08002B2CF9AE}" pid="73" name="NOSE31">
    <vt:lpwstr>המתה בקלות דעת</vt:lpwstr>
  </property>
  <property fmtid="{D5CDD505-2E9C-101B-9397-08002B2CF9AE}" pid="74" name="NOSE310">
    <vt:lpwstr/>
  </property>
  <property fmtid="{D5CDD505-2E9C-101B-9397-08002B2CF9AE}" pid="75" name="NOSE32">
    <vt:lpwstr>קלות דעת</vt:lpwstr>
  </property>
  <property fmtid="{D5CDD505-2E9C-101B-9397-08002B2CF9AE}" pid="76" name="NOSE33">
    <vt:lpwstr>רשלנות</vt:lpwstr>
  </property>
  <property fmtid="{D5CDD505-2E9C-101B-9397-08002B2CF9AE}" pid="77" name="NOSE34">
    <vt:lpwstr>מדיניות ענישה: תאונות דרכים</vt:lpwstr>
  </property>
  <property fmtid="{D5CDD505-2E9C-101B-9397-08002B2CF9AE}" pid="78" name="NOSE35">
    <vt:lpwstr>אי-התערבות בממצאים עובדתיים</vt:lpwstr>
  </property>
  <property fmtid="{D5CDD505-2E9C-101B-9397-08002B2CF9AE}" pid="79" name="NOSE36">
    <vt:lpwstr>אי-התערבות במידת העונש</vt:lpwstr>
  </property>
  <property fmtid="{D5CDD505-2E9C-101B-9397-08002B2CF9AE}" pid="80" name="NOSE37">
    <vt:lpwstr>מחדלי חקירה</vt:lpwstr>
  </property>
  <property fmtid="{D5CDD505-2E9C-101B-9397-08002B2CF9AE}" pid="81" name="NOSE38">
    <vt:lpwstr/>
  </property>
  <property fmtid="{D5CDD505-2E9C-101B-9397-08002B2CF9AE}" pid="82" name="NOSE39">
    <vt:lpwstr/>
  </property>
  <property fmtid="{D5CDD505-2E9C-101B-9397-08002B2CF9AE}" pid="83" name="NOSE3ID">
    <vt:lpwstr>18467;12613;8725;11753;3849;17039;3672</vt:lpwstr>
  </property>
  <property fmtid="{D5CDD505-2E9C-101B-9397-08002B2CF9AE}" pid="84" name="PADIDATE">
    <vt:lpwstr>20220717</vt:lpwstr>
  </property>
  <property fmtid="{D5CDD505-2E9C-101B-9397-08002B2CF9AE}" pid="85" name="PADIMAIL">
    <vt:lpwstr>YES</vt:lpwstr>
  </property>
  <property fmtid="{D5CDD505-2E9C-101B-9397-08002B2CF9AE}" pid="86" name="PAGE">
    <vt:lpwstr/>
  </property>
  <property fmtid="{D5CDD505-2E9C-101B-9397-08002B2CF9AE}" pid="87" name="PART">
    <vt:lpwstr/>
  </property>
  <property fmtid="{D5CDD505-2E9C-101B-9397-08002B2CF9AE}" pid="88" name="PROCESS">
    <vt:lpwstr>עפ</vt:lpwstr>
  </property>
  <property fmtid="{D5CDD505-2E9C-101B-9397-08002B2CF9AE}" pid="89" name="PROCNUM">
    <vt:lpwstr>2211</vt:lpwstr>
  </property>
  <property fmtid="{D5CDD505-2E9C-101B-9397-08002B2CF9AE}" pid="90" name="PROCYEAR">
    <vt:lpwstr>21</vt:lpwstr>
  </property>
  <property fmtid="{D5CDD505-2E9C-101B-9397-08002B2CF9AE}" pid="91" name="PSAKDIN">
    <vt:lpwstr>פסק-דין</vt:lpwstr>
  </property>
  <property fmtid="{D5CDD505-2E9C-101B-9397-08002B2CF9AE}" pid="92" name="TYPE">
    <vt:lpwstr>1</vt:lpwstr>
  </property>
  <property fmtid="{D5CDD505-2E9C-101B-9397-08002B2CF9AE}" pid="93" name="TYPE_ABS_DATE">
    <vt:lpwstr>410120220714</vt:lpwstr>
  </property>
  <property fmtid="{D5CDD505-2E9C-101B-9397-08002B2CF9AE}" pid="94" name="TYPE_N_DATE">
    <vt:lpwstr>41020220714</vt:lpwstr>
  </property>
  <property fmtid="{D5CDD505-2E9C-101B-9397-08002B2CF9AE}" pid="95" name="VOLUME">
    <vt:lpwstr/>
  </property>
  <property fmtid="{D5CDD505-2E9C-101B-9397-08002B2CF9AE}" pid="96" name="WORDNUMPAGES">
    <vt:lpwstr>16</vt:lpwstr>
  </property>
</Properties>
</file>