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2228/20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מורד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אטרש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9.3</w:t>
            </w:r>
            <w:r>
              <w:rPr>
                <w:sz w:val="24"/>
                <w:szCs w:val="24"/>
              </w:rPr>
              <w:t>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61118-01-19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פרידמן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פלדמן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11.6.2020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שאדי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נאטור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אופיר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ביתן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3"/>
        <w:gridCol w:w="5130"/>
      </w:tblGrid>
      <w:tr>
        <w:trPr/>
        <w:tc>
          <w:tcPr>
            <w:tcW w:w="32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מתורגמן</w:t>
            </w:r>
            <w:r>
              <w:rPr>
                <w:rtl w:val="true"/>
              </w:rPr>
              <w:t>:</w:t>
            </w:r>
          </w:p>
        </w:tc>
        <w:tc>
          <w:tcPr>
            <w:tcW w:w="51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אשרף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קרעין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</w:rPr>
          <w:t>29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</w:rPr>
          <w:t>402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9" w:name="ABSTRACT_START"/>
      <w:bookmarkEnd w:id="9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נדחה ערעור על גזר דין בגדרו נגזרו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הורשע בביצוע עבירת שוד בצוותא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פיצוי כספי למתלונן ועונשים נלווים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 כי בנסיבות העניין העונש שקול ומאוזן ואינו חורג באופן קיצוני ממדיניות הענישה הנוהגת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העבירה הנדונה מחייבת ענישה ממשית ומרתיעה בדמות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ושיקולי השיקום אינם מצדיקים סטייה לקולא ממתחם העונש ההולם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שוד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עקרון ההלימה‏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מתחם הענישה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תסקיר שירות מבחן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פיצויים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גזר דין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בגדרו נגזרו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הורשע בביצוע עבירת שוד בצוותא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ורכבו חולט בהסכמה לטובת אוצר המדינה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חויב המערער בתשלום פיצוי כספי למתלונן בסך של </w:t>
      </w:r>
      <w:r>
        <w:rPr>
          <w:rFonts w:cs="Times New Roman" w:ascii="Times New Roman" w:hAnsi="Times New Roman"/>
          <w:spacing w:val="0"/>
          <w:sz w:val="24"/>
          <w:szCs w:val="26"/>
        </w:rPr>
        <w:t>24,000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סולברג ובהסכמת השופטים קרא ואלרון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ערכאת הערעור נוטה שלא להתערב בקביעת העונש שנגזר בערכאה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זולת במצבים חריגים שבהם נפלה טעות מהותית בגזר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חלה סטייה קיצונית ממדיניות הענישה המקובל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העניין דנן אינו נמנה על אותם מצבים חריגים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עבירת השוד בוצעה בידי שלושה אנשים בצוותא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והותירה נזק ממוני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נזק נפשי משמעותי וארוך טווח לעובד לילה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המצוי ממילא במצב של סיכון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 המערער וחבריו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פגעו באופן כללי בשלום הציבור ובטחונו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ופגעו באופן פרטני במתלונן שנכח בזירת האירוע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שקול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מאוזן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לבטח אינו חורג באופן קיצוני ממדיניות הענישה הנוהגת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העקרון המנחה בענישה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עקרון ההלימה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ככלל עבירה כמו זו שביצע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מחייבת ענישה ממשית ומרתיעה בדמות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בקשת המערער ליטול חלק בהליכים טיפוליים ראויה אמנם להערכה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אלו יוכלו להתקיים גם בבית הסוהר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 שיקום קיימים 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לא הונחה תשתית לקיומו של פוטנציאל שיקומי המצדיק סטייה לקולא ממתחם העונש ההולם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תסקירי שירות המבחן שהוגשו בעניינו של המערער אינם 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משמעיים והדרך אל השיקום אינה קצרה וגם אינה בטוחה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במצב זה ובהתחשב ביתר הנסיבות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נדמה כי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צעד לקראת המערער כברת דרך שאינה מובנת מאליה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שעה שבחר למקם את עונשו ברף התחתון של מתחם הענישה שנקבע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בין </w:t>
      </w:r>
      <w:r>
        <w:rPr>
          <w:rFonts w:cs="Times New Roman" w:ascii="Times New Roman" w:hAnsi="Times New Roman"/>
          <w:spacing w:val="0"/>
          <w:sz w:val="24"/>
          <w:szCs w:val="26"/>
        </w:rPr>
        <w:t>40-20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תפקיד שירות המבחן להמליץ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תפקיד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להכריע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לא מצא לנכון לאמץ את המלצת שירות המבחן ולהורות על דחייה נוספת במתן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בנקל יורה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על דחיית מועד מתן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נדרש לאזן בין השיקולים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ולהכריע כראוי בעיניו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וכך עשה גם במקרה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נפל פגם בהכרעתו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לערעור נגד רכיב הפיצוי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המתלונן לא צורף כמשיב לערעור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ודי בכך כדי לדחות את הערעור על רכיב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 הדעת בקביעת גובה הפיצוי שישולם לנפגע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שמור לערכאה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וההתערבות בהחלטתה מצומצמת עד מאד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למעלה מן הצורך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בשים לב לעוצמת הנזק שנגרם למתלונן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כי שיעור הפיצוי חורג מן הראוי בנסיבות העניין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0" w:name="ABSTRACT_END"/>
      <w:bookmarkStart w:id="11" w:name="ABSTRACT_END"/>
      <w:bookmarkEnd w:id="11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  <w:bookmarkStart w:id="16" w:name="Start_Write"/>
      <w:bookmarkStart w:id="17" w:name="Start_Write"/>
      <w:bookmarkEnd w:id="17"/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9.3.2020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61118-01-19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פרידמן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פלדמן</w:t>
      </w:r>
      <w:r>
        <w:rPr>
          <w:rtl w:val="true"/>
        </w:rPr>
        <w:t xml:space="preserve">),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24,000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בשוד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, </w:t>
      </w:r>
      <w:r>
        <w:rPr>
          <w:rtl w:val="true"/>
        </w:rPr>
        <w:t>בחנות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הממוקמת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נחשון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10.1.2019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4:00</w:t>
      </w:r>
      <w:r>
        <w:rPr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בוקר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במכוניתו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הנוחות</w:t>
      </w:r>
      <w:r>
        <w:rPr>
          <w:rtl w:val="true"/>
        </w:rPr>
        <w:t xml:space="preserve">, </w:t>
      </w:r>
      <w:r>
        <w:rPr>
          <w:rtl w:val="true"/>
        </w:rPr>
        <w:t>כשלוחית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ניצב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הדלפק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לחנות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השקט</w:t>
      </w:r>
      <w:r>
        <w:rPr>
          <w:rtl w:val="true"/>
        </w:rPr>
        <w:t xml:space="preserve">, </w:t>
      </w:r>
      <w:r>
        <w:rPr>
          <w:rtl w:val="true"/>
        </w:rPr>
        <w:t>וקפץ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לדלפק</w:t>
      </w:r>
      <w:r>
        <w:rPr>
          <w:rtl w:val="true"/>
        </w:rPr>
        <w:t xml:space="preserve">.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הנוסף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צורה</w:t>
      </w:r>
      <w:r>
        <w:rPr>
          <w:rtl w:val="true"/>
        </w:rPr>
        <w:t xml:space="preserve">, </w:t>
      </w:r>
      <w:r>
        <w:rPr>
          <w:rtl w:val="true"/>
        </w:rPr>
        <w:t>והוסיף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בשקט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כלום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כששקית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השתיקה</w:t>
      </w:r>
      <w:r>
        <w:rPr>
          <w:rtl w:val="true"/>
        </w:rPr>
        <w:t xml:space="preserve">, </w:t>
      </w:r>
      <w:r>
        <w:rPr>
          <w:rtl w:val="true"/>
        </w:rPr>
        <w:t>החלו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חפיסות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בחנות</w:t>
      </w:r>
      <w:r>
        <w:rPr>
          <w:rtl w:val="true"/>
        </w:rPr>
        <w:t xml:space="preserve">. </w:t>
      </w:r>
      <w:r>
        <w:rPr>
          <w:rtl w:val="true"/>
        </w:rPr>
        <w:t>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ברזל</w:t>
      </w:r>
      <w:r>
        <w:rPr>
          <w:rtl w:val="true"/>
        </w:rPr>
        <w:t xml:space="preserve">, </w:t>
      </w:r>
      <w:r>
        <w:rPr>
          <w:rtl w:val="true"/>
        </w:rPr>
        <w:t>ושאל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פאקטים</w:t>
      </w:r>
      <w:r>
        <w:rPr>
          <w:rtl w:val="true"/>
        </w:rPr>
        <w:t xml:space="preserve">'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הסיגריות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הייעודי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3,534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והכניסהּ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המכונית</w:t>
      </w:r>
      <w:r>
        <w:rPr>
          <w:rtl w:val="true"/>
        </w:rPr>
        <w:t xml:space="preserve">. </w:t>
      </w:r>
      <w:r>
        <w:rPr>
          <w:rtl w:val="true"/>
        </w:rPr>
        <w:t>בגמר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מהחנות</w:t>
      </w:r>
      <w:r>
        <w:rPr>
          <w:rtl w:val="true"/>
        </w:rPr>
        <w:t xml:space="preserve">, </w:t>
      </w:r>
      <w:r>
        <w:rPr>
          <w:rtl w:val="true"/>
        </w:rPr>
        <w:t>כשבידי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/>
        <w:t>288</w:t>
      </w:r>
      <w:r>
        <w:rPr>
          <w:rtl w:val="true"/>
        </w:rPr>
        <w:t xml:space="preserve"> </w:t>
      </w:r>
      <w:r>
        <w:rPr>
          <w:rtl w:val="true"/>
        </w:rPr>
        <w:t>חפיסות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7,297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ונמלטו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הקיר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שהטילו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השודדים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27.10.2019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ולרכיבי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בחופשיות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בפזורה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הבדואית</w:t>
      </w:r>
      <w:r>
        <w:rPr>
          <w:rtl w:val="true"/>
        </w:rPr>
        <w:t xml:space="preserve">, </w:t>
      </w:r>
      <w:r>
        <w:rPr>
          <w:rtl w:val="true"/>
        </w:rPr>
        <w:t>וסיים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הלימודים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ספורים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כלכליים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התגורר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והתפרנס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מזדמנות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, </w:t>
      </w:r>
      <w:r>
        <w:rPr>
          <w:rtl w:val="true"/>
        </w:rPr>
        <w:t>נגרר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Arial" w:cs="Arial TUR;Arial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ולחובתו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תעבורה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דפוסי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הבעייתיים</w:t>
      </w:r>
      <w:r>
        <w:rPr>
          <w:rtl w:val="true"/>
        </w:rPr>
        <w:t xml:space="preserve">, </w:t>
      </w:r>
      <w:r>
        <w:rPr>
          <w:rtl w:val="true"/>
        </w:rPr>
        <w:t>ממזער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מאחריותו</w:t>
      </w:r>
      <w:r>
        <w:rPr>
          <w:rtl w:val="true"/>
        </w:rPr>
        <w:t xml:space="preserve">, </w:t>
      </w:r>
      <w:r>
        <w:rPr>
          <w:rtl w:val="true"/>
        </w:rPr>
        <w:t>ונוטה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סביבתו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גמישות</w:t>
      </w:r>
      <w:r>
        <w:rPr>
          <w:rtl w:val="true"/>
        </w:rPr>
        <w:t xml:space="preserve">'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שוליים</w:t>
      </w:r>
      <w:r>
        <w:rPr>
          <w:rtl w:val="true"/>
        </w:rPr>
        <w:t xml:space="preserve">, </w:t>
      </w:r>
      <w:r>
        <w:rPr>
          <w:rtl w:val="true"/>
        </w:rPr>
        <w:t>רצדיביסטיים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הסנקציות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הרתיעוהו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אימפולסיביים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ונשנה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קצינת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חיוביים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ללימודי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ההוראה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עונשית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לנורמות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ולנסיגה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במצבו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ועיקריו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התצהיר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גופניים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הפיך</w:t>
      </w:r>
      <w:r>
        <w:rPr>
          <w:rtl w:val="true"/>
        </w:rPr>
        <w:t xml:space="preserve">, </w:t>
      </w:r>
      <w:r>
        <w:rPr>
          <w:rtl w:val="true"/>
        </w:rPr>
        <w:t>דיכאון</w:t>
      </w:r>
      <w:r>
        <w:rPr>
          <w:rtl w:val="true"/>
        </w:rPr>
        <w:t xml:space="preserve">, </w:t>
      </w:r>
      <w:r>
        <w:rPr>
          <w:rtl w:val="true"/>
        </w:rPr>
        <w:t>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התפטר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, </w:t>
      </w:r>
      <w:r>
        <w:rPr>
          <w:rtl w:val="true"/>
        </w:rPr>
        <w:t>הפסיק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נשאר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וצבר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ניכרים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שמירת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: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מתוכנן</w:t>
      </w:r>
      <w:r>
        <w:rPr>
          <w:rtl w:val="true"/>
        </w:rPr>
        <w:t xml:space="preserve">,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לסיום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ומכוניתו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ששימשה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השלושה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40-20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. </w:t>
      </w:r>
      <w:r>
        <w:rPr>
          <w:rtl w:val="true"/>
        </w:rPr>
        <w:t>בבואו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המשתקפות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ולשהותו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'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'.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עברוֹ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ימוקם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. </w:t>
      </w:r>
      <w:r>
        <w:rPr>
          <w:rtl w:val="true"/>
        </w:rPr>
        <w:t>הוסבר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מוצלחות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אוזנו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מכניסתו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רלבנטית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לדידו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24,000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קורבנית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ולהעמיק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מכשילים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בהתנהלותו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וטוען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לנהל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תקינים</w:t>
      </w:r>
      <w:r>
        <w:rPr>
          <w:rtl w:val="true"/>
        </w:rPr>
        <w:t xml:space="preserve">, </w:t>
      </w:r>
      <w:r>
        <w:rPr>
          <w:rtl w:val="true"/>
        </w:rPr>
        <w:t>ולדאוג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להשתלבות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דפוסי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התנהלותו</w:t>
      </w:r>
      <w:r>
        <w:rPr>
          <w:rtl w:val="true"/>
        </w:rPr>
        <w:t xml:space="preserve">, </w:t>
      </w:r>
      <w:r>
        <w:rPr>
          <w:rtl w:val="true"/>
        </w:rPr>
        <w:t>ולהפחית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עמדתו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להזכיר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המפרנס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בייחוד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שהגיש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והמליצה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נציגת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לטעמה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האשמה</w:t>
      </w:r>
      <w:r>
        <w:rPr>
          <w:rtl w:val="true"/>
        </w:rPr>
        <w:t xml:space="preserve">;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וחמורה</w:t>
      </w:r>
      <w:r>
        <w:rPr>
          <w:rtl w:val="true"/>
        </w:rPr>
        <w:t xml:space="preserve">; </w:t>
      </w:r>
      <w:r>
        <w:rPr>
          <w:rtl w:val="true"/>
        </w:rPr>
        <w:t>והפיצוי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וטענה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הוטעם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תעבורה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מורתע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חידדה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בהשתתפותו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לדידה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בתוככי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השחרורים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לשחרור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לאחר שעיינתי בגזר הדין של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ונתתי דעתי על טענות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הצדדים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אלו שבכתב ואלו שבעל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באתי לכלל מסקנה כי דין הערעור להידחות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כידוע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ערכאת הערעור נוטה שלא להתערב בקביעת העונש שנגזר בערכאה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זולת במצבים חריגים</w:t>
      </w:r>
      <w:r>
        <w:rPr>
          <w:rFonts w:ascii="Times New Roman" w:hAnsi="Times New Roman" w:cs="Times New Roman"/>
          <w:spacing w:val="0"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שבהם נפלה טעות מהותית בגזר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 חלה סטייה קיצונית ממדיניות הענישה המקובלת </w:t>
      </w:r>
      <w:r>
        <w:rPr>
          <w:rFonts w:cs="Century" w:ascii="Century" w:hAnsi="Century"/>
          <w:rtl w:val="true"/>
        </w:rPr>
        <w:t>(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1770/19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סוויד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(</w:t>
      </w:r>
      <w:r>
        <w:rPr/>
        <w:t>16.06.2019</w:t>
      </w:r>
      <w:r>
        <w:rPr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העניין שלפנינו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אינו נמנה על אותם מצבים חריגים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עבירת השוד בוצעה בידי שלושה אנשים בצוותא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והותירה נזק ממוני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 נזק נפשי משמעותי וארוך טווח לעובד לילה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המצוי ממילא במצב של סיכון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9079/16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מיארה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(</w:t>
      </w:r>
      <w:r>
        <w:rPr/>
        <w:t>09.03.2017</w:t>
      </w:r>
      <w:r>
        <w:rPr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מעשיהם של המערער וחבריו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פגעו באופן כללי בשלום הציבור ובטחונו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ופגעו באופן פרטני במתלונן שנכח בזירת האירוע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העונש שגזר בית המשפט המחוזי שקול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מאוזן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לבטח אינו חורג באופן קיצוני ממדיניות הענישה הנוהגת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בשני פסקי הדין שאוזכרו בגזר הדין מושא הערעור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וכן </w:t>
      </w: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2908/16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מקשאו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22.05.2016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וב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7537/16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מזרחי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30.01.2017</w:t>
      </w:r>
      <w:r>
        <w:rPr>
          <w:rtl w:val="true"/>
        </w:rPr>
        <w:t>)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בשים לב לעקרון המנחה בענישה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הלא הוא עקרון ההלימה </w:t>
      </w:r>
      <w:r>
        <w:rPr>
          <w:rFonts w:cs="Century" w:ascii="Century" w:hAnsi="Century"/>
          <w:rtl w:val="true"/>
        </w:rPr>
        <w:t>(</w:t>
      </w:r>
      <w:hyperlink r:id="rId15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40</w:t>
        </w:r>
        <w:r>
          <w:rPr>
            <w:rStyle w:val="Hyperlink"/>
            <w:rFonts w:ascii="Century" w:hAnsi="Century" w:cs="Century"/>
            <w:rtl w:val="true"/>
          </w:rPr>
          <w:t>ב</w:t>
        </w:r>
      </w:hyperlink>
      <w:r>
        <w:rPr>
          <w:rFonts w:ascii="Century" w:hAnsi="Century" w:cs="Century"/>
          <w:rtl w:val="true"/>
        </w:rPr>
        <w:t xml:space="preserve"> ל</w:t>
      </w:r>
      <w:hyperlink r:id="rId1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ברי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על דרך הכלל עבירה כמו זו שביצע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מחייבת ענישה ממשית ומרתיעה בדמות מאסר 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בקשתו של המערער ליטול חלק בהליכים טיפוליים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ראויה אמנם להערכה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כפי שציינה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אלו יוכלו להתקיים גם בתוככי בית הסוהר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שיקולי שיקום קיימים 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בצדק רב קבע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לא הונחה תשתית לקיומו של פוטנציאל שיקומי המצדיק סטייה לקולא ממתחם העונש ההולם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תסקירי שירות המבחן שהוגשו בעניינו של המערער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אינם חד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משמעיים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אמת נכון הדבר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פוטנציאל שיקומי קיים 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הדרך אל השיקום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נראה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 קצרה וגם אינה בטוחה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במצב דברים זה ובהתחשב ביתר הנסיבות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נדמה כי בית המשפט המחוזי צעד לקראת המערער כברת דרך שאינה מובנת מאליה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שעה שבחר למקם את עונשו ברף התחתון של מתחם הענישה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עוד זאת אעיר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את שידוע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תפקידו של שירות המבחן להמליץ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תפקידו של בית המשפט להכריע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חזר על כך בית משפט זה פעמים רבות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לדוגמה</w:t>
      </w:r>
      <w:r>
        <w:rPr>
          <w:rFonts w:cs="Century" w:ascii="Century" w:hAnsi="Century"/>
          <w:rtl w:val="true"/>
        </w:rPr>
        <w:t xml:space="preserve">: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6122/19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13.02.2020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4574/17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עראר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(</w:t>
      </w:r>
      <w:r>
        <w:rPr/>
        <w:t>23.08.2017</w:t>
      </w:r>
      <w:r>
        <w:rPr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בית המשפט המחוזי לא מצא לנכון לאמץ את המלצת שירות המבחן ולהורות על דחייה נוספת במתן גזר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כבר נפסק בעבר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לא בנקל יורה בית המשפט על דחיית מועד מתן גזר הדין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עסקינן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בהמלצה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המבחן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מיצוי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שיקומי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עומדים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מנגד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שונים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וביניהם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האינטרס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בסופיות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הדיון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הפגיעה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הנגרמת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להרתעת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היחיד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והרבים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ירוצה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ההרשעה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והשפעת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הדחייה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שיקומם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נפגעי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עצמו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1170/15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(</w:t>
      </w:r>
      <w:r>
        <w:rPr/>
        <w:t>11.01.2016</w:t>
      </w:r>
      <w:r>
        <w:rPr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בית המשפט נדרש לאזן בין השיקולים השונים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ולהכריע כראוי בעיניו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פעל בית המשפט המחוזי 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נפל פגם בהכרעתו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Fonts w:ascii="Century" w:hAnsi="Century" w:cs="Century"/>
          <w:rtl w:val="true"/>
        </w:rPr>
        <w:t>אשר לערעור נגד רכיב הפיצוי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המתלונן לא צורף כמשיב לערעור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ודי בכך כדי לדחות את הערעור על רכיב זה </w:t>
      </w:r>
      <w:r>
        <w:rPr>
          <w:rFonts w:cs="Century" w:ascii="Century" w:hAnsi="Century"/>
          <w:rtl w:val="true"/>
        </w:rPr>
        <w:t>(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5883/15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ציאם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(</w:t>
      </w:r>
      <w:r>
        <w:rPr/>
        <w:t>24.11.2016</w:t>
      </w:r>
      <w:r>
        <w:rPr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6921/16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דניס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מאי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וינטרס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(</w:t>
      </w:r>
      <w:r>
        <w:rPr/>
        <w:t>28.06.2017</w:t>
      </w:r>
      <w:r>
        <w:rPr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מכל מקום אזכיר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שיקול הדעת בקביעת גובה הפיצוי שישולם לנפגע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שמור לערכאה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וההתערבות בהחלטתה מצומצמת עד מאד </w:t>
      </w:r>
      <w:r>
        <w:rPr>
          <w:rFonts w:cs="Century" w:ascii="Century" w:hAnsi="Century"/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1062/19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(</w:t>
      </w:r>
      <w:r>
        <w:rPr/>
        <w:t>09.07.2019</w:t>
      </w:r>
      <w:r>
        <w:rPr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הרבה למעלה מן הצורך אציין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בשים לב לעוצמת הנזק שנגרם למתלונן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אינני סבור כי שיעור הפיצוי חורג מן הראוי בנסיבות העניין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לחברַי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מטפליו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השחרורים</w:t>
      </w:r>
      <w:r>
        <w:rPr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קרא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אלרון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אוהלי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קידר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28.6.2020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פוגלמן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26.3.2020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8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בתמוז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24.6.2020</w:t>
      </w:r>
      <w:r>
        <w:rPr>
          <w:rtl w:val="true"/>
        </w:rPr>
        <w:t xml:space="preserve">). </w:t>
      </w:r>
      <w:bookmarkEnd w:id="1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color w:val="FFFFFF"/>
                <w:sz w:val="2"/>
                <w:szCs w:val="2"/>
              </w:rPr>
              <w:t>54678313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20022280</w:t>
      </w:r>
      <w:r>
        <w:rPr>
          <w:sz w:val="16"/>
          <w:rtl w:val="true"/>
        </w:rPr>
        <w:t>_</w:t>
      </w:r>
      <w:r>
        <w:rPr>
          <w:sz w:val="16"/>
        </w:rPr>
        <w:t>O02.docx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54678313-2228/20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5"/>
      <w:footerReference w:type="default" r:id="rId2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2228/20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מורד אטרש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36769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40b" TargetMode="External"/><Relationship Id="rId6" Type="http://schemas.openxmlformats.org/officeDocument/2006/relationships/hyperlink" Target="http://www.nevo.co.il/law/70301/402.a" TargetMode="External"/><Relationship Id="rId7" Type="http://schemas.openxmlformats.org/officeDocument/2006/relationships/hyperlink" Target="http://www.nevo.co.il/case/25367697" TargetMode="External"/><Relationship Id="rId8" Type="http://schemas.openxmlformats.org/officeDocument/2006/relationships/hyperlink" Target="http://www.nevo.co.il/law/70301/402.a" TargetMode="External"/><Relationship Id="rId9" Type="http://schemas.openxmlformats.org/officeDocument/2006/relationships/hyperlink" Target="http://www.nevo.co.il/law/70301/29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25524760" TargetMode="External"/><Relationship Id="rId12" Type="http://schemas.openxmlformats.org/officeDocument/2006/relationships/hyperlink" Target="http://www.nevo.co.il/case/21664419" TargetMode="External"/><Relationship Id="rId13" Type="http://schemas.openxmlformats.org/officeDocument/2006/relationships/hyperlink" Target="http://www.nevo.co.il/case/21473119" TargetMode="External"/><Relationship Id="rId14" Type="http://schemas.openxmlformats.org/officeDocument/2006/relationships/hyperlink" Target="http://www.nevo.co.il/case/21479947" TargetMode="External"/><Relationship Id="rId15" Type="http://schemas.openxmlformats.org/officeDocument/2006/relationships/hyperlink" Target="http://www.nevo.co.il/law/70301/40b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26051088" TargetMode="External"/><Relationship Id="rId18" Type="http://schemas.openxmlformats.org/officeDocument/2006/relationships/hyperlink" Target="http://www.nevo.co.il/case/22712731" TargetMode="External"/><Relationship Id="rId19" Type="http://schemas.openxmlformats.org/officeDocument/2006/relationships/hyperlink" Target="http://www.nevo.co.il/case/20031943" TargetMode="External"/><Relationship Id="rId20" Type="http://schemas.openxmlformats.org/officeDocument/2006/relationships/hyperlink" Target="http://www.nevo.co.il/case/21472953" TargetMode="External"/><Relationship Id="rId21" Type="http://schemas.openxmlformats.org/officeDocument/2006/relationships/hyperlink" Target="http://www.nevo.co.il/case/21478960" TargetMode="External"/><Relationship Id="rId22" Type="http://schemas.openxmlformats.org/officeDocument/2006/relationships/hyperlink" Target="http://www.nevo.co.il/case/25437997" TargetMode="External"/><Relationship Id="rId23" Type="http://schemas.openxmlformats.org/officeDocument/2006/relationships/hyperlink" Target="http://supreme.court.gov.il/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2020-06-28T08:39:00Z</dcterms:created>
  <dc:creator>h4</dc:creator>
  <dc:description/>
  <cp:keywords/>
  <dc:language>en-IL</dc:language>
  <cp:lastModifiedBy>orly</cp:lastModifiedBy>
  <cp:lastPrinted>2020-06-24T16:20:00Z</cp:lastPrinted>
  <dcterms:modified xsi:type="dcterms:W3CDTF">2020-06-28T08:39:00Z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מורד אטרש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25367697:2;25524760;21664419;21473119;21479947;26051088;22712731;20031943;21472953;21478960;25437997</vt:lpwstr>
  </property>
  <property fmtid="{D5CDD505-2E9C-101B-9397-08002B2CF9AE}" pid="9" name="CITY">
    <vt:lpwstr/>
  </property>
  <property fmtid="{D5CDD505-2E9C-101B-9397-08002B2CF9AE}" pid="10" name="DATE">
    <vt:lpwstr>20200624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סולברג;ג' קרא;י' אלרון</vt:lpwstr>
  </property>
  <property fmtid="{D5CDD505-2E9C-101B-9397-08002B2CF9AE}" pid="14" name="LAWLISTTMP1">
    <vt:lpwstr>70301/402.a;029;040b</vt:lpwstr>
  </property>
  <property fmtid="{D5CDD505-2E9C-101B-9397-08002B2CF9AE}" pid="15" name="LAWYER">
    <vt:lpwstr>אופיר ביתן;שאדי נאטור;ברכה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>עונשין</vt:lpwstr>
  </property>
  <property fmtid="{D5CDD505-2E9C-101B-9397-08002B2CF9AE}" pid="33" name="NOSE17">
    <vt:lpwstr>עונשין</vt:lpwstr>
  </property>
  <property fmtid="{D5CDD505-2E9C-101B-9397-08002B2CF9AE}" pid="34" name="NOSE18">
    <vt:lpwstr>עונשין</vt:lpwstr>
  </property>
  <property fmtid="{D5CDD505-2E9C-101B-9397-08002B2CF9AE}" pid="35" name="NOSE19">
    <vt:lpwstr/>
  </property>
  <property fmtid="{D5CDD505-2E9C-101B-9397-08002B2CF9AE}" pid="36" name="NOSE1ID">
    <vt:lpwstr>77;77;77;77;77;77;77;77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>ענישה</vt:lpwstr>
  </property>
  <property fmtid="{D5CDD505-2E9C-101B-9397-08002B2CF9AE}" pid="44" name="NOSE27">
    <vt:lpwstr>ענישה</vt:lpwstr>
  </property>
  <property fmtid="{D5CDD505-2E9C-101B-9397-08002B2CF9AE}" pid="45" name="NOSE28">
    <vt:lpwstr>ענישה</vt:lpwstr>
  </property>
  <property fmtid="{D5CDD505-2E9C-101B-9397-08002B2CF9AE}" pid="46" name="NOSE29">
    <vt:lpwstr/>
  </property>
  <property fmtid="{D5CDD505-2E9C-101B-9397-08002B2CF9AE}" pid="47" name="NOSE2ID">
    <vt:lpwstr>1446;1446;1446;1446;1446;1446;1446;1446</vt:lpwstr>
  </property>
  <property fmtid="{D5CDD505-2E9C-101B-9397-08002B2CF9AE}" pid="48" name="NOSE31">
    <vt:lpwstr>מדיניות ענישה: עבירות שוד</vt:lpwstr>
  </property>
  <property fmtid="{D5CDD505-2E9C-101B-9397-08002B2CF9AE}" pid="49" name="NOSE310">
    <vt:lpwstr/>
  </property>
  <property fmtid="{D5CDD505-2E9C-101B-9397-08002B2CF9AE}" pid="50" name="NOSE32">
    <vt:lpwstr>מדיניות ענישה: שיקולים</vt:lpwstr>
  </property>
  <property fmtid="{D5CDD505-2E9C-101B-9397-08002B2CF9AE}" pid="51" name="NOSE33">
    <vt:lpwstr>מדיניות ענישה: שיקום</vt:lpwstr>
  </property>
  <property fmtid="{D5CDD505-2E9C-101B-9397-08002B2CF9AE}" pid="52" name="NOSE34">
    <vt:lpwstr>מדיניות ענישה: התערבות ערכאת ערעור</vt:lpwstr>
  </property>
  <property fmtid="{D5CDD505-2E9C-101B-9397-08002B2CF9AE}" pid="53" name="NOSE35">
    <vt:lpwstr>עקרון ההלימה‏</vt:lpwstr>
  </property>
  <property fmtid="{D5CDD505-2E9C-101B-9397-08002B2CF9AE}" pid="54" name="NOSE36">
    <vt:lpwstr>מתחם הענישה</vt:lpwstr>
  </property>
  <property fmtid="{D5CDD505-2E9C-101B-9397-08002B2CF9AE}" pid="55" name="NOSE37">
    <vt:lpwstr>תסקיר שירות מבחן</vt:lpwstr>
  </property>
  <property fmtid="{D5CDD505-2E9C-101B-9397-08002B2CF9AE}" pid="56" name="NOSE38">
    <vt:lpwstr>דרכי ענישה: פיצויים</vt:lpwstr>
  </property>
  <property fmtid="{D5CDD505-2E9C-101B-9397-08002B2CF9AE}" pid="57" name="NOSE39">
    <vt:lpwstr/>
  </property>
  <property fmtid="{D5CDD505-2E9C-101B-9397-08002B2CF9AE}" pid="58" name="NOSE3ID">
    <vt:lpwstr>16213;8994;14346;8982;14799;14985;13182;8968</vt:lpwstr>
  </property>
  <property fmtid="{D5CDD505-2E9C-101B-9397-08002B2CF9AE}" pid="59" name="PADIDATE">
    <vt:lpwstr>20200628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2228</vt:lpwstr>
  </property>
  <property fmtid="{D5CDD505-2E9C-101B-9397-08002B2CF9AE}" pid="65" name="PROCYEAR">
    <vt:lpwstr>20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410120200624</vt:lpwstr>
  </property>
  <property fmtid="{D5CDD505-2E9C-101B-9397-08002B2CF9AE}" pid="69" name="TYPE_N_DATE">
    <vt:lpwstr>41020200624</vt:lpwstr>
  </property>
  <property fmtid="{D5CDD505-2E9C-101B-9397-08002B2CF9AE}" pid="70" name="VOLUME">
    <vt:lpwstr/>
  </property>
  <property fmtid="{D5CDD505-2E9C-101B-9397-08002B2CF9AE}" pid="71" name="WORDNUMPAGES">
    <vt:lpwstr>9</vt:lpwstr>
  </property>
</Properties>
</file>