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2249/18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2720/18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/>
              <w:t>2249/18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/>
              <w:t>2720/18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/>
              <w:t>2249/18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/>
              <w:t>2720/18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גזר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חיפה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59850-12-14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31.01.2018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השופטים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: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ר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שפירא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–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נשיא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,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אליקים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–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סג</w:t>
            </w:r>
            <w:r>
              <w:rPr>
                <w:rFonts w:cs="Miriam"/>
                <w:sz w:val="28"/>
                <w:szCs w:val="24"/>
                <w:rtl w:val="true"/>
              </w:rPr>
              <w:t>"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נ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,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ת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נאות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תאריך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הישיבה</w:t>
            </w:r>
            <w:r>
              <w:rPr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בתשרי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התשע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09.10.2018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/>
              <w:t>2249/18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/>
              <w:t>2720/18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/>
              <w:t>2249/18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/>
              <w:t>2720/18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עפרוני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בתוצאותיה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";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הצתה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ולילדיה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45,000</w:t>
      </w:r>
      <w:r>
        <w:rPr>
          <w:rFonts w:cs="FrankRuehl"/>
          <w:sz w:val="24"/>
          <w:szCs w:val="26"/>
          <w:rtl w:val="true"/>
        </w:rPr>
        <w:t xml:space="preserve"> ₪,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ותקיפה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מוצדקת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להמעיט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חשדותיו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בוגדת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הצטייד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דליק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לפציעת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מלבדו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ואושפזה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שנזקק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לאשפוז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מאסטמה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ובנה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לאשפוז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בתוצאותיה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בסיפא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448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שבצדה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יוחמר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. </w:t>
        <w:tab/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End w:id="11"/>
            <w:r>
              <w:rPr>
                <w:spacing w:val="0"/>
                <w:szCs w:val="24"/>
                <w:u w:val="none"/>
                <w:rtl w:val="true"/>
              </w:rPr>
              <w:t>פסק</w:t>
            </w:r>
            <w:r>
              <w:rPr>
                <w:spacing w:val="0"/>
                <w:szCs w:val="24"/>
                <w:u w:val="none"/>
                <w:rtl w:val="true"/>
              </w:rPr>
              <w:t>-</w:t>
            </w:r>
            <w:r>
              <w:rPr>
                <w:spacing w:val="0"/>
                <w:szCs w:val="24"/>
                <w:u w:val="none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3" w:name="Start_Write"/>
      <w:bookmarkStart w:id="14" w:name="Start_Write"/>
      <w:bookmarkEnd w:id="14"/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לפנינו ערעור וערעור שכנגד על גזר דינו של בית המשפט המחוזי בחיפה ב</w:t>
      </w:r>
      <w:hyperlink r:id="rId1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59850-12-14</w:t>
        </w:r>
      </w:hyperlink>
      <w:r>
        <w:rPr>
          <w:rtl w:val="true"/>
        </w:rPr>
        <w:t xml:space="preserve"> (</w:t>
      </w:r>
      <w:r>
        <w:rPr>
          <w:rtl w:val="true"/>
        </w:rPr>
        <w:t xml:space="preserve">הנשיא </w:t>
      </w:r>
      <w:r>
        <w:rPr>
          <w:rFonts w:ascii="Miriam" w:hAnsi="Miriam" w:cs="Miriam"/>
          <w:szCs w:val="24"/>
          <w:rtl w:val="true"/>
        </w:rPr>
        <w:t>ר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שפירא</w:t>
      </w:r>
      <w:r>
        <w:rPr>
          <w:rtl w:val="true"/>
        </w:rPr>
        <w:t xml:space="preserve">, </w:t>
      </w:r>
      <w:r>
        <w:rPr>
          <w:rtl w:val="true"/>
        </w:rPr>
        <w:t>סגן הנשיא</w:t>
      </w:r>
      <w:r>
        <w:rPr>
          <w:rFonts w:ascii="Miriam" w:hAnsi="Miriam" w:cs="Miriam"/>
          <w:szCs w:val="24"/>
          <w:rtl w:val="true"/>
        </w:rPr>
        <w:t xml:space="preserve"> א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 xml:space="preserve">אליקים </w:t>
      </w:r>
      <w:r>
        <w:rPr>
          <w:rtl w:val="true"/>
        </w:rPr>
        <w:t xml:space="preserve">והשופטת </w:t>
      </w:r>
      <w:r>
        <w:rPr>
          <w:rFonts w:ascii="Miriam" w:hAnsi="Miriam" w:cs="Miriam"/>
          <w:szCs w:val="24"/>
          <w:rtl w:val="true"/>
        </w:rPr>
        <w:t>ת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נאות פרי</w:t>
      </w:r>
      <w:r>
        <w:rPr>
          <w:rtl w:val="true"/>
        </w:rPr>
        <w:t xml:space="preserve">) </w:t>
      </w:r>
      <w:r>
        <w:rPr>
          <w:rtl w:val="true"/>
        </w:rPr>
        <w:t xml:space="preserve">מיום </w:t>
      </w:r>
      <w:r>
        <w:rPr/>
        <w:t>31.1.2018</w:t>
      </w:r>
      <w:r>
        <w:rPr>
          <w:rtl w:val="true"/>
        </w:rPr>
        <w:t xml:space="preserve">, </w:t>
      </w:r>
      <w:r>
        <w:rPr>
          <w:rtl w:val="true"/>
        </w:rPr>
        <w:t>בגדרו השית בית משפט קמא על המערער עונש של ארבע שנות מאסר בפועל בניכוי תקופת מאסרו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שלוש שנים לבל יעבור עבירות הצתה ואלימות </w:t>
      </w:r>
      <w:r>
        <w:rPr>
          <w:rtl w:val="true"/>
        </w:rPr>
        <w:t>(</w:t>
      </w:r>
      <w:r>
        <w:rPr>
          <w:rtl w:val="true"/>
        </w:rPr>
        <w:t>בהתאמה</w:t>
      </w:r>
      <w:r>
        <w:rPr>
          <w:rtl w:val="true"/>
        </w:rPr>
        <w:t xml:space="preserve">); </w:t>
      </w:r>
      <w:r>
        <w:rPr>
          <w:rtl w:val="true"/>
        </w:rPr>
        <w:t xml:space="preserve">ופיצוי למתלוננת ולילדיה בסך כולל של </w:t>
      </w:r>
      <w:r>
        <w:rPr/>
        <w:t>45,000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העובדות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הצריכות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לעניין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2720/18</w:t>
      </w:r>
      <w:r>
        <w:rPr>
          <w:rtl w:val="true"/>
        </w:rPr>
        <w:t xml:space="preserve"> </w:t>
      </w:r>
      <w:r>
        <w:rPr>
          <w:rtl w:val="true"/>
        </w:rPr>
        <w:t>והמשיב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2249/18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Emphasis"/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>המערער</w:t>
      </w:r>
      <w:r>
        <w:rPr>
          <w:rStyle w:val="Emphasis"/>
          <w:rFonts w:cs="FrankRuehl" w:ascii="Times New Roman" w:hAnsi="Times New Roman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הורשע לאחר שמיעת ראיות בבית המשפט המחוזי בחיפה בעבירה של הצתה לפי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Emphasis"/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>החוק</w:t>
      </w:r>
      <w:r>
        <w:rPr>
          <w:rStyle w:val="Emphasis"/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Style w:val="Emphasis"/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>חוק העונשין</w:t>
      </w:r>
      <w:r>
        <w:rPr>
          <w:rtl w:val="true"/>
        </w:rPr>
        <w:t xml:space="preserve">) </w:t>
      </w:r>
      <w:r>
        <w:rPr>
          <w:rtl w:val="true"/>
        </w:rPr>
        <w:t xml:space="preserve">ובעבירה של תקיפה לפי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כעולה מעובדות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לאחר לידת בנם המשותף של המתלוננת והמערער בחודש פברואר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החל האחרון לחשוד כי המתלוננת</w:t>
      </w:r>
      <w:r>
        <w:rPr>
          <w:rtl w:val="true"/>
        </w:rPr>
        <w:t xml:space="preserve">, </w:t>
      </w:r>
      <w:r>
        <w:rPr>
          <w:rtl w:val="true"/>
        </w:rPr>
        <w:t>אשר הייתה בת זוגו באותה תקופה</w:t>
      </w:r>
      <w:r>
        <w:rPr>
          <w:rtl w:val="true"/>
        </w:rPr>
        <w:t xml:space="preserve">, </w:t>
      </w:r>
      <w:r>
        <w:rPr>
          <w:rtl w:val="true"/>
        </w:rPr>
        <w:t>מנהלת מערכת יחסים נוספת</w:t>
      </w:r>
      <w:r>
        <w:rPr>
          <w:rtl w:val="true"/>
        </w:rPr>
        <w:t xml:space="preserve">. </w:t>
      </w:r>
      <w:r>
        <w:rPr>
          <w:rtl w:val="true"/>
        </w:rPr>
        <w:t>לאור חשדותיו</w:t>
      </w:r>
      <w:r>
        <w:rPr>
          <w:rtl w:val="true"/>
        </w:rPr>
        <w:t xml:space="preserve">, </w:t>
      </w:r>
      <w:r>
        <w:rPr>
          <w:rtl w:val="true"/>
        </w:rPr>
        <w:t xml:space="preserve">התקין המערער מצלמות בסלון דירתם </w:t>
      </w:r>
      <w:r>
        <w:rPr>
          <w:rtl w:val="true"/>
        </w:rPr>
        <w:t>(</w:t>
      </w:r>
      <w:r>
        <w:rPr>
          <w:rtl w:val="true"/>
        </w:rPr>
        <w:t>אותן הסיר לאחר כחודש</w:t>
      </w:r>
      <w:r>
        <w:rPr>
          <w:rtl w:val="true"/>
        </w:rPr>
        <w:t xml:space="preserve">), </w:t>
      </w:r>
      <w:r>
        <w:rPr>
          <w:rtl w:val="true"/>
        </w:rPr>
        <w:t>בה התגוררו גם בנם המשותף ל</w:t>
      </w:r>
      <w:r>
        <w:rPr>
          <w:rtl w:val="true"/>
        </w:rPr>
        <w:t>' (</w:t>
      </w:r>
      <w:r>
        <w:rPr>
          <w:rtl w:val="true"/>
        </w:rPr>
        <w:t xml:space="preserve">קטין יליד </w:t>
      </w:r>
      <w:r>
        <w:rPr/>
        <w:t>16.2.2014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' (</w:t>
      </w:r>
      <w:r>
        <w:rPr>
          <w:rtl w:val="true"/>
        </w:rPr>
        <w:t xml:space="preserve">קטין יליד </w:t>
      </w:r>
      <w:r>
        <w:rPr/>
        <w:t>25.5.2006</w:t>
      </w:r>
      <w:r>
        <w:rPr>
          <w:rtl w:val="true"/>
        </w:rPr>
        <w:t xml:space="preserve">), </w:t>
      </w:r>
      <w:r>
        <w:rPr>
          <w:rtl w:val="true"/>
        </w:rPr>
        <w:t>בנה של המתלוננת ממערכת יחסים אחרת</w:t>
      </w:r>
      <w:r>
        <w:rPr>
          <w:rtl w:val="true"/>
        </w:rPr>
        <w:t xml:space="preserve">; </w:t>
      </w:r>
      <w:r>
        <w:rPr>
          <w:rtl w:val="true"/>
        </w:rPr>
        <w:t>בדק עם מי שוחחה המתלוננת במכשיר הטלפון הנייד אשר היה ברשותה</w:t>
      </w:r>
      <w:r>
        <w:rPr>
          <w:rtl w:val="true"/>
        </w:rPr>
        <w:t xml:space="preserve">; </w:t>
      </w:r>
      <w:r>
        <w:rPr>
          <w:rtl w:val="true"/>
        </w:rPr>
        <w:t>וקרא מסרונים והתכתבויות של המתלוננת אשר היו שמורים במכשירה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eastAsia="Arial TUR;Arial" w:cs="Arial TUR;Arial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?" </w:t>
      </w:r>
      <w:r>
        <w:rPr>
          <w:rtl w:val="true"/>
        </w:rPr>
        <w:t>ולשאלתה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האלוהים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הנשמה</w:t>
      </w:r>
      <w:r>
        <w:rPr>
          <w:rtl w:val="true"/>
        </w:rPr>
        <w:t xml:space="preserve">,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אגרוף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10.12.2014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המשותף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משוחחת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משסירבה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תצטער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".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דרישותיו</w:t>
      </w:r>
      <w:r>
        <w:rPr>
          <w:rtl w:val="true"/>
        </w:rPr>
        <w:t xml:space="preserve">, </w:t>
      </w:r>
      <w:r>
        <w:rPr>
          <w:rtl w:val="true"/>
        </w:rPr>
        <w:t>ומשסורב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04:00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12.12.2014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דליק</w:t>
      </w:r>
      <w:r>
        <w:rPr>
          <w:rtl w:val="true"/>
        </w:rPr>
        <w:t xml:space="preserve">. </w:t>
      </w:r>
      <w:r>
        <w:rPr>
          <w:rtl w:val="true"/>
        </w:rPr>
        <w:t>מששמעה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. </w:t>
      </w:r>
      <w:r>
        <w:rPr>
          <w:rtl w:val="true"/>
        </w:rPr>
        <w:t>משסירבה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איתך</w:t>
      </w:r>
      <w:r>
        <w:rPr>
          <w:rtl w:val="true"/>
        </w:rPr>
        <w:t xml:space="preserve">" </w:t>
      </w:r>
      <w:r>
        <w:rPr>
          <w:rtl w:val="true"/>
        </w:rPr>
        <w:t>ושפך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לשטוף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בוגדים</w:t>
      </w:r>
      <w:r>
        <w:rPr>
          <w:rtl w:val="true"/>
        </w:rPr>
        <w:t xml:space="preserve">" </w:t>
      </w:r>
      <w:r>
        <w:rPr>
          <w:rtl w:val="true"/>
        </w:rPr>
        <w:t>והצית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הספות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מדירתם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כתוצאה ממעשיו של המערער סבלה המתלוננת</w:t>
      </w:r>
      <w:r>
        <w:rPr>
          <w:rtl w:val="true"/>
        </w:rPr>
        <w:t xml:space="preserve">, </w:t>
      </w:r>
      <w:r>
        <w:rPr>
          <w:rtl w:val="true"/>
        </w:rPr>
        <w:t>שהייתה באותה עת בשבוע ה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להריונה</w:t>
      </w:r>
      <w:r>
        <w:rPr>
          <w:rtl w:val="true"/>
        </w:rPr>
        <w:t xml:space="preserve">, </w:t>
      </w:r>
      <w:r>
        <w:rPr>
          <w:rtl w:val="true"/>
        </w:rPr>
        <w:t xml:space="preserve">מקוצר נשימה וכוויות בדרגות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בפנים ובכתף</w:t>
      </w:r>
      <w:r>
        <w:rPr>
          <w:rtl w:val="true"/>
        </w:rPr>
        <w:t xml:space="preserve">, </w:t>
      </w:r>
      <w:r>
        <w:rPr>
          <w:rtl w:val="true"/>
        </w:rPr>
        <w:t>ואושפזה למשך ארבעה ימים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הורדם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נפיחויות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בגרונו</w:t>
      </w:r>
      <w:r>
        <w:rPr>
          <w:rtl w:val="true"/>
        </w:rPr>
        <w:t xml:space="preserve">, </w:t>
      </w:r>
      <w:r>
        <w:rPr>
          <w:rtl w:val="true"/>
        </w:rPr>
        <w:t>שערות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שרופות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פיח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הורדם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מיתרי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הקול</w:t>
      </w:r>
      <w:r>
        <w:rPr>
          <w:rtl w:val="true"/>
        </w:rPr>
        <w:t xml:space="preserve">,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באפרכסת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ושערו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נחרך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0"/>
          <w:sz w:val="20"/>
          <w:szCs w:val="24"/>
          <w:rtl w:val="true"/>
        </w:rPr>
        <w:t>שבעה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שכנים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נשימה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נשימתית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העליונות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ההליך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כפר בכתב האישום שיוחס לו בפני בית משפט קמא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טען כי אינו זוכר את שאירע בערב בו התרחשה ההצתה</w:t>
      </w:r>
      <w:r>
        <w:rPr>
          <w:rtl w:val="true"/>
        </w:rPr>
        <w:t xml:space="preserve">, </w:t>
      </w:r>
      <w:r>
        <w:rPr>
          <w:rtl w:val="true"/>
        </w:rPr>
        <w:t>וכי באותו יום שב לביתו לאחר שעות עבודה ממושכות ונרדם על ספת הסלון לאחר ששתה משקאות משכרים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כאשר הקיץ משנתו הסלון היה אפוף בעשן כבד והאש כבר בערה</w:t>
      </w:r>
      <w:r>
        <w:rPr>
          <w:rtl w:val="true"/>
        </w:rPr>
        <w:t xml:space="preserve">, </w:t>
      </w:r>
      <w:r>
        <w:rPr>
          <w:rtl w:val="true"/>
        </w:rPr>
        <w:t>והוא אינו יודע כיצד פרצה האש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וילדיה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לבית משפט קמא הוגש תסקיר בעניינו של המערער ממנו עלה כי המתלוננת היא אשתו השנייה</w:t>
      </w:r>
      <w:r>
        <w:rPr>
          <w:rtl w:val="true"/>
        </w:rPr>
        <w:t xml:space="preserve">, </w:t>
      </w:r>
      <w:r>
        <w:rPr>
          <w:rtl w:val="true"/>
        </w:rPr>
        <w:t>וכי לחובתו הרשעה אחת בגינה נדון לצו של</w:t>
      </w:r>
      <w:r>
        <w:rPr>
          <w:rtl w:val="true"/>
        </w:rPr>
        <w:t>"</w:t>
      </w:r>
      <w:r>
        <w:rPr>
          <w:rtl w:val="true"/>
        </w:rPr>
        <w:t xml:space="preserve">צ בהיקף של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שעות שהומר בשלב מאוחר יותר לקנס כספי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שירות המבחן מצא כי המערער פיתח דפוסי התקשרות שאינם בטוחים</w:t>
      </w:r>
      <w:r>
        <w:rPr>
          <w:rtl w:val="true"/>
        </w:rPr>
        <w:t xml:space="preserve">, </w:t>
      </w:r>
      <w:r>
        <w:rPr>
          <w:rtl w:val="true"/>
        </w:rPr>
        <w:t>המאופיינים בקנאה ובחוסר יציבות רגשית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ייתכן בעקבות חשיפתו לאלימות קשה ומתמשכת של אביו כלפי אימו בילדותו</w:t>
      </w:r>
      <w:r>
        <w:rPr>
          <w:rtl w:val="true"/>
        </w:rPr>
        <w:t xml:space="preserve">. </w:t>
      </w:r>
      <w:r>
        <w:rPr>
          <w:rtl w:val="true"/>
        </w:rPr>
        <w:t>שירות המבחן מצא כי המערער מתקשה לקחת אחריות על מעשיו</w:t>
      </w:r>
      <w:r>
        <w:rPr>
          <w:rtl w:val="true"/>
        </w:rPr>
        <w:t xml:space="preserve">, </w:t>
      </w:r>
      <w:r>
        <w:rPr>
          <w:rtl w:val="true"/>
        </w:rPr>
        <w:t>ותולה את ההצתה בהתנהלות רשלנית אשר נבעה מהשפעת אלכוהול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אובססיבית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בהתחשב בחומרת העבירות ורמת הסיכון והמסוכנות הגבוהה של המערער</w:t>
      </w:r>
      <w:r>
        <w:rPr>
          <w:rtl w:val="true"/>
        </w:rPr>
        <w:t xml:space="preserve">, </w:t>
      </w:r>
      <w:r>
        <w:rPr>
          <w:rtl w:val="true"/>
        </w:rPr>
        <w:t>לא בא שירות המבחן בהמלצה שיקומית בעניינו</w:t>
      </w:r>
      <w:r>
        <w:rPr>
          <w:rtl w:val="true"/>
        </w:rPr>
        <w:t xml:space="preserve">, </w:t>
      </w:r>
      <w:r>
        <w:rPr>
          <w:rtl w:val="true"/>
        </w:rPr>
        <w:t>והמליץ לגזור על המערער עונשי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ופיצוי כספי לקורבנות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הומלץ על שילובו בטיפול ייעודי לגברים אלימים במסגרת מאסרו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דינו קבע בית משפט קמא מתחם ענישה נפרד לעבירות ההצתה ולעבירת התקיפה בהן הורשע המערער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 חלוף הזמן בין האירועים והנסיבות השונות לעבירות</w:t>
      </w:r>
      <w:r>
        <w:rPr>
          <w:rtl w:val="true"/>
        </w:rPr>
        <w:t xml:space="preserve">, </w:t>
      </w:r>
      <w:r>
        <w:rPr>
          <w:rtl w:val="true"/>
        </w:rPr>
        <w:t>על רקע ההידרדרות שחלה ביחסים שבין המערער לבין המתלוננת מאז אירוע התקיפה ועד לאירוע ההצתה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בקביעת מתחם העונש ההולם בגין עבירת ההצתה התייחס בית משפט קמא לערכים המוגנים אשר נפגעו כתוצאה ממעשיו של המערער</w:t>
      </w:r>
      <w:r>
        <w:rPr>
          <w:rtl w:val="true"/>
        </w:rPr>
        <w:t xml:space="preserve">, </w:t>
      </w:r>
      <w:r>
        <w:rPr>
          <w:rtl w:val="true"/>
        </w:rPr>
        <w:t>ובהם ערך השמירה על החיים ושלמות הגוף וההגנה על שלום הציבור</w:t>
      </w:r>
      <w:r>
        <w:rPr>
          <w:rtl w:val="true"/>
        </w:rPr>
        <w:t xml:space="preserve">. </w:t>
      </w:r>
      <w:r>
        <w:rPr>
          <w:rtl w:val="true"/>
        </w:rPr>
        <w:t xml:space="preserve">בפרט עמד בית משפט קמא על חומרת הפגיעה בערכים אלו בשל </w:t>
      </w:r>
      <w:r>
        <w:rPr>
          <w:rtl w:val="true"/>
        </w:rPr>
        <w:t>"</w:t>
      </w:r>
      <w:r>
        <w:rPr>
          <w:rtl w:val="true"/>
        </w:rPr>
        <w:t>אופיה של עבירת ההצתה שאת תוצאותיה לא ניתן לחזות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",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האובססיבית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;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;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;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; </w:t>
      </w:r>
      <w:r>
        <w:rPr>
          <w:rtl w:val="true"/>
        </w:rPr>
        <w:t>ויצר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בקביעת מתחם העונש ההולם עבור עבירת התקיפה</w:t>
      </w:r>
      <w:r>
        <w:rPr>
          <w:rtl w:val="true"/>
        </w:rPr>
        <w:t xml:space="preserve">, </w:t>
      </w:r>
      <w:r>
        <w:rPr>
          <w:rtl w:val="true"/>
        </w:rPr>
        <w:t>דן בית משפט קמא בערכים המוגנים של שלמות הגוף ותחושת הביטחון של אדם</w:t>
      </w:r>
      <w:r>
        <w:rPr>
          <w:rtl w:val="true"/>
        </w:rPr>
        <w:t xml:space="preserve">, </w:t>
      </w:r>
      <w:r>
        <w:rPr>
          <w:rtl w:val="true"/>
        </w:rPr>
        <w:t>אשר נפגעו כתוצאה ממעשי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וקבע שמידת הפגיעה בהם היא </w:t>
      </w:r>
      <w:r>
        <w:rPr>
          <w:rtl w:val="true"/>
        </w:rPr>
        <w:t>"</w:t>
      </w:r>
      <w:r>
        <w:rPr>
          <w:rtl w:val="true"/>
        </w:rPr>
        <w:t>ברף הנמוך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הבלעדית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האובססיבית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בודדים</w:t>
      </w:r>
      <w:r>
        <w:rPr>
          <w:rtl w:val="true"/>
        </w:rPr>
        <w:t xml:space="preserve">, </w:t>
      </w:r>
      <w:r>
        <w:rPr>
          <w:rtl w:val="true"/>
        </w:rPr>
        <w:t>הניתן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בעת גזירת עונשו של המערער בתוך המתחם</w:t>
      </w:r>
      <w:r>
        <w:rPr>
          <w:rtl w:val="true"/>
        </w:rPr>
        <w:t xml:space="preserve">, </w:t>
      </w:r>
      <w:r>
        <w:rPr>
          <w:rtl w:val="true"/>
        </w:rPr>
        <w:t>בית משפט קמא שקל לקולא את נסיבותיו האישיות</w:t>
      </w:r>
      <w:r>
        <w:rPr>
          <w:rtl w:val="true"/>
        </w:rPr>
        <w:t xml:space="preserve">, </w:t>
      </w:r>
      <w:r>
        <w:rPr>
          <w:rtl w:val="true"/>
        </w:rPr>
        <w:t>ובהן את העובדה שהמערער נחשף לאלימות מצד אביו כלפי אימו בילדותו ואת הקושי הצפוי בשיקומו לאחר תקופת המאסר</w:t>
      </w:r>
      <w:r>
        <w:rPr>
          <w:rtl w:val="true"/>
        </w:rPr>
        <w:t xml:space="preserve">; </w:t>
      </w:r>
      <w:r>
        <w:rPr>
          <w:rtl w:val="true"/>
        </w:rPr>
        <w:t>הפגיעה במשפחתו בעקבות האירועים</w:t>
      </w:r>
      <w:r>
        <w:rPr>
          <w:rtl w:val="true"/>
        </w:rPr>
        <w:t xml:space="preserve">; </w:t>
      </w:r>
      <w:r>
        <w:rPr>
          <w:rtl w:val="true"/>
        </w:rPr>
        <w:t xml:space="preserve">העובדה כי לחובתו עבר פלילי </w:t>
      </w:r>
      <w:r>
        <w:rPr>
          <w:rtl w:val="true"/>
        </w:rPr>
        <w:t>"</w:t>
      </w:r>
      <w:r>
        <w:rPr>
          <w:rtl w:val="true"/>
        </w:rPr>
        <w:t>שאינו מכביד</w:t>
      </w:r>
      <w:r>
        <w:rPr>
          <w:rtl w:val="true"/>
        </w:rPr>
        <w:t xml:space="preserve">"; </w:t>
      </w:r>
      <w:r>
        <w:rPr>
          <w:rtl w:val="true"/>
        </w:rPr>
        <w:t>והעובדה שלקח חלק בהליך גמילה מאלכוהול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13.12.2014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21.12.2015</w:t>
      </w:r>
      <w:r>
        <w:rPr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ותסקירי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המבחן</w:t>
      </w:r>
    </w:p>
    <w:p>
      <w:pPr>
        <w:pStyle w:val="Ruller41"/>
        <w:ind w:end="0"/>
        <w:jc w:val="both"/>
        <w:rPr>
          <w:rFonts w:ascii="Miriam" w:hAnsi="Miriam" w:cs="Miriam"/>
          <w:spacing w:val="0"/>
          <w:sz w:val="24"/>
          <w:szCs w:val="24"/>
        </w:rPr>
      </w:pPr>
      <w:r>
        <w:rPr>
          <w:rFonts w:cs="Miriam" w:ascii="Miriam" w:hAnsi="Miriam"/>
          <w:spacing w:val="0"/>
          <w:sz w:val="24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טיעוני הצדדים בערעור ובערעור שכנגד התמקדו בעונש שנגזר בגין עבירת ההצתה בה הורשע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בנימוקי הערעור טען בא כוח המערער כי שגה בית משפט קמא בקביעת מתחם הענישה ההולם את עבירת ההצתה</w:t>
      </w:r>
      <w:r>
        <w:rPr>
          <w:rtl w:val="true"/>
        </w:rPr>
        <w:t xml:space="preserve">, </w:t>
      </w:r>
      <w:r>
        <w:rPr>
          <w:rtl w:val="true"/>
        </w:rPr>
        <w:t xml:space="preserve">וכי עונש המאסר שנגזר על המערער </w:t>
      </w:r>
      <w:r>
        <w:rPr>
          <w:rtl w:val="true"/>
        </w:rPr>
        <w:t>"</w:t>
      </w:r>
      <w:r>
        <w:rPr>
          <w:rtl w:val="true"/>
        </w:rPr>
        <w:t>חריג בחומרתו ונמצא ברף העליון של מדיניות הענישה הנוהגת</w:t>
      </w:r>
      <w:r>
        <w:rPr>
          <w:rtl w:val="true"/>
        </w:rPr>
        <w:t xml:space="preserve">". </w:t>
      </w:r>
      <w:r>
        <w:rPr>
          <w:rtl w:val="true"/>
        </w:rPr>
        <w:t>עוד נטען כי היה מקום לחרוג ממתחם הענישה ההולם מחמת שיקולי שיקום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 טענה המערערת בע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2248/18</w:t>
      </w:r>
      <w:r>
        <w:rPr>
          <w:rtl w:val="true"/>
        </w:rPr>
        <w:t xml:space="preserve"> </w:t>
      </w:r>
      <w:r>
        <w:rPr>
          <w:rtl w:val="true"/>
        </w:rPr>
        <w:t>והמשיבה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2720/18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Emphasis"/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>המשיבה</w:t>
      </w:r>
      <w:r>
        <w:rPr>
          <w:rtl w:val="true"/>
        </w:rPr>
        <w:t xml:space="preserve">) </w:t>
      </w:r>
      <w:r>
        <w:rPr>
          <w:rtl w:val="true"/>
        </w:rPr>
        <w:t>כי עונש המאסר שנגזר על המערער בגין עבירת ההצתה בה הורשע אינו מבטא את חומרת העבירה ונסיבותיה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נטען כי מתחם העונש ההולם והעונש שקבע בית משפט קמא בתוך המתחם </w:t>
      </w:r>
      <w:r>
        <w:rPr>
          <w:rtl w:val="true"/>
        </w:rPr>
        <w:t>"</w:t>
      </w:r>
      <w:r>
        <w:rPr>
          <w:rtl w:val="true"/>
        </w:rPr>
        <w:t>מקל עד מאד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מההצתה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הממשי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מלבדו</w:t>
      </w:r>
      <w:r>
        <w:rPr>
          <w:rtl w:val="true"/>
        </w:rPr>
        <w:t xml:space="preserve">)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מההצתה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מהתסקיר המשלים אשר הוגש בפנינו עולה כי המערער סירב להשתתף בקבוצה בתחום ההתמכרויות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המשותפים</w:t>
      </w:r>
      <w:r>
        <w:rPr>
          <w:rtl w:val="true"/>
        </w:rPr>
        <w:t xml:space="preserve">, </w:t>
      </w:r>
      <w:r>
        <w:rPr>
          <w:rtl w:val="true"/>
        </w:rPr>
        <w:t>ולדבריה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מתרועעת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ומזהיר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לילדיו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לכשישתחרר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המשותפים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בדיון שהתקיים בפנינו הגישה המשיבה הודעה מטעם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אשר במסגרתה צוין כי הפיצוי שנגזר על המערער לשלם לטובת המתלוננת וילדיה בגובה </w:t>
      </w:r>
      <w:r>
        <w:rPr/>
        <w:t>45,000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שולם באופן חלקי בלבד</w:t>
      </w:r>
      <w:r>
        <w:rPr>
          <w:rtl w:val="true"/>
        </w:rPr>
        <w:t xml:space="preserve">, </w:t>
      </w:r>
      <w:r>
        <w:rPr>
          <w:rtl w:val="true"/>
        </w:rPr>
        <w:t xml:space="preserve">כי מלבד הפקדה יחידה בסכום של </w:t>
      </w:r>
      <w:r>
        <w:rPr/>
        <w:t>20,000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 xml:space="preserve">מטעם קופת המדינה שנעשתה בהתאם לסעיף </w:t>
      </w:r>
      <w:r>
        <w:rPr/>
        <w:t>3</w:t>
      </w:r>
      <w:r>
        <w:rPr>
          <w:rtl w:val="true"/>
        </w:rPr>
        <w:t xml:space="preserve">א </w:t>
      </w:r>
      <w:r>
        <w:rPr>
          <w:rFonts w:cs="Miriam"/>
          <w:szCs w:val="24"/>
          <w:rtl w:val="true"/>
        </w:rPr>
        <w:t>לחוק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המרכז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לגביית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קנסות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אגרות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והוצאות</w:t>
      </w:r>
      <w:r>
        <w:rPr>
          <w:rFonts w:cs="Miriam"/>
          <w:szCs w:val="24"/>
          <w:rtl w:val="true"/>
        </w:rPr>
        <w:t xml:space="preserve">, </w:t>
      </w:r>
      <w:r>
        <w:rPr>
          <w:rFonts w:cs="Miriam"/>
          <w:szCs w:val="24"/>
          <w:rtl w:val="true"/>
        </w:rPr>
        <w:t>התשנ</w:t>
      </w:r>
      <w:r>
        <w:rPr>
          <w:rFonts w:cs="Miriam"/>
          <w:szCs w:val="24"/>
          <w:rtl w:val="true"/>
        </w:rPr>
        <w:t>"</w:t>
      </w:r>
      <w:r>
        <w:rPr>
          <w:rFonts w:cs="Miriam"/>
          <w:szCs w:val="24"/>
          <w:rtl w:val="true"/>
        </w:rPr>
        <w:t>ה</w:t>
      </w:r>
      <w:r>
        <w:rPr>
          <w:rFonts w:cs="Miriam"/>
          <w:szCs w:val="24"/>
          <w:rtl w:val="true"/>
        </w:rPr>
        <w:t>-</w:t>
      </w:r>
      <w:r>
        <w:rPr>
          <w:rFonts w:cs="Miriam"/>
          <w:szCs w:val="24"/>
        </w:rPr>
        <w:t>1995</w:t>
      </w:r>
      <w:r>
        <w:rPr>
          <w:rFonts w:cs="Miriam Fixed"/>
          <w:szCs w:val="24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>:</w:t>
      </w:r>
      <w:r>
        <w:rPr>
          <w:rFonts w:cs="Miriam Fixe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חוק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מרכז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גביית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קנסות</w:t>
      </w:r>
      <w:r>
        <w:rPr>
          <w:rFonts w:cs="Miriam"/>
          <w:szCs w:val="24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לא הועבר לידיה כל סכום נוסף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מאסטמה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ריאות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באת כוח המערער ציינה ואישרה כי הפיצוי שולם כאמור בפיסקה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 xml:space="preserve">שלעיל ורק בחלקו </w:t>
      </w:r>
      <w:r>
        <w:rPr>
          <w:rtl w:val="true"/>
        </w:rPr>
        <w:t>–</w:t>
      </w:r>
      <w:r>
        <w:rPr>
          <w:rtl w:val="true"/>
        </w:rPr>
        <w:t xml:space="preserve"> בשל קשיים כלכליים בהם המערער מצוי</w:t>
      </w:r>
      <w:r>
        <w:rPr>
          <w:rtl w:val="true"/>
        </w:rPr>
        <w:t xml:space="preserve">, </w:t>
      </w:r>
      <w:r>
        <w:rPr>
          <w:rtl w:val="true"/>
        </w:rPr>
        <w:t>אשר נובעים בין היתר מהעובדה כי הוא נמצא במעצר מאחורי סורג ובריח ובמעצר בית זה למעלה משלוש שנים</w:t>
      </w:r>
      <w:r>
        <w:rPr>
          <w:rtl w:val="true"/>
        </w:rPr>
        <w:t xml:space="preserve">, </w:t>
      </w:r>
      <w:r>
        <w:rPr>
          <w:rtl w:val="true"/>
        </w:rPr>
        <w:t>ועל כן אין ביכולתו לעבוד</w:t>
      </w:r>
      <w:r>
        <w:rPr>
          <w:rtl w:val="true"/>
        </w:rPr>
        <w:t xml:space="preserve">. </w:t>
      </w:r>
      <w:r>
        <w:rPr>
          <w:rtl w:val="true"/>
        </w:rPr>
        <w:t>עוד נטען כי נוכח עונש המאסר שנגזר עליו</w:t>
      </w:r>
      <w:r>
        <w:rPr>
          <w:rtl w:val="true"/>
        </w:rPr>
        <w:t xml:space="preserve">, </w:t>
      </w:r>
      <w:r>
        <w:rPr>
          <w:rtl w:val="true"/>
        </w:rPr>
        <w:t>המערער יתקשה לעמוד בתשלום הפיצוי גם בעתיד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צוין בפנינו כי המערער מכיר כיום באחריותו למעשיו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Miriam" w:hAnsi="Miriam" w:cs="Miriam"/>
          <w:spacing w:val="0"/>
          <w:sz w:val="24"/>
          <w:szCs w:val="24"/>
        </w:rPr>
      </w:pPr>
      <w:r>
        <w:rPr>
          <w:rFonts w:cs="Miriam" w:ascii="Miriam" w:hAnsi="Miriam"/>
          <w:spacing w:val="0"/>
          <w:sz w:val="24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שעיינו בגזר דינו של בית משפט קמא ושקלנו את טיעוני הצדדים</w:t>
      </w:r>
      <w:r>
        <w:rPr>
          <w:rtl w:val="true"/>
        </w:rPr>
        <w:t xml:space="preserve">, </w:t>
      </w:r>
      <w:r>
        <w:rPr>
          <w:rtl w:val="true"/>
        </w:rPr>
        <w:t>באנו לכלל מסקנה כי דין הערעור על קולת העונש להתקבל</w:t>
      </w:r>
      <w:r>
        <w:rPr>
          <w:rtl w:val="true"/>
        </w:rPr>
        <w:t xml:space="preserve">, </w:t>
      </w:r>
      <w:r>
        <w:rPr>
          <w:rtl w:val="true"/>
        </w:rPr>
        <w:t>ואילו דין הערעור על חומרת העונש 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ערכאת הערעור </w:t>
      </w:r>
      <w:r>
        <w:rPr>
          <w:rtl w:val="true"/>
        </w:rPr>
        <w:t xml:space="preserve">אינה </w:t>
      </w:r>
      <w:r>
        <w:rPr>
          <w:rtl w:val="true"/>
        </w:rPr>
        <w:t>נוטה למצות את הדין עם הנאשם</w:t>
      </w:r>
      <w:r>
        <w:rPr>
          <w:rtl w:val="true"/>
        </w:rPr>
        <w:t xml:space="preserve">, </w:t>
      </w:r>
      <w:r>
        <w:rPr>
          <w:rtl w:val="true"/>
        </w:rPr>
        <w:t>ואין היא נוהגת להתערב בחומרת העונש שנגזר עליו בערכאה הדיונית</w:t>
      </w:r>
      <w:r>
        <w:rPr>
          <w:rtl w:val="true"/>
        </w:rPr>
        <w:t xml:space="preserve">, </w:t>
      </w:r>
      <w:r>
        <w:rPr>
          <w:rtl w:val="true"/>
        </w:rPr>
        <w:t>אלא בנסיבות בהן גזר הדין מגלה סטייה מהותית ובולטת או חריגה קיצונית מהענישה המקובלת במקרים</w:t>
      </w:r>
      <w:r>
        <w:rPr>
          <w:rtl w:val="true"/>
        </w:rPr>
        <w:t xml:space="preserve"> דומים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8381/17</w:t>
        </w:r>
      </w:hyperlink>
      <w:r>
        <w:rPr>
          <w:rtl w:val="true"/>
        </w:rPr>
        <w:t xml:space="preserve"> ‏</w:t>
      </w:r>
      <w:r>
        <w:rPr>
          <w:rStyle w:val="Emphasis"/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>מדינת ישראל נ</w:t>
      </w:r>
      <w:r>
        <w:rPr>
          <w:rStyle w:val="Emphasis"/>
          <w:rFonts w:cs="Times New Roman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Style w:val="Emphasis"/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>טל איכילוב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24.4.2018</w:t>
      </w:r>
      <w:r>
        <w:rPr>
          <w:rtl w:val="true"/>
        </w:rPr>
        <w:t xml:space="preserve">)). </w:t>
      </w:r>
      <w:r>
        <w:rPr>
          <w:rtl w:val="true"/>
        </w:rPr>
        <w:t>אנו סבורים כי עניינו של המערער נמנה עם אותם מקרים אשר בהם מוצדקת התערבותנו כערכאת הערעור לאור קולת העונש שנגזר עליו ביחס לחומרת מעשיו ונסיבות ביצוע העבירות על ידו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 ניתן להמעיט בחומרת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>אשר פעל מתוך נקמנות בשל חשדותיו כי המתלוננת בוגדת בו</w:t>
      </w:r>
      <w:r>
        <w:rPr>
          <w:rtl w:val="true"/>
        </w:rPr>
        <w:t xml:space="preserve">, </w:t>
      </w:r>
      <w:r>
        <w:rPr>
          <w:rtl w:val="true"/>
        </w:rPr>
        <w:t xml:space="preserve">הצטייד מבעוד מועד בחומר דליק על מנת להצית את דירת משפחתו ולגרום לפציעתם של עשרה אנשים </w:t>
      </w:r>
      <w:r>
        <w:rPr>
          <w:rtl w:val="true"/>
        </w:rPr>
        <w:t>(</w:t>
      </w:r>
      <w:r>
        <w:rPr>
          <w:rtl w:val="true"/>
        </w:rPr>
        <w:t>מלבדו</w:t>
      </w:r>
      <w:r>
        <w:rPr>
          <w:rtl w:val="true"/>
        </w:rPr>
        <w:t xml:space="preserve">), </w:t>
      </w:r>
      <w:r>
        <w:rPr>
          <w:rtl w:val="true"/>
        </w:rPr>
        <w:t>ובהם המתלוננת שהייתה באותה עת בהריון מתקדם עם בתם המשותפת</w:t>
      </w:r>
      <w:r>
        <w:rPr>
          <w:rtl w:val="true"/>
        </w:rPr>
        <w:t xml:space="preserve">, </w:t>
      </w:r>
      <w:r>
        <w:rPr>
          <w:rtl w:val="true"/>
        </w:rPr>
        <w:t>ואושפזה למספר ימים וסבלה מכוויות בגופה</w:t>
      </w:r>
      <w:r>
        <w:rPr>
          <w:rtl w:val="true"/>
        </w:rPr>
        <w:t xml:space="preserve">;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בנם הפעוט של המתלוננת והמערער</w:t>
      </w:r>
      <w:r>
        <w:rPr>
          <w:rtl w:val="true"/>
        </w:rPr>
        <w:t xml:space="preserve">, </w:t>
      </w:r>
      <w:r>
        <w:rPr>
          <w:rtl w:val="true"/>
        </w:rPr>
        <w:t>אשר נזקק לאשפוז והורדם למשך מספר ימים וככל הנראה מאז האירוע סובל מאסטמה ונמצא תחת מעקב רפואי</w:t>
      </w:r>
      <w:r>
        <w:rPr>
          <w:rtl w:val="true"/>
        </w:rPr>
        <w:t xml:space="preserve">; </w:t>
      </w:r>
      <w:r>
        <w:rPr>
          <w:rtl w:val="true"/>
        </w:rPr>
        <w:t>וא</w:t>
      </w:r>
      <w:r>
        <w:rPr>
          <w:rtl w:val="true"/>
        </w:rPr>
        <w:t xml:space="preserve">', </w:t>
      </w:r>
      <w:r>
        <w:rPr>
          <w:rtl w:val="true"/>
        </w:rPr>
        <w:t>בנה של המתלוננת אשר נזקק אף הוא לאישפוז והורדם למספר ימים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משפט זה הדגיש לא אחת כי עבירת ההצתה הינה עבירה חמורה במיוחד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 בשל הסיכון הגלום בהצתה עצמה</w:t>
      </w:r>
      <w:r>
        <w:rPr>
          <w:rtl w:val="true"/>
        </w:rPr>
        <w:t xml:space="preserve">, </w:t>
      </w:r>
      <w:r>
        <w:rPr>
          <w:rtl w:val="true"/>
        </w:rPr>
        <w:t xml:space="preserve">והן בשל העובדה שלא ניתן לשלוט בתוצאותיה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4036/13</w:t>
        </w:r>
      </w:hyperlink>
      <w:r>
        <w:rPr>
          <w:rtl w:val="true"/>
        </w:rPr>
        <w:t xml:space="preserve"> </w:t>
      </w:r>
      <w:r>
        <w:rPr>
          <w:rStyle w:val="Emphasis"/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>מובארכ אמארה נ</w:t>
      </w:r>
      <w:r>
        <w:rPr>
          <w:rStyle w:val="Emphasis"/>
          <w:rFonts w:cs="Times New Roman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Style w:val="Emphasis"/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5.10.2014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3210/06</w:t>
        </w:r>
      </w:hyperlink>
      <w:r>
        <w:rPr>
          <w:rtl w:val="true"/>
        </w:rPr>
        <w:t xml:space="preserve"> </w:t>
      </w:r>
      <w:r>
        <w:rPr>
          <w:rStyle w:val="Emphasis"/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פארס </w:t>
      </w:r>
      <w:r>
        <w:rPr>
          <w:rStyle w:val="Emphasis"/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>עמארה נ</w:t>
      </w:r>
      <w:r>
        <w:rPr>
          <w:rStyle w:val="Emphasis"/>
          <w:rFonts w:cs="Times New Roman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Style w:val="Emphasis"/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18.3.2007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5960/13</w:t>
        </w:r>
      </w:hyperlink>
      <w:r>
        <w:rPr>
          <w:rtl w:val="true"/>
        </w:rPr>
        <w:t xml:space="preserve"> </w:t>
      </w:r>
      <w:r>
        <w:rPr>
          <w:rStyle w:val="Emphasis"/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>מדינת ישראל נ</w:t>
      </w:r>
      <w:r>
        <w:rPr>
          <w:rStyle w:val="Emphasis"/>
          <w:rFonts w:cs="Times New Roman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Style w:val="Emphasis"/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>דניאל עון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23.4.2014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>עון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>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5307/17</w:t>
        </w:r>
      </w:hyperlink>
      <w:r>
        <w:rPr>
          <w:rtl w:val="true"/>
        </w:rPr>
        <w:t xml:space="preserve">, </w:t>
      </w:r>
      <w:r>
        <w:rPr>
          <w:rStyle w:val="Emphasis"/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>פלוני נ</w:t>
      </w:r>
      <w:r>
        <w:rPr>
          <w:rStyle w:val="Emphasis"/>
          <w:rFonts w:cs="Times New Roman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Style w:val="Emphasis"/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12.7.2018</w:t>
      </w:r>
      <w:r>
        <w:rPr>
          <w:rtl w:val="true"/>
        </w:rPr>
        <w:t xml:space="preserve">)).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ראינו לנכון לבטל את מתחם הענישה אשר קבע בית משפט קמא</w:t>
      </w:r>
      <w:r>
        <w:rPr>
          <w:rtl w:val="true"/>
        </w:rPr>
        <w:t xml:space="preserve">, </w:t>
      </w:r>
      <w:r>
        <w:rPr>
          <w:rtl w:val="true"/>
        </w:rPr>
        <w:t>ולקבוע כי מתחם העונש בגין עבירת ההצתה בה הורשע המערער נע בין ארבע לשבע שנות מאסר 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>עיקר שיקולי בתי משפט קמא מקובל עלינו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מתסקיר שירות המבחן המעודכן שהוגש בפנינו עולה כי המערער סירב להשתתף בתכנית לטיפול בהתמכרויות וממשיך לאיים על המתלוננת גם מתוך כתלי בית הסוהר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ערעור המערער על חומרת העונש נדחה</w:t>
      </w:r>
      <w:r>
        <w:rPr>
          <w:rtl w:val="true"/>
        </w:rPr>
        <w:t xml:space="preserve">, </w:t>
      </w:r>
      <w:r>
        <w:rPr>
          <w:rtl w:val="true"/>
        </w:rPr>
        <w:t>וערעור המשיבה מתקבל באופן שעונש המאסר יעמוד על שש שנות מאסר בפועל בניכוי תקופה מעצרו כאמור לעיל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יתר רכיבי הענישה יעמדו על כנם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11.11.2018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</w:t>
      </w:r>
      <w:r>
        <w:rPr>
          <w:sz w:val="16"/>
        </w:rPr>
        <w:t>18022490</w:t>
      </w:r>
      <w:r>
        <w:rPr>
          <w:sz w:val="16"/>
          <w:rtl w:val="true"/>
        </w:rPr>
        <w:t>_</w:t>
      </w:r>
      <w:r>
        <w:rPr>
          <w:sz w:val="16"/>
        </w:rPr>
        <w:t>J01.doc</w:t>
      </w:r>
      <w:r>
        <w:rPr>
          <w:sz w:val="16"/>
          <w:rtl w:val="true"/>
        </w:rPr>
        <w:t xml:space="preserve">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24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54678313-2249/18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2249/18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4"/>
        <w:szCs w:val="24"/>
        <w:lang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4"/>
      <w:szCs w:val="24"/>
      <w:lang w:bidi="he-IL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Emphasis">
    <w:name w:val="Emphasis"/>
    <w:qFormat/>
    <w:rPr>
      <w:rFonts w:ascii="Miriam" w:hAnsi="Miriam" w:cs="Miriam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76729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45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/382.b.1" TargetMode="External"/><Relationship Id="rId7" Type="http://schemas.openxmlformats.org/officeDocument/2006/relationships/hyperlink" Target="http://www.nevo.co.il/law/70301/448.a" TargetMode="External"/><Relationship Id="rId8" Type="http://schemas.openxmlformats.org/officeDocument/2006/relationships/hyperlink" Target="http://www.nevo.co.il/law/70301/448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8767293" TargetMode="External"/><Relationship Id="rId11" Type="http://schemas.openxmlformats.org/officeDocument/2006/relationships/hyperlink" Target="http://www.nevo.co.il/law/70301/448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82.b.1" TargetMode="External"/><Relationship Id="rId14" Type="http://schemas.openxmlformats.org/officeDocument/2006/relationships/hyperlink" Target="http://www.nevo.co.il/law/70301/379" TargetMode="External"/><Relationship Id="rId15" Type="http://schemas.openxmlformats.org/officeDocument/2006/relationships/hyperlink" Target="http://www.nevo.co.il/law/70301/448.a" TargetMode="External"/><Relationship Id="rId16" Type="http://schemas.openxmlformats.org/officeDocument/2006/relationships/hyperlink" Target="http://www.nevo.co.il/law/70301/245" TargetMode="External"/><Relationship Id="rId17" Type="http://schemas.openxmlformats.org/officeDocument/2006/relationships/hyperlink" Target="http://www.nevo.co.il/case/23833066" TargetMode="External"/><Relationship Id="rId18" Type="http://schemas.openxmlformats.org/officeDocument/2006/relationships/hyperlink" Target="http://www.nevo.co.il/case/7665459" TargetMode="External"/><Relationship Id="rId19" Type="http://schemas.openxmlformats.org/officeDocument/2006/relationships/hyperlink" Target="http://www.nevo.co.il/law/70301/448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5882592" TargetMode="External"/><Relationship Id="rId22" Type="http://schemas.openxmlformats.org/officeDocument/2006/relationships/hyperlink" Target="http://www.nevo.co.il/case/7980175" TargetMode="External"/><Relationship Id="rId23" Type="http://schemas.openxmlformats.org/officeDocument/2006/relationships/hyperlink" Target="http://www.nevo.co.il/case/22797351" TargetMode="External"/><Relationship Id="rId24" Type="http://schemas.openxmlformats.org/officeDocument/2006/relationships/hyperlink" Target="https://supreme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2019-01-13T12:16:00Z</dcterms:created>
  <dc:creator> </dc:creator>
  <dc:description/>
  <cp:keywords/>
  <dc:language>en-IL</dc:language>
  <cp:lastModifiedBy>hofit</cp:lastModifiedBy>
  <cp:lastPrinted>2018-11-08T08:20:00Z</cp:lastPrinted>
  <dcterms:modified xsi:type="dcterms:W3CDTF">2019-01-13T12:16:00Z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18767293:2;23833066;7665459;5882592;7980175;22797351</vt:lpwstr>
  </property>
  <property fmtid="{D5CDD505-2E9C-101B-9397-08002B2CF9AE}" pid="9" name="CITY">
    <vt:lpwstr/>
  </property>
  <property fmtid="{D5CDD505-2E9C-101B-9397-08002B2CF9AE}" pid="10" name="DATE">
    <vt:lpwstr>20181111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אלרון;א' שטיין;ח' מלצר</vt:lpwstr>
  </property>
  <property fmtid="{D5CDD505-2E9C-101B-9397-08002B2CF9AE}" pid="14" name="LAWLISTTMP1">
    <vt:lpwstr>70301/448.a:3;382.b.1;379;245</vt:lpwstr>
  </property>
  <property fmtid="{D5CDD505-2E9C-101B-9397-08002B2CF9AE}" pid="15" name="LAWYER">
    <vt:lpwstr>סיגל עפרוני;רוני זלושינסקי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ערעור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1446;1446;504</vt:lpwstr>
  </property>
  <property fmtid="{D5CDD505-2E9C-101B-9397-08002B2CF9AE}" pid="48" name="NOSE31">
    <vt:lpwstr>מדיניות ענישה: הצתה</vt:lpwstr>
  </property>
  <property fmtid="{D5CDD505-2E9C-101B-9397-08002B2CF9AE}" pid="49" name="NOSE310">
    <vt:lpwstr/>
  </property>
  <property fmtid="{D5CDD505-2E9C-101B-9397-08002B2CF9AE}" pid="50" name="NOSE32">
    <vt:lpwstr>מדיניות ענישה: אלימות במשפחה</vt:lpwstr>
  </property>
  <property fmtid="{D5CDD505-2E9C-101B-9397-08002B2CF9AE}" pid="51" name="NOSE33">
    <vt:lpwstr>התערבות במידת העונש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15357;15628;15230</vt:lpwstr>
  </property>
  <property fmtid="{D5CDD505-2E9C-101B-9397-08002B2CF9AE}" pid="59" name="PADIDATE">
    <vt:lpwstr>20181112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2249;2720</vt:lpwstr>
  </property>
  <property fmtid="{D5CDD505-2E9C-101B-9397-08002B2CF9AE}" pid="65" name="PROCYEAR">
    <vt:lpwstr>18;18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410120181111</vt:lpwstr>
  </property>
  <property fmtid="{D5CDD505-2E9C-101B-9397-08002B2CF9AE}" pid="69" name="TYPE_N_DATE">
    <vt:lpwstr>41020181111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