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2260/22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61189-08-20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7.3.2022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צפריר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13.07.2022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פאהום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אלמגיד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Start w:id="9" w:name="_Hlk109047363"/>
      <w:bookmarkEnd w:id="8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לקבוע ענישה מחמירה שתרתיע עבריינים פוטנציאליים מליטול את הדין לידיהם ולנקוט באלימות ליישוב סכסוכיהם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השיקום אינם חזות הכל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המלצת שירות המבחן אינה מחייבת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בבואו לגזור את דינו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כשמה כן היא – המלצה שנועדה לסייע במלאכת הטלת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שנעשית בהתאם למכלול השיקולים הרלוונטיים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נסיבות ביצוע העבירה ומדיניות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שיקום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סטייה מהמלצת שירות המבחן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המערער הושת בגזר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עונש של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בעבירות חטיפה ותקיפה הגורמת חבלה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הוא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השיקום בעניינו מצדיקים חריגה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מדרכה של ערכאת הערעור להתערב בעונש שנגזר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בנסיבות חריגות שבהן נפלה טעות מהותית ובולטת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במקרים בהם ניכרת חריגה קיצונית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המערער אינו נמנה עם מקרים חריגים מעין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המסכת המתוארת בכתב האישום מצדיקה ענישה 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 בגינו נגזר דינו של המערער הוא אירוע חמור במהלכו הוכה ונחטף המתלונן ונגרמו לו חבלות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תקיפתו וחטיפתו של המתלונן בוצעו בצוותא חדא עם מספר רב של מעורבים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כשכל אחד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את חלקו בביצוע המעשים הנבזים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שצוין במקרה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להוקיע תרבות אלימה מעין זו שהפכה לחזון נפרץ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ולקבוע ענישה מחמירה אשר תרתיע עבריינים פוטנציאליים מליטול את הדין לידיהם ולנקוט באלימות ליישוב סכסוכיהם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לטענות המערער במישור שיקולי השיקום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לא אחת כי שיקולים אלו אינם חזות הכל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המלצת שירות המבחן אינה מחייבת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בבואו לגזור את דינו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כשמה כן היא – המלצה שנועדה לסייע במלאכת הטלת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נעשית בהתאם למכלול השיקולים הרלוונטיים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נסיבות ביצוע העבירה ומדיניות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עיון בגזר הדין מלמד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נתן דעתו גם לנסיבותיו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שהביאו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לגזירת עונשו בחלקו התחתון של מתחם העונש ההולם שנקבע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שהעונש שנגזר עליו בסופו של יום מקל עמו במידה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בחומרתן הרבה של נסיבות ביצוע העבירות בהן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להקלה נוספת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_Hlk109047363"/>
      <w:bookmarkStart w:id="11" w:name="ABSTRACT_END"/>
      <w:bookmarkStart w:id="12" w:name="_Hlk109047363"/>
      <w:bookmarkStart w:id="13" w:name="ABSTRACT_END"/>
      <w:bookmarkEnd w:id="12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על המערער הושת בגזר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צפריר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61189-08-20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7.3.2022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עונש של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 לצד ענישה נלווית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בגין הרשעתו בעבירות חטיפה ותקיפה הגורמת חבלה ממשית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לפנינו ערעור על חומרת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18.8.2020</w:t>
      </w:r>
      <w:r>
        <w:rPr>
          <w:rtl w:val="true"/>
        </w:rPr>
        <w:t xml:space="preserve"> </w:t>
      </w:r>
      <w:r>
        <w:rPr>
          <w:rtl w:val="true"/>
        </w:rPr>
        <w:t>ועל רקע המתח ששרר בין משפחת המתלונן לבין אחרים</w:t>
      </w:r>
      <w:r>
        <w:rPr>
          <w:rtl w:val="true"/>
        </w:rPr>
        <w:t xml:space="preserve">, </w:t>
      </w:r>
      <w:r>
        <w:rPr>
          <w:rtl w:val="true"/>
        </w:rPr>
        <w:t>המערער הגיע ברכב יחד עם אחר למאפיה בעיר נצרת</w:t>
      </w:r>
      <w:r>
        <w:rPr>
          <w:rtl w:val="true"/>
        </w:rPr>
        <w:t xml:space="preserve">, </w:t>
      </w:r>
      <w:r>
        <w:rPr>
          <w:rtl w:val="true"/>
        </w:rPr>
        <w:t>שם הבחינו במתלונן</w:t>
      </w:r>
      <w:r>
        <w:rPr>
          <w:rtl w:val="true"/>
        </w:rPr>
        <w:t xml:space="preserve">. </w:t>
      </w:r>
      <w:r>
        <w:rPr>
          <w:rtl w:val="true"/>
        </w:rPr>
        <w:t>לאחר מספר דקות ארבעה נוספים הגיעו ברכב למקום</w:t>
      </w:r>
      <w:r>
        <w:rPr>
          <w:rtl w:val="true"/>
        </w:rPr>
        <w:t xml:space="preserve">, </w:t>
      </w:r>
      <w:r>
        <w:rPr>
          <w:rtl w:val="true"/>
        </w:rPr>
        <w:t>וכולם יחד נכנסו למאפיה בעודם מצוידים בנשק קר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אחזו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 אלו</w:t>
      </w:r>
      <w:r>
        <w:rPr>
          <w:rtl w:val="true"/>
        </w:rPr>
        <w:t xml:space="preserve">, </w:t>
      </w:r>
      <w:r>
        <w:rPr>
          <w:rtl w:val="true"/>
        </w:rPr>
        <w:t>יוחסו למערער עבירת חטיפה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ועבירת </w:t>
      </w:r>
      <w:r>
        <w:rPr>
          <w:rtl w:val="true"/>
        </w:rPr>
        <w:t>תקיפה הגורמת חבלה ממשית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הסדר טיעון אשר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המערער הורשע על פי הודאתו בעבירות שיוחסו לו בכתב האישום 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חומרת העבירות</w:t>
      </w:r>
      <w:r>
        <w:rPr>
          <w:rtl w:val="true"/>
        </w:rPr>
        <w:t xml:space="preserve">, </w:t>
      </w:r>
      <w:r>
        <w:rPr>
          <w:rtl w:val="true"/>
        </w:rPr>
        <w:t>נסיבות ביצוען ועל הפגיעה בערכים החברתיים</w:t>
      </w:r>
      <w:r>
        <w:rPr>
          <w:rtl w:val="true"/>
        </w:rPr>
        <w:t xml:space="preserve">, </w:t>
      </w:r>
      <w:r>
        <w:rPr>
          <w:rtl w:val="true"/>
        </w:rPr>
        <w:t xml:space="preserve">ובכללם </w:t>
      </w:r>
      <w:r>
        <w:rPr>
          <w:rtl w:val="true"/>
        </w:rPr>
        <w:t>–</w:t>
      </w:r>
      <w:r>
        <w:rPr>
          <w:rtl w:val="true"/>
        </w:rPr>
        <w:t xml:space="preserve"> חירות המתלונן</w:t>
      </w:r>
      <w:r>
        <w:rPr>
          <w:rtl w:val="true"/>
        </w:rPr>
        <w:t xml:space="preserve">, </w:t>
      </w:r>
      <w:r>
        <w:rPr>
          <w:rtl w:val="true"/>
        </w:rPr>
        <w:t>שלמות גופו וביטחונו האישי</w:t>
      </w:r>
      <w:r>
        <w:rPr>
          <w:rtl w:val="true"/>
        </w:rPr>
        <w:t xml:space="preserve">. </w:t>
      </w:r>
      <w:r>
        <w:rPr>
          <w:rtl w:val="true"/>
        </w:rPr>
        <w:t>כן הודגש כי עובדות כתב האישום המתוקן מלמדות על תכנון שקדם לאירוע תוך שיתוף פעולה בין כלל המעורבים</w:t>
      </w:r>
      <w:r>
        <w:rPr>
          <w:rtl w:val="true"/>
        </w:rPr>
        <w:t xml:space="preserve">, </w:t>
      </w:r>
      <w:r>
        <w:rPr>
          <w:rtl w:val="true"/>
        </w:rPr>
        <w:t>כמו גם תוארה הוקעת בתי המשפט מהשימוש באלימות ככלי ליישוב סכסוכים</w:t>
      </w:r>
      <w:r>
        <w:rPr>
          <w:rtl w:val="true"/>
        </w:rPr>
        <w:t xml:space="preserve">, </w:t>
      </w:r>
      <w:r>
        <w:rPr>
          <w:rtl w:val="true"/>
        </w:rPr>
        <w:t>על אחת כמה וכמה כשאלימות זו מופעלת בנסיבות של ביצוע בצוותא ושימוש בנשק קר</w:t>
      </w:r>
      <w:r>
        <w:rPr>
          <w:rtl w:val="true"/>
        </w:rPr>
        <w:t xml:space="preserve">. </w:t>
      </w:r>
      <w:r>
        <w:rPr>
          <w:rtl w:val="true"/>
        </w:rPr>
        <w:t>נוכח כל אלו</w:t>
      </w:r>
      <w:r>
        <w:rPr>
          <w:rtl w:val="true"/>
        </w:rPr>
        <w:t xml:space="preserve">, </w:t>
      </w:r>
      <w:r>
        <w:rPr>
          <w:rtl w:val="true"/>
        </w:rPr>
        <w:t>ובהתחשב במדיניות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בעניינו של המערער נע בין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בצירוף עונשים נלווים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בעת קביעת עונשו של המערער בגדרי המתחם</w:t>
      </w:r>
      <w:r>
        <w:rPr>
          <w:rtl w:val="true"/>
        </w:rPr>
        <w:t xml:space="preserve">, </w:t>
      </w:r>
      <w:r>
        <w:rPr>
          <w:rtl w:val="true"/>
        </w:rPr>
        <w:t>נשקלו לזכותו הודאתו בכתב האישום המתוקן אשר יש בה כדי לבטא קבלת אחריות על מעשיו</w:t>
      </w:r>
      <w:r>
        <w:rPr>
          <w:rtl w:val="true"/>
        </w:rPr>
        <w:t xml:space="preserve">; </w:t>
      </w:r>
      <w:r>
        <w:rPr>
          <w:rtl w:val="true"/>
        </w:rPr>
        <w:t xml:space="preserve">גילו בעת מתן גזר הדין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; </w:t>
      </w:r>
      <w:r>
        <w:rPr>
          <w:rtl w:val="true"/>
        </w:rPr>
        <w:t>היותו נעדר עבר פלילי</w:t>
      </w:r>
      <w:r>
        <w:rPr>
          <w:rtl w:val="true"/>
        </w:rPr>
        <w:t xml:space="preserve">; </w:t>
      </w:r>
      <w:r>
        <w:rPr>
          <w:rtl w:val="true"/>
        </w:rPr>
        <w:t>וכן פרק הזמן בו היה עצור בפיקוח אלקטרוני</w:t>
      </w:r>
      <w:r>
        <w:rPr>
          <w:rtl w:val="true"/>
        </w:rPr>
        <w:t xml:space="preserve">. </w:t>
      </w:r>
      <w:r>
        <w:rPr>
          <w:rtl w:val="true"/>
        </w:rPr>
        <w:t>בית המשפט המחוזי הוסיף ושקל את האמור בתסקירי שירות המבחן שהוגשו בעניינו של המערער</w:t>
      </w:r>
      <w:r>
        <w:rPr>
          <w:rtl w:val="true"/>
        </w:rPr>
        <w:t xml:space="preserve">, </w:t>
      </w:r>
      <w:r>
        <w:rPr>
          <w:rtl w:val="true"/>
        </w:rPr>
        <w:t>בהם צוין כי קיימת חשיבות להמשך הליך הטיפול בו החל אשר עשוי להפחית את רמת הסיכון להישנות עבירות בעתיד ולסייע לו בניהול אורח חיים תקין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לא אימץ את המלצת שירות המבחן להסתפק בהטלת עונש מאסר בפועל לריצוי בעבודות שירות וצו מבחן</w:t>
      </w:r>
      <w:r>
        <w:rPr>
          <w:rtl w:val="true"/>
        </w:rPr>
        <w:t xml:space="preserve">, </w:t>
      </w:r>
      <w:r>
        <w:rPr>
          <w:rtl w:val="true"/>
        </w:rPr>
        <w:t xml:space="preserve">בקובעו כי ענישה מעין זו אינה </w:t>
      </w:r>
      <w:r>
        <w:rPr>
          <w:rtl w:val="true"/>
        </w:rPr>
        <w:t>"</w:t>
      </w:r>
      <w:r>
        <w:rPr>
          <w:rtl w:val="true"/>
        </w:rPr>
        <w:t>מגלמת</w:t>
      </w:r>
      <w:r>
        <w:rPr>
          <w:rtl w:val="true"/>
        </w:rPr>
        <w:t xml:space="preserve">" </w:t>
      </w:r>
      <w:r>
        <w:rPr>
          <w:rtl w:val="true"/>
        </w:rPr>
        <w:t>את העונש הראוי למערער</w:t>
      </w:r>
      <w:r>
        <w:rPr>
          <w:rtl w:val="true"/>
        </w:rPr>
        <w:t xml:space="preserve">, </w:t>
      </w:r>
      <w:r>
        <w:rPr>
          <w:rtl w:val="true"/>
        </w:rPr>
        <w:t>הן מבחינת חומרת מעשיו והן מבחינת האינטרס הציבורי</w:t>
      </w:r>
      <w:r>
        <w:rPr>
          <w:rtl w:val="true"/>
        </w:rPr>
        <w:t xml:space="preserve">. </w:t>
      </w:r>
      <w:r>
        <w:rPr>
          <w:rtl w:val="true"/>
        </w:rPr>
        <w:t>בקשת המערער לביטול הרשעתו נדחתה אף היא</w:t>
      </w:r>
      <w:r>
        <w:rPr>
          <w:rtl w:val="true"/>
        </w:rPr>
        <w:t xml:space="preserve">, </w:t>
      </w:r>
      <w:r>
        <w:rPr>
          <w:rtl w:val="true"/>
        </w:rPr>
        <w:t xml:space="preserve">משאינה עומדת בתנאיה של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במוקד הערעור שלפנינו</w:t>
      </w:r>
      <w:r>
        <w:rPr>
          <w:rtl w:val="true"/>
        </w:rPr>
        <w:t xml:space="preserve">, </w:t>
      </w:r>
      <w:r>
        <w:rPr>
          <w:rtl w:val="true"/>
        </w:rPr>
        <w:t>הן בטיעוניו בכתב והן בטיעוניו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טען בא כוח המערער כי שיקולי השיקום בעניינו מצדיקים חריגה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החמיר עמו בראייה כוללת של מכלול העונשים אשר נגזרו על המעורבים האחרים בפרשיה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משנדרש היה להקל עמו נוכח נסיבותיו הפרטניות ובכלל זה </w:t>
      </w:r>
      <w:r>
        <w:rPr>
          <w:rtl w:val="true"/>
        </w:rPr>
        <w:t>–</w:t>
      </w:r>
      <w:r>
        <w:rPr>
          <w:rtl w:val="true"/>
        </w:rPr>
        <w:t xml:space="preserve"> המלצות שירות המבחן בעניינו</w:t>
      </w:r>
      <w:r>
        <w:rPr>
          <w:rtl w:val="true"/>
        </w:rPr>
        <w:t xml:space="preserve">; </w:t>
      </w:r>
      <w:r>
        <w:rPr>
          <w:rtl w:val="true"/>
        </w:rPr>
        <w:t>סיכויו להשתקם</w:t>
      </w:r>
      <w:r>
        <w:rPr>
          <w:rtl w:val="true"/>
        </w:rPr>
        <w:t xml:space="preserve">; </w:t>
      </w:r>
      <w:r>
        <w:rPr>
          <w:rtl w:val="true"/>
        </w:rPr>
        <w:t>גילו הצעיר</w:t>
      </w:r>
      <w:r>
        <w:rPr>
          <w:rtl w:val="true"/>
        </w:rPr>
        <w:t xml:space="preserve">; </w:t>
      </w:r>
      <w:r>
        <w:rPr>
          <w:rtl w:val="true"/>
        </w:rPr>
        <w:t>היותו ללא עבר פלילי</w:t>
      </w:r>
      <w:r>
        <w:rPr>
          <w:rtl w:val="true"/>
        </w:rPr>
        <w:t xml:space="preserve">; </w:t>
      </w:r>
      <w:r>
        <w:rPr>
          <w:rtl w:val="true"/>
        </w:rPr>
        <w:t>ודרך הילוכו בין כותלי בית הסוהר עד כה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בהתעלמו מהמלצות תסקירי שירות המבחן אשר ביכרו את האופק השיקומי של המערער על פני ענישה מרתיעה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ומשזוהי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</w:t>
      </w:r>
      <w:r>
        <w:rPr>
          <w:rtl w:val="true"/>
        </w:rPr>
        <w:t xml:space="preserve">, </w:t>
      </w:r>
      <w:r>
        <w:rPr>
          <w:rtl w:val="true"/>
        </w:rPr>
        <w:t>הונח לעיוננו תסקיר שירות מבחן עדכני בעניינו של המערער המלמד על שילובו בפרויקט טיפולי בבית הסוהר ועל שיתוף הפעולה מצדו עם גורמי הטיפול תוך שהוא מגלה מחויבות למסגרת הטיפולית</w:t>
      </w:r>
      <w:r>
        <w:rPr>
          <w:rtl w:val="true"/>
        </w:rPr>
        <w:t xml:space="preserve">.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כי שירות המבחן רואה חשיבות כי המערער ימשיך ויסיים את הטיפול בו הוא נוטל חלק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קורובקוב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13.7.2022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13.7.2022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המסכת המתוארת בכתב האישום המתוקן</w:t>
      </w:r>
      <w:r>
        <w:rPr>
          <w:rtl w:val="true"/>
        </w:rPr>
        <w:t xml:space="preserve">, </w:t>
      </w:r>
      <w:r>
        <w:rPr>
          <w:rtl w:val="true"/>
        </w:rPr>
        <w:t>מצדיקה ענישה מרתיעה</w:t>
      </w:r>
      <w:r>
        <w:rPr>
          <w:rtl w:val="true"/>
        </w:rPr>
        <w:t xml:space="preserve">. </w:t>
      </w:r>
      <w:r>
        <w:rPr>
          <w:rtl w:val="true"/>
        </w:rPr>
        <w:t>האירוע שבגינו נגזר דינו של המערער הוא אירוע חמור במהלכו הוכה ונחטף המתלונן ונגרמו לו חבלות כמפורט בסקירה לעיל</w:t>
      </w:r>
      <w:r>
        <w:rPr>
          <w:rtl w:val="true"/>
        </w:rPr>
        <w:t xml:space="preserve">. </w:t>
      </w:r>
      <w:r>
        <w:rPr>
          <w:rtl w:val="true"/>
        </w:rPr>
        <w:t>תקיפתו וחטיפתו של המתלונן בוצעו בצוותא חדא עם מספר רב של מעורבים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כאשר כל אחד </w:t>
      </w:r>
      <w:r>
        <w:rPr>
          <w:rtl w:val="true"/>
        </w:rPr>
        <w:t>"</w:t>
      </w:r>
      <w:r>
        <w:rPr>
          <w:rtl w:val="true"/>
        </w:rPr>
        <w:t>תרם</w:t>
      </w:r>
      <w:r>
        <w:rPr>
          <w:rtl w:val="true"/>
        </w:rPr>
        <w:t xml:space="preserve">" </w:t>
      </w:r>
      <w:r>
        <w:rPr>
          <w:rtl w:val="true"/>
        </w:rPr>
        <w:t>את חלקו בביצוע המעשים הנבזים</w:t>
      </w:r>
      <w:r>
        <w:rPr>
          <w:rtl w:val="true"/>
        </w:rPr>
        <w:t xml:space="preserve">. </w:t>
      </w:r>
      <w:r>
        <w:rPr>
          <w:rtl w:val="true"/>
        </w:rPr>
        <w:t>כפי שציינתי במקרה אחר</w:t>
      </w:r>
      <w:r>
        <w:rPr>
          <w:rtl w:val="true"/>
        </w:rPr>
        <w:t>: 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להוקיע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לחזון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נפרץ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תרתיע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פוטנציאליים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לידיהם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ולנקוט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סכסוכיהם</w:t>
      </w:r>
      <w:r>
        <w:rPr>
          <w:rtl w:val="true"/>
        </w:rPr>
        <w:t>" 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30.7.2020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לטענות המערער במישור שיקולי השיקום </w:t>
      </w:r>
      <w:r>
        <w:rPr>
          <w:rtl w:val="true"/>
        </w:rPr>
        <w:t>–</w:t>
      </w:r>
      <w:r>
        <w:rPr>
          <w:rtl w:val="true"/>
        </w:rPr>
        <w:t xml:space="preserve"> נפסק לא אחת כי שיקולים אלו אינם חזות הכל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8622/21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אף המלצת שירות המבחן אינה מחייבת את בית המשפט בבואו לגזור את דינו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אלא כשמה כן היא </w:t>
      </w:r>
      <w:r>
        <w:rPr>
          <w:rtl w:val="true"/>
        </w:rPr>
        <w:t>–</w:t>
      </w:r>
      <w:r>
        <w:rPr>
          <w:rtl w:val="true"/>
        </w:rPr>
        <w:t xml:space="preserve"> המלצה שנועדה לסייע במלאכת הטלת ענישה</w:t>
      </w:r>
      <w:r>
        <w:rPr>
          <w:rtl w:val="true"/>
        </w:rPr>
        <w:t xml:space="preserve">, </w:t>
      </w:r>
      <w:r>
        <w:rPr>
          <w:rtl w:val="true"/>
        </w:rPr>
        <w:t>אשר נעשית בהתאם למכלול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 xml:space="preserve">לרבות נסיבות ביצוע העבירה ומדיניות הענישה הנוהגת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נאעסה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פקיה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דין הערעור להידחות וכך אציע לחבריי שנעשה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18.7.2022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22022600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54678313-2260/22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2260/22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620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69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case/26962008" TargetMode="External"/><Relationship Id="rId9" Type="http://schemas.openxmlformats.org/officeDocument/2006/relationships/hyperlink" Target="http://www.nevo.co.il/law/70301/369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382.a" TargetMode="External"/><Relationship Id="rId14" Type="http://schemas.openxmlformats.org/officeDocument/2006/relationships/hyperlink" Target="http://www.nevo.co.il/case/5810781" TargetMode="External"/><Relationship Id="rId15" Type="http://schemas.openxmlformats.org/officeDocument/2006/relationships/hyperlink" Target="http://www.nevo.co.il/case/27907115" TargetMode="External"/><Relationship Id="rId16" Type="http://schemas.openxmlformats.org/officeDocument/2006/relationships/hyperlink" Target="http://www.nevo.co.il/case/26375568" TargetMode="External"/><Relationship Id="rId17" Type="http://schemas.openxmlformats.org/officeDocument/2006/relationships/hyperlink" Target="http://www.nevo.co.il/case/25824995" TargetMode="External"/><Relationship Id="rId18" Type="http://schemas.openxmlformats.org/officeDocument/2006/relationships/hyperlink" Target="http://www.nevo.co.il/case/28180190" TargetMode="External"/><Relationship Id="rId19" Type="http://schemas.openxmlformats.org/officeDocument/2006/relationships/hyperlink" Target="http://www.nevo.co.il/case/28268880" TargetMode="External"/><Relationship Id="rId20" Type="http://schemas.openxmlformats.org/officeDocument/2006/relationships/hyperlink" Target="http://www.nevo.co.il/case/27915710" TargetMode="External"/><Relationship Id="rId21" Type="http://schemas.openxmlformats.org/officeDocument/2006/relationships/hyperlink" Target="https://supreme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2022-07-18T21:02:00Z</dcterms:created>
  <dc:creator>h4</dc:creator>
  <dc:description/>
  <cp:keywords/>
  <dc:language>en-IL</dc:language>
  <cp:lastModifiedBy>orly</cp:lastModifiedBy>
  <cp:lastPrinted>2022-07-18T08:03:00Z</cp:lastPrinted>
  <dcterms:modified xsi:type="dcterms:W3CDTF">2022-07-18T21:02:00Z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26962008:2;5810781;27907115;26375568;25824995;28180190;28268880;27915710</vt:lpwstr>
  </property>
  <property fmtid="{D5CDD505-2E9C-101B-9397-08002B2CF9AE}" pid="9" name="CITY">
    <vt:lpwstr/>
  </property>
  <property fmtid="{D5CDD505-2E9C-101B-9397-08002B2CF9AE}" pid="10" name="DATE">
    <vt:lpwstr>20220718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שטיין;ח' כבוב</vt:lpwstr>
  </property>
  <property fmtid="{D5CDD505-2E9C-101B-9397-08002B2CF9AE}" pid="14" name="LAWLISTTMP1">
    <vt:lpwstr>70301/369;029;380;382.a</vt:lpwstr>
  </property>
  <property fmtid="{D5CDD505-2E9C-101B-9397-08002B2CF9AE}" pid="15" name="LAWYER">
    <vt:lpwstr>נגה בן סידי;פאהום עבד אלמגיד;ברכה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שיקולים</vt:lpwstr>
  </property>
  <property fmtid="{D5CDD505-2E9C-101B-9397-08002B2CF9AE}" pid="52" name="NOSE34">
    <vt:lpwstr>שיקום</vt:lpwstr>
  </property>
  <property fmtid="{D5CDD505-2E9C-101B-9397-08002B2CF9AE}" pid="53" name="NOSE35">
    <vt:lpwstr>סטייה מהמלצת שירות המבחן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17039;8984;16896;17420;18252</vt:lpwstr>
  </property>
  <property fmtid="{D5CDD505-2E9C-101B-9397-08002B2CF9AE}" pid="59" name="PADIDATE">
    <vt:lpwstr>20220719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2260</vt:lpwstr>
  </property>
  <property fmtid="{D5CDD505-2E9C-101B-9397-08002B2CF9AE}" pid="65" name="PROCYEAR">
    <vt:lpwstr>22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410120220718</vt:lpwstr>
  </property>
  <property fmtid="{D5CDD505-2E9C-101B-9397-08002B2CF9AE}" pid="69" name="TYPE_N_DATE">
    <vt:lpwstr>41020220718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