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2261/21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47100-07-18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18.2.2021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סעב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ציגלר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3.8.2022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חינאווי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" w:ascii="FrankRuehl" w:hAnsi="FrankRuehl"/>
            <w:spacing w:val="0"/>
            <w:sz w:val="24"/>
            <w:szCs w:val="24"/>
            <w:rtl w:val="true"/>
          </w:rPr>
          <w:t>: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4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דנה פוגץ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', ""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ברצון שניהם ובשמחתם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 –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אינוס בידי בן זוג והתוויית גבולות המשפט הפלילי בחברה משתנה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עיונים במשפט מגדר ופמיניזם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,  (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501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8" w:name="LawTable"/>
      <w:bookmarkStart w:id="9" w:name="Links_Kitvei_End"/>
      <w:bookmarkStart w:id="10" w:name="LawTable"/>
      <w:bookmarkStart w:id="11" w:name="Links_Kitvei_End"/>
      <w:bookmarkEnd w:id="10"/>
      <w:bookmarkEnd w:id="11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ו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382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14" w:name="ABSTRACT_START"/>
      <w:bookmarkEnd w:id="14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אונס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זוגו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דאז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נפסק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מנומקים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היטב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ונמצאו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חיזוקים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חיצוניות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בהכרעת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המרשיעה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5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נלווית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שהושת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רוב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הדגשה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אונס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בתוך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יחסי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זוגיות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אונס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לכל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ועניין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ואינו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בגדר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נסיבה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מקלה</w:t>
      </w: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במשפחה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ראיות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בחינתה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מחדלי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חקירה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נפקותם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הכרעת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 xml:space="preserve">- </w:t>
      </w:r>
      <w:r>
        <w:rPr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אונס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מעשה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סדום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וכן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אלימות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בת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זוגו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דאז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ובגין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אלו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הושתו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בדעת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רוב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Cs w:val="26"/>
        </w:rPr>
        <w:t>5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לצד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נלווית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כנפי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שטייניץ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כשר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דחה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כי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טענות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מתמקדות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בעיקרן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שראה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לייחס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לעדות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המתלוננת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ובהעדפתה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גרסת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מלאכת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מסורה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המתרשמת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מהעדים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באופן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בלתי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אמצעי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להתערב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בהערכה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אלא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במקרים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נדירים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כוחה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יפה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כשמדובר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קביעות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עובדה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שבהן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טבען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העבירות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קביעת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הממצאים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מתבססת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בעיקרה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עדויות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הנפגע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והפוגע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התרשמות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מאמינותן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ומהימנותן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בטיעוני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להצדיק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בממצאי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המהימנות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שקבעה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הערכאה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הדיונית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-58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התרשם באופן חיובי ביותר מעדותה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החדירה באירוע האונס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הפסיקה נקטה בפרשנות מרחיבה באשר ליסוד החדירה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בעניין זה נקבע כי על מנת לבסס את יסוד הבעילה בעבירת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די בקיומו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איבר המין של האישה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התחלת חדירה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הכרח בחדירה של ממש אל תוך איבר המין של קרבן מעשה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תיאור המתלוננת בהודעתה עונה על המבחן 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שעדות המתלוננת על מעשה הבעילה אינה עדות כבושה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ודי 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כל שכן בהבהרותיה המאוחרות שהתקבלו כמהימנות על ידי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 לבסס את יסודות עבירת האינוס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הסתירות בדברי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שהן קיימות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אינן מהותיות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בהן כדי לכרסם במהימנות עדותה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 לעדות המהימנה של המתלוננת נמצאו חיזוקים משמעותיים בשורה של ראיות חיצוניות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 מול גרסתה העקבית של המתלוננת אשר נתמכה בחיזוקים משמעותיים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עמדה גרסת המערער אשר נמצאה בלתי אמינה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מחדלי החקירה הנטענים פגמו בתשתית הראייתית האיתנה עליה מבוססת הרשעתו של המערער או גרמו לו לנזק ראייתי כלשהו שפגע בהגנתו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-58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בטענות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לערער את גרסת המתלוננת או כדי להקים ספק סביר בדבר אשמתו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לא נמצא כי המערער הצביע על טעות בהכרעת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על הכרעת דין מקיפה ומבוססת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הנשענת על התרשמות הערכאה הדיונית מעדויות המתלוננת והמערער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עדויות מחזקות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בחינת ראיות אלה מלמדת כי לא קמה עילה להתערבות ערכאת הערעור בהכרעת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-58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לערעור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 של דעת מיעוט עשויה להצדיק בחינה זהירה יותר של דעת הרוב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שלא נמצא טעם המצדיק התערבות ערכאת הערעור בעונש שאינו חורג לחומרה ממדיניות הענישה הראויה לעבירות בהן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העובדה כי מדובר באונס בת זוג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קורבן מזדמן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אינה מהווה נסיבה המקלה עם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אישה אינה מאבדת את זכותה לאוטונומיה על גופה ואת רצונה החופשי עם כריתת קשר הנישואין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ואונס בתוך יחסי זוגיות הוא אונס לכל דבר ועניין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 להגן על האוטונומיה של נשים ועל כבודן כאדם גם במסגרת קשרי נישואין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מחייב ענישה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כל מקום להקל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 עבירת האינוס שבוצעה תוך גרימת חבלה גופנית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עונש מזערי העומד על חמש 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לכך שהמערער הורשע בעבירות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שנגזר עליו אינו מחמיר עמו ובוודאי שאינו מצדיק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כנפי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שטייניץ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 xml:space="preserve">לפנינו ערעור על הכרעת דינו וגזר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47100-07-18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20.10.2020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18.2.2021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בגדרה של הכרעת הדין הורשע המערער בביצוע עבירות מין ואלימות כלפי בת</w:t>
      </w:r>
      <w:r>
        <w:rPr>
          <w:rtl w:val="true"/>
        </w:rPr>
        <w:t>-</w:t>
      </w:r>
      <w:r>
        <w:rPr>
          <w:rtl w:val="true"/>
        </w:rPr>
        <w:t xml:space="preserve">זוגו דאז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ובגין הרשעתו בעבירות אלו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>.</w:t>
      </w:r>
    </w:p>
    <w:p>
      <w:pPr>
        <w:pStyle w:val="ruller411"/>
        <w:tabs>
          <w:tab w:val="clear" w:pos="720"/>
          <w:tab w:val="left" w:pos="-58" w:leader="none"/>
          <w:tab w:val="left" w:pos="5869" w:leader="none"/>
        </w:tabs>
        <w:bidi w:val="1"/>
        <w:spacing w:lineRule="atLeast" w:line="330" w:before="0" w:after="0"/>
        <w:ind w:start="84"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cs="Arial TUR;Arial" w:ascii="Arial TUR;Arial" w:hAnsi="Arial TUR;Arial"/>
          <w:color w:val="000000"/>
          <w:spacing w:val="10"/>
          <w:sz w:val="22"/>
          <w:szCs w:val="22"/>
          <w:rtl w:val="true"/>
        </w:rPr>
      </w:r>
    </w:p>
    <w:p>
      <w:pPr>
        <w:pStyle w:val="ruller411"/>
        <w:tabs>
          <w:tab w:val="clear" w:pos="720"/>
          <w:tab w:val="left" w:pos="-58" w:leader="none"/>
          <w:tab w:val="left" w:pos="5869" w:leader="none"/>
        </w:tabs>
        <w:bidi w:val="1"/>
        <w:spacing w:lineRule="atLeast" w:line="330" w:before="0" w:after="0"/>
        <w:ind w:start="84"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ascii="Miriam" w:hAnsi="Miriam" w:cs="Miriam"/>
          <w:color w:val="000000"/>
          <w:rtl w:val="true"/>
        </w:rPr>
        <w:t xml:space="preserve">רקע </w:t>
      </w:r>
      <w:r>
        <w:rPr>
          <w:rFonts w:ascii="Miriam" w:hAnsi="Miriam" w:cs="Miriam"/>
          <w:color w:val="000000"/>
          <w:rtl w:val="true"/>
        </w:rPr>
        <w:t>הדברים</w:t>
      </w:r>
    </w:p>
    <w:p>
      <w:pPr>
        <w:pStyle w:val="ruller411"/>
        <w:tabs>
          <w:tab w:val="clear" w:pos="720"/>
          <w:tab w:val="left" w:pos="-58" w:leader="none"/>
          <w:tab w:val="left" w:pos="5869" w:leader="none"/>
        </w:tabs>
        <w:bidi w:val="1"/>
        <w:spacing w:lineRule="atLeast" w:line="330" w:before="0" w:after="0"/>
        <w:ind w:start="84" w:end="0"/>
        <w:jc w:val="both"/>
        <w:rPr>
          <w:rFonts w:ascii="Arial TUR;Arial" w:hAnsi="Arial TUR;Arial" w:cs="Arial TUR;Arial"/>
          <w:color w:val="000000"/>
          <w:spacing w:val="10"/>
          <w:sz w:val="22"/>
          <w:szCs w:val="22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/>
      </w:pPr>
      <w:r>
        <w:rPr>
          <w:rtl w:val="true"/>
        </w:rPr>
        <w:t xml:space="preserve">המערער והמתלוננת היו נשואים זה לזו תקופה של כשנה בין השנים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בה התגוררו תחת קורת גג אחת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29.8.2016</w:t>
      </w:r>
      <w:r>
        <w:rPr>
          <w:rtl w:val="true"/>
        </w:rPr>
        <w:t xml:space="preserve"> </w:t>
      </w:r>
      <w:r>
        <w:rPr>
          <w:rtl w:val="true"/>
        </w:rPr>
        <w:t>עזבה המתלוננת את ביתם המשותף והגיעה לתחנת המשטרה</w:t>
      </w:r>
      <w:r>
        <w:rPr>
          <w:rtl w:val="true"/>
        </w:rPr>
        <w:t xml:space="preserve">, </w:t>
      </w:r>
      <w:r>
        <w:rPr>
          <w:rtl w:val="true"/>
        </w:rPr>
        <w:t>שם התלוננה כי המערער כפה עליה</w:t>
      </w:r>
      <w:r>
        <w:rPr>
          <w:rtl w:val="true"/>
        </w:rPr>
        <w:t xml:space="preserve">, </w:t>
      </w:r>
      <w:r>
        <w:rPr>
          <w:rtl w:val="true"/>
        </w:rPr>
        <w:t>בשני מקרים</w:t>
      </w:r>
      <w:r>
        <w:rPr>
          <w:rtl w:val="true"/>
        </w:rPr>
        <w:t xml:space="preserve">, </w:t>
      </w:r>
      <w:r>
        <w:rPr>
          <w:rtl w:val="true"/>
        </w:rPr>
        <w:t>יחסי מין בכוח בניגוד לרצונה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סיפרה אודות שני מקרים נוספים בהם נהג בה המערער באלימות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/>
      </w:pPr>
      <w:r>
        <w:rPr>
          <w:rtl w:val="true"/>
        </w:rPr>
        <w:t>מהימנות המתלוננת היא העומדת במוקד הערעור</w:t>
      </w:r>
      <w:r>
        <w:rPr>
          <w:rtl w:val="true"/>
        </w:rPr>
        <w:t xml:space="preserve">. </w:t>
      </w:r>
      <w:r>
        <w:rPr>
          <w:rtl w:val="true"/>
        </w:rPr>
        <w:t>בעוד שהמתלוננת העידה במשטרה ובבית המשפט המחוזי כי המערער ביצע בה עבירות מין ונהג כלפיה באלימות</w:t>
      </w:r>
      <w:r>
        <w:rPr>
          <w:rtl w:val="true"/>
        </w:rPr>
        <w:t xml:space="preserve">, </w:t>
      </w:r>
      <w:r>
        <w:rPr>
          <w:rtl w:val="true"/>
        </w:rPr>
        <w:t>טוען המערער כי לא היה אלים כלפיה ויחסי המין</w:t>
      </w:r>
      <w:r>
        <w:rPr>
          <w:rtl w:val="true"/>
        </w:rPr>
        <w:t xml:space="preserve">, </w:t>
      </w:r>
      <w:r>
        <w:rPr>
          <w:rtl w:val="true"/>
        </w:rPr>
        <w:t>בשני המקרים שתוארו על</w:t>
      </w:r>
      <w:r>
        <w:rPr>
          <w:rtl w:val="true"/>
        </w:rPr>
        <w:t>-</w:t>
      </w:r>
      <w:r>
        <w:rPr>
          <w:rtl w:val="true"/>
        </w:rPr>
        <w:t>ידי המתלוננת</w:t>
      </w:r>
      <w:r>
        <w:rPr>
          <w:rtl w:val="true"/>
        </w:rPr>
        <w:t xml:space="preserve">, </w:t>
      </w:r>
      <w:r>
        <w:rPr>
          <w:rtl w:val="true"/>
        </w:rPr>
        <w:t>קוימו בהסכמה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המתלוננת גמרה אומר להתגרש ממנו ממניעים שונים ועל כן רקמה נגדו עלילת שווא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כתב האישום ותשובת המערער</w:t>
      </w:r>
    </w:p>
    <w:p>
      <w:pPr>
        <w:pStyle w:val="Ruller42"/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</w:tabs>
        <w:ind w:start="84" w:end="0"/>
        <w:jc w:val="both"/>
        <w:rPr/>
      </w:pPr>
      <w:r>
        <w:rPr>
          <w:rtl w:val="true"/>
        </w:rPr>
        <w:t xml:space="preserve">ביום </w:t>
      </w:r>
      <w:r>
        <w:rPr/>
        <w:t>19.7.2018</w:t>
      </w:r>
      <w:r>
        <w:rPr>
          <w:rtl w:val="true"/>
        </w:rPr>
        <w:t xml:space="preserve"> </w:t>
      </w:r>
      <w:r>
        <w:rPr>
          <w:rtl w:val="true"/>
        </w:rPr>
        <w:t>הוגש נגד המערער כתב האישום המפרט ארבעה אירועים שונים</w:t>
      </w:r>
      <w:r>
        <w:rPr>
          <w:rtl w:val="true"/>
        </w:rPr>
        <w:t xml:space="preserve">, </w:t>
      </w:r>
      <w:r>
        <w:rPr>
          <w:rtl w:val="true"/>
        </w:rPr>
        <w:t>ואלו עובדותי</w:t>
      </w:r>
      <w:r>
        <w:rPr>
          <w:rtl w:val="true"/>
        </w:rPr>
        <w:t>ו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5869" w:leader="none"/>
        </w:tabs>
        <w:ind w:hanging="0" w:start="84" w:end="0"/>
        <w:jc w:val="both"/>
        <w:rPr/>
      </w:pPr>
      <w:r>
        <w:rPr>
          <w:rtl w:val="true"/>
        </w:rPr>
        <w:tab/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דצמבר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חנק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>).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יוני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האלימות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לכאב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צעקה</w:t>
      </w:r>
      <w:r>
        <w:rPr>
          <w:rtl w:val="true"/>
        </w:rPr>
        <w:t xml:space="preserve">,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>).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28.8.2016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tl w:val="true"/>
        </w:rPr>
        <w:t xml:space="preserve">, </w:t>
      </w:r>
      <w:r>
        <w:rPr>
          <w:rtl w:val="true"/>
        </w:rPr>
        <w:t>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מבגדיה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עירום</w:t>
      </w:r>
      <w:r>
        <w:rPr>
          <w:rtl w:val="true"/>
        </w:rPr>
        <w:t xml:space="preserve">, </w:t>
      </w:r>
      <w:r>
        <w:rPr>
          <w:rtl w:val="true"/>
        </w:rPr>
        <w:t>פישק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והמטומות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שטפי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380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382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במענה לכתב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כפר המערער בכל עובדותיו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 טען כי לאחר נישואיו למתלוננת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התברר להם שהוא סובל מבעיית פוריות המחייבת ניתוח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על רקע זה גמלה בלבה של המתלוננת החלטה לסיים את נישואיהם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כדי לזכות במוהר הגבוה המגיע לה על פי הסכם הנישואין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רקמה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לטענת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עלילת שווא שתקל עליה להתגרש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אשר צפה את מהלכי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החל להקליט את שיחותיהם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ואף טען כי יש בידו הקלטת שיחה מליל אירוע האונס השני ממנה עולה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לשיטתו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כי אונס לא היה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ההקלטה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הלילית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המערער הכחיש את אירועי האלימות המיוחסים לו ובאשר לאירועי האונס הנטענים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טען כי מדובר היה ביחסי מין בהסכמה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1"/>
        <w:tabs>
          <w:tab w:val="clear" w:pos="720"/>
          <w:tab w:val="left" w:pos="-58" w:leader="none"/>
        </w:tabs>
        <w:bidi w:val="1"/>
        <w:spacing w:lineRule="atLeast" w:line="330" w:before="0" w:after="0"/>
        <w:ind w:start="41"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עיקרי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הכרעת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41"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בהכרעת הדין הרשיע בית המשפט המחוזי את המערער בכל העבירות שיוחסו לו בכתב האישום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spacing w:lineRule="auto" w:line="240"/>
        <w:ind w:start="41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 xml:space="preserve">בפתח חוות הדעת העיקרית שנכתבה על ידי השופטת </w:t>
      </w:r>
      <w:r>
        <w:rPr>
          <w:rFonts w:ascii="Miriam" w:hAnsi="Miriam" w:cs="Miriam"/>
          <w:szCs w:val="24"/>
          <w:rtl w:val="true"/>
        </w:rPr>
        <w:t>ג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ציגלר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ציין בית המשפט המחוזי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על אף שכתב האישום מפרט ארבעה אירועים נקודתיים וממוקדים ביותר שהתרחשו בפרקי זמן קצרים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הרחיב המערער את מסגרת הראיות באופן שעדויות רבות שנשמעו נסובו על חייהם המשותפים של בני הזוג לאורך תקופת נישואיהם הקצרה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במסגרת זאת הוגשו הקלטות של שיחות בין השניים ממועדים שונים ונשמעו עדויות של בני משפחה שהיו מעורבים במערכת היחסים ביניהם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בהמשך לכך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ובמסגרת הכרעת הדין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בחן בית המשפט המחוזי בהרחבה את העדויות הבאות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עדות 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עדויות בני משפחתה של המתלוננת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עדות הרופאה שבדקה את המתלוננת לאחר הגשת תלונתה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עדויות שניים מהשוטרים שהיו מעורבים בחקירה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עדות המערער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עדויות בני משפחתו של המערער שהעידו כעדי הגנה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עדות אחד הבוררים בהליך הבוררות שהתנהל בין בני הזוג בבית הדין השרעי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ועדותו של מומחה לדת האסלאם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בחן בית המשפט המחוזי את אמרותיהם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של המתלוננת ושל עדים נוספים במשטרה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הקלטות שביצע המערער ותמלולן ובהן ההקלטה הלילית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תמונות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מסמכים רפואיים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ומסמכים מהליך הגירושין בבית הדין השרעי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hanging="1884" w:start="84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לאחר שבחן את כלל העדויות והראיות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בית המשפט המחוזי כי גרסתה של המתלוננת לאירועים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כפי שפורטה בכתב האישום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משקפת את האירועים כפי שאירעו בפועל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וכי מעשי הבעילה של המערער לא נעשו בהסכמתה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התרשם באופן חיובי מעדותה של המתלוננת ומצא את עדותה עקבית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קוהרנטית ואמינה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קבע כי המתלוננת השתדלה לדייק בפרטים ולא הפריזה או העצימה את האירועים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מיקדה את האירועים בזמנים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נסיבות ומקומות ספציפיים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 נמצאו בדבריה סתירות של ממש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הוסיף וקבע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כי גרסתה של המתלוננת נתמכה בראיות חיצוניות ובהן שיחות שונות שהוקלטו על ידי המערער אשר המתלוננת כלל לא הייתה מודעת להקלטתן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ומהן ניתן ללמוד על התנהגותו האלימה של המערער כלפי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יריקות שירק לעברה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בית המשפט המחוזי מצא כי תוכן ההקלטה הלילית מחזק דווקא את גרסתה של המתלוננת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בית המשפט המחוזי ציין כי אף שהמתלוננת לא ציינה באותה שיחה מפורשות שנאנסה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ידי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נשמעות בהקלטה אמירות שונות התומכות בגרסתה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ובהן שאלתה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b/>
          <w:b/>
          <w:spacing w:val="0"/>
          <w:sz w:val="22"/>
          <w:sz w:val="22"/>
          <w:rtl w:val="true"/>
        </w:rPr>
        <w:t>מצטער על מה עשית בי</w:t>
      </w:r>
      <w:r>
        <w:rPr>
          <w:rFonts w:cs="Century" w:ascii="Century" w:hAnsi="Century"/>
          <w:sz w:val="22"/>
          <w:rtl w:val="true"/>
        </w:rPr>
        <w:t xml:space="preserve">?", </w:t>
      </w:r>
      <w:r>
        <w:rPr>
          <w:rFonts w:ascii="Century" w:hAnsi="Century" w:cs="Century"/>
          <w:sz w:val="22"/>
          <w:sz w:val="22"/>
          <w:rtl w:val="true"/>
        </w:rPr>
        <w:t xml:space="preserve">וכן אמירותיה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באת להרוס אותי</w:t>
      </w:r>
      <w:r>
        <w:rPr>
          <w:rFonts w:cs="Century" w:ascii="Century" w:hAnsi="Century"/>
          <w:sz w:val="22"/>
          <w:rtl w:val="true"/>
        </w:rPr>
        <w:t>" "</w:t>
      </w:r>
      <w:r>
        <w:rPr>
          <w:rFonts w:ascii="Century" w:hAnsi="Century" w:cs="Century"/>
          <w:sz w:val="22"/>
          <w:sz w:val="22"/>
          <w:rtl w:val="true"/>
        </w:rPr>
        <w:t>אני לא זונה שלך</w:t>
      </w:r>
      <w:r>
        <w:rPr>
          <w:rFonts w:cs="Century" w:ascii="Century" w:hAnsi="Century"/>
          <w:sz w:val="22"/>
          <w:rtl w:val="true"/>
        </w:rPr>
        <w:t xml:space="preserve">". </w:t>
      </w:r>
      <w:r>
        <w:rPr>
          <w:rFonts w:ascii="Century" w:hAnsi="Century" w:cs="Century"/>
          <w:sz w:val="22"/>
          <w:sz w:val="22"/>
          <w:rtl w:val="true"/>
        </w:rPr>
        <w:t>צוין כי ההקלטה כוללת גם דיון בינה לבין המערער בנוגע לשאלה האם הדת מאפשרת לבעל לקיים יחסי מין עם אשתו בכוח בניגוד לרצונה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וסנטרה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החניקה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שנצפו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והרופאה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וחזרתה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באשר לעדות המערער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זו לא הייתה אמינה</w:t>
      </w:r>
      <w:r>
        <w:rPr>
          <w:rtl w:val="true"/>
        </w:rPr>
        <w:t xml:space="preserve">, </w:t>
      </w:r>
      <w:r>
        <w:rPr>
          <w:rtl w:val="true"/>
        </w:rPr>
        <w:t>כי עדותו התאפיינה בסתירות רבות</w:t>
      </w:r>
      <w:r>
        <w:rPr>
          <w:rtl w:val="true"/>
        </w:rPr>
        <w:t xml:space="preserve">, </w:t>
      </w:r>
      <w:r>
        <w:rPr>
          <w:rtl w:val="true"/>
        </w:rPr>
        <w:t>ועלו ממנה מגמות של הסתרה</w:t>
      </w:r>
      <w:r>
        <w:rPr>
          <w:rtl w:val="true"/>
        </w:rPr>
        <w:t xml:space="preserve">, </w:t>
      </w:r>
      <w:r>
        <w:rPr>
          <w:rtl w:val="true"/>
        </w:rPr>
        <w:t>מניפולטיביות</w:t>
      </w:r>
      <w:r>
        <w:rPr>
          <w:rtl w:val="true"/>
        </w:rPr>
        <w:t xml:space="preserve">, </w:t>
      </w:r>
      <w:r>
        <w:rPr>
          <w:rtl w:val="true"/>
        </w:rPr>
        <w:t>ברירת ראיות והצגת תמונה חלקית בלבד</w:t>
      </w:r>
      <w:r>
        <w:rPr>
          <w:rtl w:val="true"/>
        </w:rPr>
        <w:t xml:space="preserve">. </w:t>
      </w:r>
      <w:r>
        <w:rPr>
          <w:rtl w:val="true"/>
        </w:rPr>
        <w:t>כן נקבע כי התעמקות בגרסתו של המערער העלתה תמיהות שחלקן נותרו ללא מענה ולחלקן ניתנו הסברים חסרי הגיון ומנוגדים לשכל הישר באופן שהקשה לתת בהן אמון</w:t>
      </w:r>
      <w:r>
        <w:rPr>
          <w:rtl w:val="true"/>
        </w:rPr>
        <w:t xml:space="preserve">. </w:t>
      </w:r>
      <w:r>
        <w:rPr>
          <w:rtl w:val="true"/>
        </w:rPr>
        <w:t xml:space="preserve">נקבע כי המערער הותיר רושם של אדם מתוחכם המחשב היטב את צעדיו וכי הוא פעל בשיטתיות ובהתמדה כדי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ליצור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ראיות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לטובתו ונגד המתלוננת</w:t>
      </w:r>
      <w:r>
        <w:rPr>
          <w:rtl w:val="true"/>
        </w:rPr>
        <w:t xml:space="preserve">. </w:t>
      </w:r>
      <w:r>
        <w:rPr>
          <w:rtl w:val="true"/>
        </w:rPr>
        <w:t>ביחס לעדים מבני משפחתו של המערער נקבע</w:t>
      </w:r>
      <w:r>
        <w:rPr>
          <w:rtl w:val="true"/>
        </w:rPr>
        <w:t xml:space="preserve">, </w:t>
      </w:r>
      <w:r>
        <w:rPr>
          <w:rtl w:val="true"/>
        </w:rPr>
        <w:t>כי אלה ניסו בעדותם לצמצם ולמזער את חלקו של המערער באירועים</w:t>
      </w:r>
      <w:r>
        <w:rPr>
          <w:rtl w:val="true"/>
        </w:rPr>
        <w:t xml:space="preserve">, </w:t>
      </w:r>
      <w:r>
        <w:rPr>
          <w:rtl w:val="true"/>
        </w:rPr>
        <w:t>וכי בעדויותיהם נתגלו סתירות 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 הקשו על מתן אמון בדבריהם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>ומשהועדפה גרסתה של המתלוננת על פני זו של המערער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הוכחו כל העבירות המיוחסות למערער</w:t>
      </w:r>
      <w:r>
        <w:rPr>
          <w:rtl w:val="true"/>
        </w:rPr>
        <w:t xml:space="preserve">, </w:t>
      </w:r>
      <w:r>
        <w:rPr>
          <w:rtl w:val="true"/>
        </w:rPr>
        <w:t>בהם מעשי התקיפה</w:t>
      </w:r>
      <w:r>
        <w:rPr>
          <w:rtl w:val="true"/>
        </w:rPr>
        <w:t xml:space="preserve">, </w:t>
      </w:r>
      <w:r>
        <w:rPr>
          <w:rtl w:val="true"/>
        </w:rPr>
        <w:t>האונס ומעשה הסדום</w:t>
      </w:r>
      <w:r>
        <w:rPr>
          <w:rtl w:val="true"/>
        </w:rPr>
        <w:t xml:space="preserve">. </w:t>
      </w:r>
      <w:r>
        <w:rPr>
          <w:rtl w:val="true"/>
        </w:rPr>
        <w:t>בהקשר זה ייחד בית המשפט המחוזי דיון לשאלה האם התקיימו כל יסודות העבירה באירוע האונס השני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כך שהמתלוננת סיפרה תחילה על ניסיון חדירה שלא צלח</w:t>
      </w:r>
      <w:r>
        <w:rPr>
          <w:rtl w:val="true"/>
        </w:rPr>
        <w:t xml:space="preserve">, </w:t>
      </w:r>
      <w:r>
        <w:rPr>
          <w:rtl w:val="true"/>
        </w:rPr>
        <w:t>ובהמשך תיארה כי התקיימה חדירה</w:t>
      </w:r>
      <w:r>
        <w:rPr>
          <w:rtl w:val="true"/>
        </w:rPr>
        <w:t xml:space="preserve">, </w:t>
      </w:r>
      <w:r>
        <w:rPr>
          <w:rtl w:val="true"/>
        </w:rPr>
        <w:t>אולם קבע</w:t>
      </w:r>
      <w:r>
        <w:rPr>
          <w:rtl w:val="true"/>
        </w:rPr>
        <w:t xml:space="preserve">, </w:t>
      </w:r>
      <w:r>
        <w:rPr>
          <w:rtl w:val="true"/>
        </w:rPr>
        <w:t>על יסוד פסיקתו של בית משפט זה</w:t>
      </w:r>
      <w:r>
        <w:rPr>
          <w:rtl w:val="true"/>
        </w:rPr>
        <w:t xml:space="preserve">, </w:t>
      </w:r>
      <w:r>
        <w:rPr>
          <w:rtl w:val="true"/>
        </w:rPr>
        <w:t>כי אין בגרסה מתפתחת של קורבן עבירת מין כדי לפגוע במהימנותה ובמשקלה</w:t>
      </w:r>
      <w:r>
        <w:rPr>
          <w:rtl w:val="true"/>
        </w:rPr>
        <w:t xml:space="preserve">. </w:t>
      </w:r>
      <w:r>
        <w:rPr>
          <w:rtl w:val="true"/>
        </w:rPr>
        <w:t>לאחר בחינת כל אמרותיה של המתלוננת</w:t>
      </w:r>
      <w:r>
        <w:rPr>
          <w:rtl w:val="true"/>
        </w:rPr>
        <w:t xml:space="preserve">, </w:t>
      </w:r>
      <w:r>
        <w:rPr>
          <w:rtl w:val="true"/>
        </w:rPr>
        <w:t>קבע בית המשפט המחוזי כי הוכח שאכן התקיים יסוד ה</w:t>
      </w:r>
      <w:r>
        <w:rPr>
          <w:rtl w:val="true"/>
        </w:rPr>
        <w:t>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>הדרוש להרשעה בעבירת האינוס</w:t>
      </w:r>
      <w:r>
        <w:rPr>
          <w:rtl w:val="true"/>
        </w:rPr>
        <w:t xml:space="preserve">. </w:t>
      </w:r>
      <w:r>
        <w:rPr>
          <w:rtl w:val="true"/>
        </w:rPr>
        <w:t>נקבע לעניין זה כי כבר מלכתחילה העידה המתלוננת כי התקיים מגע בין איבר המין שלה לאיבר מינו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וכי שימושה במונח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התייחס לאי הצלחת המערער לבצע חדירה מלאה ולבוא על סיפוקו</w:t>
      </w:r>
      <w:r>
        <w:rPr>
          <w:rtl w:val="true"/>
        </w:rPr>
        <w:t xml:space="preserve">, </w:t>
      </w:r>
      <w:r>
        <w:rPr>
          <w:rtl w:val="true"/>
        </w:rPr>
        <w:t>ולא להעדר חדירה כלל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 הצטרף לחוות הדעת העיקרית</w:t>
      </w:r>
      <w:r>
        <w:rPr>
          <w:rtl w:val="true"/>
        </w:rPr>
        <w:t xml:space="preserve">, </w:t>
      </w:r>
      <w:r>
        <w:rPr>
          <w:rtl w:val="true"/>
        </w:rPr>
        <w:t>וציין אף הוא בחוות דעתו את התרשמותו החיובית מעדותה של המתלוננת</w:t>
      </w:r>
      <w:r>
        <w:rPr>
          <w:rtl w:val="true"/>
        </w:rPr>
        <w:t xml:space="preserve">, </w:t>
      </w:r>
      <w:r>
        <w:rPr>
          <w:rtl w:val="true"/>
        </w:rPr>
        <w:t>ואת העדפתה על פני עדות המערער</w:t>
      </w:r>
      <w:r>
        <w:rPr>
          <w:rtl w:val="true"/>
        </w:rPr>
        <w:t xml:space="preserve">. </w:t>
      </w:r>
      <w:r>
        <w:rPr>
          <w:rtl w:val="true"/>
        </w:rPr>
        <w:t>כן הוסיף כי למעשה בכל הקשור לעבירות המין</w:t>
      </w:r>
      <w:r>
        <w:rPr>
          <w:rtl w:val="true"/>
        </w:rPr>
        <w:t xml:space="preserve">, </w:t>
      </w:r>
      <w:r>
        <w:rPr>
          <w:rtl w:val="true"/>
        </w:rPr>
        <w:t>המערער הודה שיחסי מין אמנם התקיימו וחדירה הייתה</w:t>
      </w:r>
      <w:r>
        <w:rPr>
          <w:rtl w:val="true"/>
        </w:rPr>
        <w:t xml:space="preserve">, </w:t>
      </w:r>
      <w:r>
        <w:rPr>
          <w:rtl w:val="true"/>
        </w:rPr>
        <w:t>אך טען שהדברים נעשו בהסכמה</w:t>
      </w:r>
      <w:r>
        <w:rPr>
          <w:rtl w:val="true"/>
        </w:rPr>
        <w:t xml:space="preserve">. </w:t>
      </w:r>
      <w:r>
        <w:rPr>
          <w:rtl w:val="true"/>
        </w:rPr>
        <w:t>משנשללה טענת ההסכמה</w:t>
      </w:r>
      <w:r>
        <w:rPr>
          <w:rtl w:val="true"/>
        </w:rPr>
        <w:t xml:space="preserve">, </w:t>
      </w:r>
      <w:r>
        <w:rPr>
          <w:rtl w:val="true"/>
        </w:rPr>
        <w:t>הרי שהוכחו יסודות עבירת המין אף באירוע האונס השני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 xml:space="preserve">גם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 הצטרף לחוות הדעת העיקרית</w:t>
      </w:r>
      <w:r>
        <w:rPr>
          <w:rtl w:val="true"/>
        </w:rPr>
        <w:t xml:space="preserve">, </w:t>
      </w:r>
      <w:r>
        <w:rPr>
          <w:rtl w:val="true"/>
        </w:rPr>
        <w:t>וציין אף הוא כי התרשם מעדותה האמינה של המתלוננת</w:t>
      </w:r>
      <w:r>
        <w:rPr>
          <w:rtl w:val="true"/>
        </w:rPr>
        <w:t xml:space="preserve">. </w:t>
      </w:r>
      <w:r>
        <w:rPr>
          <w:rtl w:val="true"/>
        </w:rPr>
        <w:t>עוד הוסיף כי בהתאם לעדויות שנפרשו בפני בית המשפט</w:t>
      </w:r>
      <w:r>
        <w:rPr>
          <w:rtl w:val="true"/>
        </w:rPr>
        <w:t xml:space="preserve">, </w:t>
      </w:r>
      <w:r>
        <w:rPr>
          <w:rtl w:val="true"/>
        </w:rPr>
        <w:t>היחסים בין המערער למתלוננת היו מעורערים</w:t>
      </w:r>
      <w:r>
        <w:rPr>
          <w:rtl w:val="true"/>
        </w:rPr>
        <w:t xml:space="preserve">, </w:t>
      </w:r>
      <w:r>
        <w:rPr>
          <w:rtl w:val="true"/>
        </w:rPr>
        <w:t>הם ישנו בחדרים נפרדים ולא קיימו יחסי מין</w:t>
      </w:r>
      <w:r>
        <w:rPr>
          <w:rtl w:val="true"/>
        </w:rPr>
        <w:t xml:space="preserve">. </w:t>
      </w:r>
      <w:r>
        <w:rPr>
          <w:rtl w:val="true"/>
        </w:rPr>
        <w:t>בהמשך לכך קבע כי גרסת המערער לפיה יחסי המין היו בהסכמה מוקשית בבסיסה</w:t>
      </w:r>
      <w:r>
        <w:rPr>
          <w:rtl w:val="true"/>
        </w:rPr>
        <w:t xml:space="preserve">. </w:t>
      </w:r>
      <w:r>
        <w:rPr>
          <w:rtl w:val="true"/>
        </w:rPr>
        <w:t>עוד קבע</w:t>
      </w:r>
      <w:r>
        <w:rPr>
          <w:rtl w:val="true"/>
        </w:rPr>
        <w:t xml:space="preserve">, </w:t>
      </w:r>
      <w:r>
        <w:rPr>
          <w:rtl w:val="true"/>
        </w:rPr>
        <w:t>על יסוד הראיות שנשמעו</w:t>
      </w:r>
      <w:r>
        <w:rPr>
          <w:rtl w:val="true"/>
        </w:rPr>
        <w:t xml:space="preserve">, </w:t>
      </w:r>
      <w:r>
        <w:rPr>
          <w:rtl w:val="true"/>
        </w:rPr>
        <w:t>כי יש לדחות מכל וכל את גרסת המערער כאילו הסכימה המתלוננת לקיים עמו יחסי מין ולאחר תחילת מעשה</w:t>
      </w:r>
      <w:r>
        <w:rPr>
          <w:rtl w:val="true"/>
        </w:rPr>
        <w:t xml:space="preserve">, </w:t>
      </w:r>
      <w:r>
        <w:rPr>
          <w:rtl w:val="true"/>
        </w:rPr>
        <w:t>נמלכה בדעתה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בהתאם לכל האמור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פה אחד את המערער בכל העבירות אשר יוחסו לו בכתב האישום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 xml:space="preserve">ביום </w:t>
      </w:r>
      <w:r>
        <w:rPr/>
        <w:t>18.2.2021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</w:t>
      </w:r>
      <w:r>
        <w:rPr>
          <w:rtl w:val="true"/>
        </w:rPr>
        <w:t xml:space="preserve">, </w:t>
      </w:r>
      <w:r>
        <w:rPr>
          <w:rtl w:val="true"/>
        </w:rPr>
        <w:t>נחלקו שופטי ההרכב הן ביחס למתחם הענישה המתאים לעבירות בהן הורשע המערער והן ביחס לעונש שיש לגזור עליו בתוך מתחם הענישה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 הייתה כל מחלוקת שיש לראות את מכלול המעשים המפורטים בכתב האישום כמסכת עבריינית אחת אשר יש לקבוע לה מתחם ענישה אחד</w:t>
      </w:r>
      <w:r>
        <w:rPr>
          <w:rtl w:val="true"/>
        </w:rPr>
        <w:t xml:space="preserve">. </w:t>
      </w:r>
      <w:r>
        <w:rPr>
          <w:rtl w:val="true"/>
        </w:rPr>
        <w:t xml:space="preserve">שופטי הרוב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ציגלר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ליפשיץ</w:t>
      </w:r>
      <w:r>
        <w:rPr>
          <w:rtl w:val="true"/>
        </w:rPr>
        <w:t xml:space="preserve">) </w:t>
      </w:r>
      <w:r>
        <w:rPr>
          <w:rtl w:val="true"/>
        </w:rPr>
        <w:t>עמדו על חומרת העבירות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>ועל פגיעתן באוטונומיה של המתלוננת</w:t>
      </w:r>
      <w:r>
        <w:rPr>
          <w:rtl w:val="true"/>
        </w:rPr>
        <w:t xml:space="preserve">, </w:t>
      </w:r>
      <w:r>
        <w:rPr>
          <w:rtl w:val="true"/>
        </w:rPr>
        <w:t>ברצונה החופשי</w:t>
      </w:r>
      <w:r>
        <w:rPr>
          <w:rtl w:val="true"/>
        </w:rPr>
        <w:t xml:space="preserve">, </w:t>
      </w:r>
      <w:r>
        <w:rPr>
          <w:rtl w:val="true"/>
        </w:rPr>
        <w:t>בצנעת הפרט שלה ובזכותה לחיי שלווה וכבוד</w:t>
      </w:r>
      <w:r>
        <w:rPr>
          <w:rtl w:val="true"/>
        </w:rPr>
        <w:t xml:space="preserve">. </w:t>
      </w:r>
      <w:r>
        <w:rPr>
          <w:rtl w:val="true"/>
        </w:rPr>
        <w:t>כן צוין כי המערער פגע פגיעה משמעותית בתחושת הביטחון האישי של המתלוננת בביתה ובמיטתה</w:t>
      </w:r>
      <w:r>
        <w:rPr>
          <w:rtl w:val="true"/>
        </w:rPr>
        <w:t xml:space="preserve">. </w:t>
      </w:r>
      <w:r>
        <w:rPr>
          <w:rtl w:val="true"/>
        </w:rPr>
        <w:t>בית המשפט המחוזי הוסיף ועמד על נסיבות ביצוע העבירות ובהן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ביצוע המעשים במספר הזדמנויות</w:t>
      </w:r>
      <w:r>
        <w:rPr>
          <w:rtl w:val="true"/>
        </w:rPr>
        <w:t xml:space="preserve">; </w:t>
      </w:r>
      <w:r>
        <w:rPr>
          <w:rtl w:val="true"/>
        </w:rPr>
        <w:t>ביצועם מתוך שתלטנות ורצון לפגוע במתלוננת</w:t>
      </w:r>
      <w:r>
        <w:rPr>
          <w:rtl w:val="true"/>
        </w:rPr>
        <w:t xml:space="preserve">; </w:t>
      </w:r>
      <w:r>
        <w:rPr>
          <w:rtl w:val="true"/>
        </w:rPr>
        <w:t>האלימות שאפיינה את ביצוע עבירות המין</w:t>
      </w:r>
      <w:r>
        <w:rPr>
          <w:rtl w:val="true"/>
        </w:rPr>
        <w:t xml:space="preserve">; </w:t>
      </w:r>
      <w:r>
        <w:rPr>
          <w:rtl w:val="true"/>
        </w:rPr>
        <w:t>הנזק הפיזי והחבלות שנגרמו למתלוננת בעקבות מעשיו של המערער</w:t>
      </w:r>
      <w:r>
        <w:rPr>
          <w:rtl w:val="true"/>
        </w:rPr>
        <w:t xml:space="preserve">; </w:t>
      </w:r>
      <w:r>
        <w:rPr>
          <w:rtl w:val="true"/>
        </w:rPr>
        <w:t>והנזק הנפשי שנגרם לה</w:t>
      </w:r>
      <w:r>
        <w:rPr>
          <w:rtl w:val="true"/>
        </w:rPr>
        <w:t xml:space="preserve">. </w:t>
      </w:r>
      <w:r>
        <w:rPr>
          <w:rtl w:val="true"/>
        </w:rPr>
        <w:t>כן נלקחה בחשבון העובדה שמעשי האלימות בהם הורשע המערער</w:t>
      </w:r>
      <w:r>
        <w:rPr>
          <w:rtl w:val="true"/>
        </w:rPr>
        <w:t xml:space="preserve">, </w:t>
      </w:r>
      <w:r>
        <w:rPr>
          <w:rtl w:val="true"/>
        </w:rPr>
        <w:t>אינם מצויים במדרג גבוה של חומרה והם נעשו ללא תכנון מוקדם</w:t>
      </w:r>
      <w:r>
        <w:rPr>
          <w:rtl w:val="true"/>
        </w:rPr>
        <w:t xml:space="preserve">. </w:t>
      </w:r>
      <w:r>
        <w:rPr>
          <w:rtl w:val="true"/>
        </w:rPr>
        <w:t xml:space="preserve">לאחר התייחסות למדיניות הענישה הנוהגת </w:t>
      </w:r>
      <w:hyperlink r:id="rId25">
        <w:r>
          <w:rPr>
            <w:rStyle w:val="Hyperlink"/>
            <w:rtl w:val="true"/>
          </w:rPr>
          <w:t>ולסעיף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המחייב הטלת עונש מזערי בעבירות בהן הורשע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סברו שופטי הרוב כי יש לקבוע את מתחם העונש ההולם בין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>בבחינת הנסיבות שאינן 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התייחסו שופטי הרוב לכך שהמערער לא נטל אחריות למעשיו ולא הביע כל אמפתיה כלפי המתלוננת</w:t>
      </w:r>
      <w:r>
        <w:rPr>
          <w:rtl w:val="true"/>
        </w:rPr>
        <w:t xml:space="preserve">; </w:t>
      </w:r>
      <w:r>
        <w:rPr>
          <w:rtl w:val="true"/>
        </w:rPr>
        <w:t>לכך שפעל במשך תקופה להקלטת המתלוננת ובני משפחתה ללא ידיעתם</w:t>
      </w:r>
      <w:r>
        <w:rPr>
          <w:rtl w:val="true"/>
        </w:rPr>
        <w:t xml:space="preserve">; </w:t>
      </w:r>
      <w:r>
        <w:rPr>
          <w:rtl w:val="true"/>
        </w:rPr>
        <w:t>לכך שלא עשה כל מאמץ לפצות את המתלוננת</w:t>
      </w:r>
      <w:r>
        <w:rPr>
          <w:rtl w:val="true"/>
        </w:rPr>
        <w:t xml:space="preserve">, </w:t>
      </w:r>
      <w:r>
        <w:rPr>
          <w:rtl w:val="true"/>
        </w:rPr>
        <w:t>לא שילם לה את המוהר שנפסק לה בהליכים בבית הדין השרעי ואף פתח בהליכי פשיטת רגל כך שהמתלוננת לא קיבלה ממנו מאומה</w:t>
      </w:r>
      <w:r>
        <w:rPr>
          <w:rtl w:val="true"/>
        </w:rPr>
        <w:t xml:space="preserve">. </w:t>
      </w:r>
      <w:r>
        <w:rPr>
          <w:rtl w:val="true"/>
        </w:rPr>
        <w:t>כשיקולים לקולת העונש</w:t>
      </w:r>
      <w:r>
        <w:rPr>
          <w:rtl w:val="true"/>
        </w:rPr>
        <w:t xml:space="preserve">, </w:t>
      </w:r>
      <w:r>
        <w:rPr>
          <w:rtl w:val="true"/>
        </w:rPr>
        <w:t>התייחס בית המשפט המחוזי לגילו הצעיר של המערער בעת ביצוע העבירות</w:t>
      </w:r>
      <w:r>
        <w:rPr>
          <w:rtl w:val="true"/>
        </w:rPr>
        <w:t xml:space="preserve">; </w:t>
      </w:r>
      <w:r>
        <w:rPr>
          <w:rtl w:val="true"/>
        </w:rPr>
        <w:t>העובדה שהוא נעדר עבר פלילי ומנהל אורך חיים נורמטיבי במישורי חייו האחרים</w:t>
      </w:r>
      <w:r>
        <w:rPr>
          <w:rtl w:val="true"/>
        </w:rPr>
        <w:t xml:space="preserve">; </w:t>
      </w:r>
      <w:r>
        <w:rPr>
          <w:rtl w:val="true"/>
        </w:rPr>
        <w:t>לכך שמאז גירושיו מהמתלוננת הקים משפחה חדשה</w:t>
      </w:r>
      <w:r>
        <w:rPr>
          <w:rtl w:val="true"/>
        </w:rPr>
        <w:t xml:space="preserve">; </w:t>
      </w:r>
      <w:r>
        <w:rPr>
          <w:rtl w:val="true"/>
        </w:rPr>
        <w:t>ולהשפעות הענישה על משפחתו</w:t>
      </w:r>
      <w:r>
        <w:rPr>
          <w:rtl w:val="true"/>
        </w:rPr>
        <w:t xml:space="preserve">. </w:t>
      </w:r>
      <w:r>
        <w:rPr>
          <w:rtl w:val="true"/>
        </w:rPr>
        <w:t>כן התייחס בית המשפט המחוזי לטענת השיהוי שהעלה המערער וקבע כי בשקלול הנסיבות</w:t>
      </w:r>
      <w:r>
        <w:rPr>
          <w:rtl w:val="true"/>
        </w:rPr>
        <w:t xml:space="preserve">, </w:t>
      </w:r>
      <w:r>
        <w:rPr>
          <w:rtl w:val="true"/>
        </w:rPr>
        <w:t>ובהן תרומתו של המערער להימשכות ההליכים</w:t>
      </w:r>
      <w:r>
        <w:rPr>
          <w:rtl w:val="true"/>
        </w:rPr>
        <w:t xml:space="preserve">, </w:t>
      </w:r>
      <w:r>
        <w:rPr>
          <w:rtl w:val="true"/>
        </w:rPr>
        <w:t>לא התקיים שיהוי שיש בו כדי להקל בעונשו באופן מהותי</w:t>
      </w:r>
      <w:r>
        <w:rPr>
          <w:rtl w:val="true"/>
        </w:rPr>
        <w:t xml:space="preserve">. </w:t>
      </w:r>
      <w:r>
        <w:rPr>
          <w:rtl w:val="true"/>
        </w:rPr>
        <w:t>עם זאת נקבע</w:t>
      </w:r>
      <w:r>
        <w:rPr>
          <w:rtl w:val="true"/>
        </w:rPr>
        <w:t xml:space="preserve">, </w:t>
      </w:r>
      <w:r>
        <w:rPr>
          <w:rtl w:val="true"/>
        </w:rPr>
        <w:t>כי יינתן לכך משקל מסוים</w:t>
      </w:r>
      <w:r>
        <w:rPr>
          <w:rtl w:val="true"/>
        </w:rPr>
        <w:t xml:space="preserve">. </w:t>
      </w:r>
      <w:r>
        <w:rPr>
          <w:rtl w:val="true"/>
        </w:rPr>
        <w:t>בהתאם לאמור</w:t>
      </w:r>
      <w:r>
        <w:rPr>
          <w:rtl w:val="true"/>
        </w:rPr>
        <w:t xml:space="preserve">, </w:t>
      </w:r>
      <w:r>
        <w:rPr>
          <w:rtl w:val="true"/>
        </w:rPr>
        <w:t>קבעו שופטי הרוב כי יש להשית על המערער את העונשים הבאים</w:t>
      </w:r>
      <w:r>
        <w:rPr>
          <w:rtl w:val="true"/>
        </w:rPr>
        <w:t xml:space="preserve">: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 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לתקופה של שלוש שנים בתנאי שלא יעבור כל עבירת אלימות או מין מסוג פשע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על תנאי לתקופה של שלוש שנים בתנאי שלא יעבור כל עבירת אלימות או מין מסוג עוון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למתלוננת בסך </w:t>
      </w:r>
      <w:r>
        <w:rPr/>
        <w:t>55,000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 בדעת מיעוט</w:t>
      </w:r>
      <w:r>
        <w:rPr>
          <w:rtl w:val="true"/>
        </w:rPr>
        <w:t xml:space="preserve">, </w:t>
      </w:r>
      <w:r>
        <w:rPr>
          <w:rtl w:val="true"/>
        </w:rPr>
        <w:t>הצטרף לדעת שופטי הרוב בכל הנוגע לחומרת העבירות והפגיעה הקשה שנגרמה למתלוננת בעקבותיהם</w:t>
      </w:r>
      <w:r>
        <w:rPr>
          <w:rtl w:val="true"/>
        </w:rPr>
        <w:t xml:space="preserve">. </w:t>
      </w:r>
      <w:r>
        <w:rPr>
          <w:rtl w:val="true"/>
        </w:rPr>
        <w:t xml:space="preserve">השופט </w:t>
      </w:r>
      <w:r>
        <w:rPr>
          <w:rFonts w:ascii="Miriam" w:hAnsi="Miriam" w:cs="Miriam"/>
          <w:szCs w:val="24"/>
          <w:rtl w:val="true"/>
        </w:rPr>
        <w:t>סעב</w:t>
      </w:r>
      <w:r>
        <w:rPr>
          <w:rtl w:val="true"/>
        </w:rPr>
        <w:t xml:space="preserve"> ציין כי המערער כפה את עצמו על המתלוננת על יסוד תפיסת עולם קיצונית</w:t>
      </w:r>
      <w:r>
        <w:rPr>
          <w:rtl w:val="true"/>
        </w:rPr>
        <w:t xml:space="preserve">, </w:t>
      </w:r>
      <w:r>
        <w:rPr>
          <w:rtl w:val="true"/>
        </w:rPr>
        <w:t>בלתי מקובלת ושגויה</w:t>
      </w:r>
      <w:r>
        <w:rPr>
          <w:rtl w:val="true"/>
        </w:rPr>
        <w:t xml:space="preserve">, </w:t>
      </w:r>
      <w:r>
        <w:rPr>
          <w:rtl w:val="true"/>
        </w:rPr>
        <w:t>ולפיה אישה היא רכוש בעלה ומותר לו לעשות בה כרצונו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סבר כי מכלול </w:t>
      </w:r>
      <w:r>
        <w:rPr>
          <w:rtl w:val="true"/>
        </w:rPr>
        <w:t>הנסיבות אינו</w:t>
      </w:r>
      <w:r>
        <w:rPr>
          <w:rtl w:val="true"/>
        </w:rPr>
        <w:t xml:space="preserve"> מצדיק את הענישה שנקבעה על</w:t>
      </w:r>
      <w:r>
        <w:rPr>
          <w:rtl w:val="true"/>
        </w:rPr>
        <w:t>-</w:t>
      </w:r>
      <w:r>
        <w:rPr>
          <w:rtl w:val="true"/>
        </w:rPr>
        <w:t>ידי דעת הרוב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התייחס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 לפסיקה הנוגעת לעבירות מין שבוצעו בבת זוג ובה נגזרו עונשים קלים יותר</w:t>
      </w:r>
      <w:r>
        <w:rPr>
          <w:rtl w:val="true"/>
        </w:rPr>
        <w:t xml:space="preserve">. </w:t>
      </w:r>
      <w:r>
        <w:rPr>
          <w:rtl w:val="true"/>
        </w:rPr>
        <w:t xml:space="preserve">עוד ציין שעל אף שמדובר בעבירות </w:t>
      </w:r>
      <w:r>
        <w:rPr>
          <w:rFonts w:ascii="FrankRuehl" w:hAnsi="FrankRuehl" w:cs="FrankRuehl"/>
          <w:sz w:val="28"/>
          <w:sz w:val="28"/>
          <w:rtl w:val="true"/>
        </w:rPr>
        <w:t>חמורות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 xml:space="preserve">אין מדובר בעבריין מין </w:t>
      </w:r>
      <w:r>
        <w:rPr>
          <w:rFonts w:ascii="FrankRuehl" w:hAnsi="FrankRuehl" w:cs="FrankRuehl"/>
          <w:sz w:val="28"/>
          <w:sz w:val="28"/>
          <w:rtl w:val="true"/>
        </w:rPr>
        <w:t>שאנס</w:t>
      </w:r>
      <w:r>
        <w:rPr>
          <w:rFonts w:ascii="FrankRuehl" w:hAnsi="FrankRuehl" w:cs="FrankRuehl"/>
          <w:sz w:val="28"/>
          <w:sz w:val="28"/>
          <w:rtl w:val="true"/>
        </w:rPr>
        <w:t xml:space="preserve"> עוברת אורח מזדמנת וכפה עליה את עצמו בכוח ובברוטליות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אלא בבני זוג שקיימו ביניהם יחסי מין בהסכמה לאורך תקופת נישואיהם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rtl w:val="true"/>
        </w:rPr>
        <w:t>בשים לב לכך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וכן לנסיבות עליה</w:t>
      </w:r>
      <w:r>
        <w:rPr>
          <w:rFonts w:ascii="FrankRuehl" w:hAnsi="FrankRuehl" w:cs="FrankRuehl"/>
          <w:sz w:val="28"/>
          <w:sz w:val="28"/>
          <w:rtl w:val="true"/>
        </w:rPr>
        <w:t>ן</w:t>
      </w:r>
      <w:r>
        <w:rPr>
          <w:rFonts w:ascii="FrankRuehl" w:hAnsi="FrankRuehl" w:cs="FrankRuehl"/>
          <w:sz w:val="28"/>
          <w:sz w:val="28"/>
          <w:rtl w:val="true"/>
        </w:rPr>
        <w:t xml:space="preserve"> עמדו גם שופטי הרוב</w:t>
      </w:r>
      <w:r>
        <w:rPr>
          <w:rFonts w:cs="FrankRuehl" w:ascii="FrankRuehl" w:hAnsi="FrankRuehl"/>
          <w:sz w:val="28"/>
          <w:rtl w:val="true"/>
        </w:rPr>
        <w:t>,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rtl w:val="true"/>
        </w:rPr>
        <w:t>סבר</w:t>
      </w:r>
      <w:r>
        <w:rPr>
          <w:rtl w:val="true"/>
        </w:rPr>
        <w:t xml:space="preserve"> כי מתחם העונש ההולם נע בין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 xml:space="preserve">באשר לנסיבות שאינן קשורות לביצוע העבירה התייחס השופט </w:t>
      </w:r>
      <w:r>
        <w:rPr>
          <w:rFonts w:ascii="Miriam" w:hAnsi="Miriam" w:cs="Miriam"/>
          <w:szCs w:val="24"/>
          <w:rtl w:val="true"/>
        </w:rPr>
        <w:t xml:space="preserve">סעב </w:t>
      </w:r>
      <w:r>
        <w:rPr>
          <w:rtl w:val="true"/>
        </w:rPr>
        <w:t>לכך שהמערער בנה תא משפחתי חדש</w:t>
      </w:r>
      <w:r>
        <w:rPr>
          <w:rtl w:val="true"/>
        </w:rPr>
        <w:t xml:space="preserve">, </w:t>
      </w:r>
      <w:r>
        <w:rPr>
          <w:rtl w:val="true"/>
        </w:rPr>
        <w:t>שהוא נעדר עבר פלילי</w:t>
      </w:r>
      <w:r>
        <w:rPr>
          <w:rtl w:val="true"/>
        </w:rPr>
        <w:t xml:space="preserve">, </w:t>
      </w:r>
      <w:r>
        <w:rPr>
          <w:rtl w:val="true"/>
        </w:rPr>
        <w:t>כי הוא מתנהל באופן נורמטיבי בכל מישורי חייו האחרים</w:t>
      </w:r>
      <w:r>
        <w:rPr>
          <w:rtl w:val="true"/>
        </w:rPr>
        <w:t xml:space="preserve">, </w:t>
      </w:r>
      <w:r>
        <w:rPr>
          <w:rtl w:val="true"/>
        </w:rPr>
        <w:t>ולא נפתחו לו תיקים חדשים</w:t>
      </w:r>
      <w:r>
        <w:rPr>
          <w:rtl w:val="true"/>
        </w:rPr>
        <w:t xml:space="preserve">. </w:t>
      </w:r>
      <w:r>
        <w:rPr>
          <w:rtl w:val="true"/>
        </w:rPr>
        <w:t>בהתבסס על נסיבות אלה סבר</w:t>
      </w:r>
      <w:r>
        <w:rPr>
          <w:rtl w:val="true"/>
        </w:rPr>
        <w:t xml:space="preserve">, </w:t>
      </w:r>
      <w:r>
        <w:rPr>
          <w:rtl w:val="true"/>
        </w:rPr>
        <w:t>שניתן ללמוד מהן על קיומו של תהליך שיקומי שנעשה ביוזמתו של המערער ללא התערבות גורמי טיפול</w:t>
      </w:r>
      <w:r>
        <w:rPr>
          <w:rtl w:val="true"/>
        </w:rPr>
        <w:t xml:space="preserve">, </w:t>
      </w:r>
      <w:r>
        <w:rPr>
          <w:rtl w:val="true"/>
        </w:rPr>
        <w:t>ובהתאם יש ליתן לכך משקל כשיקול לקולה מטעמי שיקום</w:t>
      </w:r>
      <w:r>
        <w:rPr>
          <w:rtl w:val="true"/>
        </w:rPr>
        <w:t xml:space="preserve">. </w:t>
      </w:r>
      <w:r>
        <w:rPr>
          <w:rtl w:val="true"/>
        </w:rPr>
        <w:t>כן סבר כי יש לראות בעבירות המין שביצע המערער כמעידה חד פעמית</w:t>
      </w:r>
      <w:r>
        <w:rPr>
          <w:rtl w:val="true"/>
        </w:rPr>
        <w:t xml:space="preserve">, </w:t>
      </w:r>
      <w:r>
        <w:rPr>
          <w:rtl w:val="true"/>
        </w:rPr>
        <w:t>וכי יש לתת משקל משמעותי יותר לחלוף הזמן מעת ביצוע העבירות ולשיהוי בהגשת כתב האישום</w:t>
      </w:r>
      <w:r>
        <w:rPr>
          <w:rtl w:val="true"/>
        </w:rPr>
        <w:t xml:space="preserve">. </w:t>
      </w:r>
      <w:r>
        <w:rPr>
          <w:rtl w:val="true"/>
        </w:rPr>
        <w:t>בהתאם לאמור</w:t>
      </w:r>
      <w:r>
        <w:rPr>
          <w:rtl w:val="true"/>
        </w:rPr>
        <w:t xml:space="preserve">, </w:t>
      </w:r>
      <w:r>
        <w:rPr>
          <w:rtl w:val="true"/>
        </w:rPr>
        <w:t xml:space="preserve">סבר כי יש להטיל על המערער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ופיצוי למתלוננת בסך </w:t>
      </w:r>
      <w:r>
        <w:rPr/>
        <w:t>40,000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הוחלט ברוב דעות</w:t>
      </w:r>
      <w:r>
        <w:rPr>
          <w:rtl w:val="true"/>
        </w:rPr>
        <w:t xml:space="preserve">, </w:t>
      </w:r>
      <w:r>
        <w:rPr>
          <w:rtl w:val="true"/>
        </w:rPr>
        <w:t xml:space="preserve">נגד דעתו החולקת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סעב</w:t>
      </w:r>
      <w:r>
        <w:rPr>
          <w:rtl w:val="true"/>
        </w:rPr>
        <w:t xml:space="preserve">, </w:t>
      </w:r>
      <w:r>
        <w:rPr>
          <w:rtl w:val="true"/>
        </w:rPr>
        <w:t xml:space="preserve">להטיל על המערער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נלוות כמפורט לעיל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84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>מכאן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הערעור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הערעור מופנה הן כלפי הכרעת הדין והן כלפי גזר הדין</w:t>
      </w:r>
      <w:r>
        <w:rPr>
          <w:rtl w:val="true"/>
        </w:rPr>
        <w:t xml:space="preserve">. </w:t>
      </w:r>
      <w:r>
        <w:rPr>
          <w:rtl w:val="true"/>
        </w:rPr>
        <w:t>בגדרו של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שגה בית המשפט המחוזי בהערכתו את מהימנותה של המתלוננת</w:t>
      </w:r>
      <w:r>
        <w:rPr>
          <w:rtl w:val="true"/>
        </w:rPr>
        <w:t xml:space="preserve">, </w:t>
      </w:r>
      <w:r>
        <w:rPr>
          <w:rtl w:val="true"/>
        </w:rPr>
        <w:t>בהיותה עדות יחידה וכבושה ובשל הסדקים הרבים שנתגלעו בה</w:t>
      </w:r>
      <w:r>
        <w:rPr>
          <w:rtl w:val="true"/>
        </w:rPr>
        <w:t xml:space="preserve">, </w:t>
      </w:r>
      <w:r>
        <w:rPr>
          <w:rtl w:val="true"/>
        </w:rPr>
        <w:t>שיש בהם כדי למוטט את עדות המתלוננת</w:t>
      </w:r>
      <w:r>
        <w:rPr>
          <w:rtl w:val="true"/>
        </w:rPr>
        <w:t xml:space="preserve">, </w:t>
      </w:r>
      <w:r>
        <w:rPr>
          <w:rtl w:val="true"/>
        </w:rPr>
        <w:t>ולכל הפחות</w:t>
      </w:r>
      <w:r>
        <w:rPr>
          <w:rtl w:val="true"/>
        </w:rPr>
        <w:t xml:space="preserve">, </w:t>
      </w:r>
      <w:r>
        <w:rPr>
          <w:rtl w:val="true"/>
        </w:rPr>
        <w:t>להקים ספק סביר באשמת המערער</w:t>
      </w:r>
      <w:r>
        <w:rPr>
          <w:rtl w:val="true"/>
        </w:rPr>
        <w:t xml:space="preserve">. </w:t>
      </w:r>
      <w:r>
        <w:rPr>
          <w:rtl w:val="true"/>
        </w:rPr>
        <w:t>נטען כי המתלוננת שינתה והתאימה את גרסאותיה במהלך המשפט</w:t>
      </w:r>
      <w:r>
        <w:rPr>
          <w:rtl w:val="true"/>
        </w:rPr>
        <w:t xml:space="preserve">; </w:t>
      </w:r>
      <w:r>
        <w:rPr>
          <w:rtl w:val="true"/>
        </w:rPr>
        <w:t>כי ישנם הבדלים משמעותיים בגרסאותיה</w:t>
      </w:r>
      <w:r>
        <w:rPr>
          <w:rtl w:val="true"/>
        </w:rPr>
        <w:t xml:space="preserve">; </w:t>
      </w:r>
      <w:r>
        <w:rPr>
          <w:rtl w:val="true"/>
        </w:rPr>
        <w:t>וכי בדתה פרטים ואירועים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באשר לאירוע האונס הראשון טוען המערער</w:t>
      </w:r>
      <w:r>
        <w:rPr>
          <w:rtl w:val="true"/>
        </w:rPr>
        <w:t xml:space="preserve">, </w:t>
      </w:r>
      <w:r>
        <w:rPr>
          <w:rtl w:val="true"/>
        </w:rPr>
        <w:t>כי תיאורה של המתלוננת את אופן ביצוע המעשים</w:t>
      </w:r>
      <w:r>
        <w:rPr>
          <w:rtl w:val="true"/>
        </w:rPr>
        <w:t xml:space="preserve">, </w:t>
      </w:r>
      <w:r>
        <w:rPr>
          <w:rtl w:val="true"/>
        </w:rPr>
        <w:t>ובעיקר אופן החדרת אצבעותיו לאיבר המין של המתלוננת</w:t>
      </w:r>
      <w:r>
        <w:rPr>
          <w:rtl w:val="true"/>
        </w:rPr>
        <w:t xml:space="preserve">, </w:t>
      </w:r>
      <w:r>
        <w:rPr>
          <w:rtl w:val="true"/>
        </w:rPr>
        <w:t>היה מוגזם ומועצם ואינו מתקבל על הדעת</w:t>
      </w:r>
      <w:r>
        <w:rPr>
          <w:rtl w:val="true"/>
        </w:rPr>
        <w:t xml:space="preserve">. </w:t>
      </w:r>
      <w:r>
        <w:rPr>
          <w:rtl w:val="true"/>
        </w:rPr>
        <w:t>באשר לאירוע האונס השני טוען המערער</w:t>
      </w:r>
      <w:r>
        <w:rPr>
          <w:rtl w:val="true"/>
        </w:rPr>
        <w:t xml:space="preserve">, </w:t>
      </w:r>
      <w:r>
        <w:rPr>
          <w:rtl w:val="true"/>
        </w:rPr>
        <w:t>כי המתלוננת העידה לראשונה על מגע בין איבר מינה ואיבר מינו של המערער</w:t>
      </w:r>
      <w:r>
        <w:rPr>
          <w:rtl w:val="true"/>
        </w:rPr>
        <w:t xml:space="preserve">, </w:t>
      </w:r>
      <w:r>
        <w:rPr>
          <w:rtl w:val="true"/>
        </w:rPr>
        <w:t>ועל חדירה</w:t>
      </w:r>
      <w:r>
        <w:rPr>
          <w:rtl w:val="true"/>
        </w:rPr>
        <w:t xml:space="preserve">, </w:t>
      </w:r>
      <w:r>
        <w:rPr>
          <w:rtl w:val="true"/>
        </w:rPr>
        <w:t>רק בעדותה בבית המשפט</w:t>
      </w:r>
      <w:r>
        <w:rPr>
          <w:rtl w:val="true"/>
        </w:rPr>
        <w:t xml:space="preserve">, </w:t>
      </w:r>
      <w:r>
        <w:rPr>
          <w:rtl w:val="true"/>
        </w:rPr>
        <w:t>מבלי שניתן הסבר סביר לכבישת עדותה</w:t>
      </w:r>
      <w:r>
        <w:rPr>
          <w:rtl w:val="true"/>
        </w:rPr>
        <w:t xml:space="preserve">. </w:t>
      </w:r>
      <w:r>
        <w:rPr>
          <w:rtl w:val="true"/>
        </w:rPr>
        <w:t>עוד נטען כי המתלוננת לא סיפרה לרופאה שבדקה אותה לאחר הגשת תלונתה שעברה אונס</w:t>
      </w:r>
      <w:r>
        <w:rPr>
          <w:rtl w:val="true"/>
        </w:rPr>
        <w:t xml:space="preserve">, </w:t>
      </w:r>
      <w:r>
        <w:rPr>
          <w:rtl w:val="true"/>
        </w:rPr>
        <w:t>כי היא לא מיהרה להתלונן אלא הלכה קודם לעבודתה</w:t>
      </w:r>
      <w:r>
        <w:rPr>
          <w:rtl w:val="true"/>
        </w:rPr>
        <w:t xml:space="preserve">, </w:t>
      </w:r>
      <w:r>
        <w:rPr>
          <w:rtl w:val="true"/>
        </w:rPr>
        <w:t>וגם בהודעותיה לאחותה לא הזכירה אונס</w:t>
      </w:r>
      <w:r>
        <w:rPr>
          <w:rtl w:val="true"/>
        </w:rPr>
        <w:t xml:space="preserve">. </w:t>
      </w:r>
      <w:r>
        <w:rPr>
          <w:rtl w:val="true"/>
        </w:rPr>
        <w:t>נטען שכל אלה מלמדים שבדתה את האונס מליבה וכי רצון בנקמה הוא זה שהניע את המתלוננת להגיש את תלונתה</w:t>
      </w:r>
      <w:r>
        <w:rPr>
          <w:rtl w:val="true"/>
        </w:rPr>
        <w:t xml:space="preserve">. </w:t>
      </w:r>
      <w:r>
        <w:rPr>
          <w:rtl w:val="true"/>
        </w:rPr>
        <w:t>כן נטען כי די באפשרות שמניע פסול הוא שהביא להגשת התלונה</w:t>
      </w:r>
      <w:r>
        <w:rPr>
          <w:rtl w:val="true"/>
        </w:rPr>
        <w:t xml:space="preserve">, </w:t>
      </w:r>
      <w:r>
        <w:rPr>
          <w:rtl w:val="true"/>
        </w:rPr>
        <w:t>כדי לבסס ספק סביר באשמת המערער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המערער טוען כי שגה בית המשפט המחוזי בקביעותיו העובדתיות בנוגע להקלטה הלילית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התייחס להקלטה הלילית כמכלול ולא נתן משקל ראוי לתכניה</w:t>
      </w:r>
      <w:r>
        <w:rPr>
          <w:rtl w:val="true"/>
        </w:rPr>
        <w:t xml:space="preserve">, </w:t>
      </w:r>
      <w:r>
        <w:rPr>
          <w:rtl w:val="true"/>
        </w:rPr>
        <w:t>אלא בחר קטעים נבחרים כדי לבסס את אמינותה של המתלוננת</w:t>
      </w:r>
      <w:r>
        <w:rPr>
          <w:rtl w:val="true"/>
        </w:rPr>
        <w:t xml:space="preserve">. </w:t>
      </w:r>
      <w:r>
        <w:rPr>
          <w:rtl w:val="true"/>
        </w:rPr>
        <w:t>נטען שבית המשפט המחוזי שגה גם בכך שהוציא מהקשרו את קטע השיחה בין המערער והמתלוננת בהתייחס להשקפת הדת על יחסי מין בין בני זוג שלא בהסכמת האישה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שיחה זו נסובה על חיי הנישואין באופן כללי ולא על אירוע מסוים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באשר לחקירת המשטרה</w:t>
      </w:r>
      <w:r>
        <w:rPr>
          <w:rtl w:val="true"/>
        </w:rPr>
        <w:t xml:space="preserve">, </w:t>
      </w:r>
      <w:r>
        <w:rPr>
          <w:rtl w:val="true"/>
        </w:rPr>
        <w:t>טוען המערער כי זו התנהלה בצורה פסולה במטרה להפליל את המערער</w:t>
      </w:r>
      <w:r>
        <w:rPr>
          <w:rtl w:val="true"/>
        </w:rPr>
        <w:t xml:space="preserve">. </w:t>
      </w:r>
      <w:r>
        <w:rPr>
          <w:rtl w:val="true"/>
        </w:rPr>
        <w:t>כך לטענתו</w:t>
      </w:r>
      <w:r>
        <w:rPr>
          <w:rtl w:val="true"/>
        </w:rPr>
        <w:t xml:space="preserve">, </w:t>
      </w:r>
      <w:r>
        <w:rPr>
          <w:rtl w:val="true"/>
        </w:rPr>
        <w:t>הדריכו החוקרים את המתלוננת במטרה להפלילו</w:t>
      </w:r>
      <w:r>
        <w:rPr>
          <w:rtl w:val="true"/>
        </w:rPr>
        <w:t xml:space="preserve">, </w:t>
      </w:r>
      <w:r>
        <w:rPr>
          <w:rtl w:val="true"/>
        </w:rPr>
        <w:t>וכן נפלו פגמים בניהול החקירה שהובילו למחדלי חקירה רבים</w:t>
      </w:r>
      <w:r>
        <w:rPr>
          <w:rtl w:val="true"/>
        </w:rPr>
        <w:t xml:space="preserve">. </w:t>
      </w:r>
      <w:r>
        <w:rPr>
          <w:rtl w:val="true"/>
        </w:rPr>
        <w:t>לטענת המערער שגה בית המשפט המחוזי בכך שלא נתן את המשקל הראוי למחדלי החקירה הנטענים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מפנה המערער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לכך שהמסרון ששלחה המתלוננת למערער בטרם הגישה תלונתה לא הוצג למערער בחקירתו</w:t>
      </w:r>
      <w:r>
        <w:rPr>
          <w:rtl w:val="true"/>
        </w:rPr>
        <w:t xml:space="preserve">; </w:t>
      </w:r>
      <w:r>
        <w:rPr>
          <w:rtl w:val="true"/>
        </w:rPr>
        <w:t>שהמשטרה לא גבתה עדות מרופאת נשים לה סיפרה המתלוננת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על הפגיעות בה</w:t>
      </w:r>
      <w:r>
        <w:rPr>
          <w:rtl w:val="true"/>
        </w:rPr>
        <w:t xml:space="preserve">; </w:t>
      </w:r>
      <w:r>
        <w:rPr>
          <w:rtl w:val="true"/>
        </w:rPr>
        <w:t>להיעלמות תמונות חבלותיה של המתלוננת מתיק החקירה</w:t>
      </w:r>
      <w:r>
        <w:rPr>
          <w:rtl w:val="true"/>
        </w:rPr>
        <w:t xml:space="preserve">; </w:t>
      </w:r>
      <w:r>
        <w:rPr>
          <w:rtl w:val="true"/>
        </w:rPr>
        <w:t>ולמסירת הודעתה של המתלוננת במשטרה כשדלת חדר החקירה פתוחה</w:t>
      </w:r>
      <w:r>
        <w:rPr>
          <w:rtl w:val="true"/>
        </w:rPr>
        <w:t xml:space="preserve">, </w:t>
      </w:r>
      <w:r>
        <w:rPr>
          <w:rtl w:val="true"/>
        </w:rPr>
        <w:t>כך שאחותה שמעה את תוכנה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>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טוען המערער כי היה מקום לתת משקל רב יותר לשיהוי בהגשת כתב האישום ולהימשכות ההליכים</w:t>
      </w:r>
      <w:r>
        <w:rPr>
          <w:rtl w:val="true"/>
        </w:rPr>
        <w:t xml:space="preserve">; </w:t>
      </w:r>
      <w:r>
        <w:rPr>
          <w:rtl w:val="true"/>
        </w:rPr>
        <w:t>לכך שמדובר בעבירות במדרג הנמוך של עבירות המין</w:t>
      </w:r>
      <w:r>
        <w:rPr>
          <w:rtl w:val="true"/>
        </w:rPr>
        <w:t xml:space="preserve">; </w:t>
      </w:r>
      <w:r>
        <w:rPr>
          <w:rtl w:val="true"/>
        </w:rPr>
        <w:t>לכך שלא ניתן משקל מספק לעובדה שהמערער השתקם ואינו בעל דפוסי עבריינות מושרשים</w:t>
      </w:r>
      <w:r>
        <w:rPr>
          <w:rtl w:val="true"/>
        </w:rPr>
        <w:t xml:space="preserve">; </w:t>
      </w:r>
      <w:r>
        <w:rPr>
          <w:rtl w:val="true"/>
        </w:rPr>
        <w:t>לעובדה שלא נשקפת ממנו מסוכנות</w:t>
      </w:r>
      <w:r>
        <w:rPr>
          <w:rtl w:val="true"/>
        </w:rPr>
        <w:t xml:space="preserve">; </w:t>
      </w:r>
      <w:r>
        <w:rPr>
          <w:rtl w:val="true"/>
        </w:rPr>
        <w:t>לכך שהוא הקים משפחה ומנהל אורח חיים נורמטיבי</w:t>
      </w:r>
      <w:r>
        <w:rPr>
          <w:rtl w:val="true"/>
        </w:rPr>
        <w:t xml:space="preserve">; </w:t>
      </w:r>
      <w:r>
        <w:rPr>
          <w:rtl w:val="true"/>
        </w:rPr>
        <w:t>ולנזק שיגרם לו ולמשפחתו בשל המאסר</w:t>
      </w:r>
      <w:r>
        <w:rPr>
          <w:rtl w:val="true"/>
        </w:rPr>
        <w:t xml:space="preserve">. </w:t>
      </w:r>
      <w:r>
        <w:rPr>
          <w:rtl w:val="true"/>
        </w:rPr>
        <w:t>כן מלין המערער על כך שבעת קביעת מתחם הענישה הסתמך בית המשפט המחוזי על מקרים חמורים יותר שאינם משקפים את נסיבותיו של האירוע המיוחס לו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 סומכת את ידיה על הכרעת הדין וגזר הדין על נימוקיהם</w:t>
      </w:r>
      <w:r>
        <w:rPr>
          <w:rtl w:val="true"/>
        </w:rPr>
        <w:t xml:space="preserve">, </w:t>
      </w:r>
      <w:r>
        <w:rPr>
          <w:rtl w:val="true"/>
        </w:rPr>
        <w:t>וטוענת כי דין הערעור להידחות על שני חלקיו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כי אין להתערב בממצאי עובדה ומהימנות שקבעה הערכאה הדיונית</w:t>
      </w:r>
      <w:r>
        <w:rPr>
          <w:rtl w:val="true"/>
        </w:rPr>
        <w:t xml:space="preserve">; </w:t>
      </w:r>
      <w:r>
        <w:rPr>
          <w:rtl w:val="true"/>
        </w:rPr>
        <w:t>כי עדותה של המתלוננת אמינה ונתמכת בחיזוקים רבים ואילו גרסתו של המערער אינה אמינה ורצופת סתירות</w:t>
      </w:r>
      <w:r>
        <w:rPr>
          <w:rtl w:val="true"/>
        </w:rPr>
        <w:t xml:space="preserve">. </w:t>
      </w:r>
      <w:r>
        <w:rPr>
          <w:rtl w:val="true"/>
        </w:rPr>
        <w:t>באשר לטענה למחדלי חקירה</w:t>
      </w:r>
      <w:r>
        <w:rPr>
          <w:rtl w:val="true"/>
        </w:rPr>
        <w:t xml:space="preserve">, </w:t>
      </w:r>
      <w:r>
        <w:rPr>
          <w:rtl w:val="true"/>
        </w:rPr>
        <w:t>נטען כי כלל לא מדובר במחדלים</w:t>
      </w:r>
      <w:r>
        <w:rPr>
          <w:rtl w:val="true"/>
        </w:rPr>
        <w:t xml:space="preserve">. </w:t>
      </w:r>
      <w:r>
        <w:rPr>
          <w:rtl w:val="true"/>
        </w:rPr>
        <w:t>באשר לערעור על גזר הדין</w:t>
      </w:r>
      <w:r>
        <w:rPr>
          <w:rtl w:val="true"/>
        </w:rPr>
        <w:t xml:space="preserve">, </w:t>
      </w:r>
      <w:r>
        <w:rPr>
          <w:rtl w:val="true"/>
        </w:rPr>
        <w:t>נטען כי העונש שנגזר על המערער הולם את מעשיו החמורים ונסיבות ביצועם וכי אין להתערב בו</w:t>
      </w:r>
      <w:r>
        <w:rPr>
          <w:rtl w:val="true"/>
        </w:rPr>
        <w:t xml:space="preserve">, </w:t>
      </w:r>
      <w:r>
        <w:rPr>
          <w:rtl w:val="true"/>
        </w:rPr>
        <w:t>ולעניין טענת השיהוי נטען כי עיון במכלול הנסיבות מעלה שלא מדובר בשיהוי המצדיק הקלה בעונשו של המערער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5869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 xml:space="preserve">לאחר </w:t>
      </w:r>
      <w:r>
        <w:rPr>
          <w:rtl w:val="true"/>
        </w:rPr>
        <w:t>שבחנתי את הכרעת הדין וגזר הדין</w:t>
      </w:r>
      <w:r>
        <w:rPr>
          <w:rtl w:val="true"/>
        </w:rPr>
        <w:t xml:space="preserve">, </w:t>
      </w:r>
      <w:r>
        <w:rPr>
          <w:rtl w:val="true"/>
        </w:rPr>
        <w:t>עיינתי בתיק בית המשפט המחוזי ונתתי דעתי לטענות הצדדים</w:t>
      </w:r>
      <w:r>
        <w:rPr>
          <w:rtl w:val="true"/>
        </w:rPr>
        <w:t xml:space="preserve">, </w:t>
      </w:r>
      <w:r>
        <w:rPr>
          <w:rtl w:val="true"/>
        </w:rPr>
        <w:t>הגעתי למסקנה כי דין הערעור להידחות על שני חלקיו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  <w:tab w:val="left" w:pos="8704" w:leader="none"/>
        </w:tabs>
        <w:ind w:start="84" w:end="0"/>
        <w:jc w:val="both"/>
        <w:rPr/>
      </w:pPr>
      <w:r>
        <w:rPr>
          <w:rtl w:val="true"/>
        </w:rPr>
        <w:t>טענותיו של המערער מתמקדות בעיקרן במהימנות שראה בית המשפט המחוזי לייחס לעדות המתלוננת</w:t>
      </w:r>
      <w:r>
        <w:rPr>
          <w:rtl w:val="true"/>
        </w:rPr>
        <w:t xml:space="preserve">, </w:t>
      </w:r>
      <w:r>
        <w:rPr>
          <w:rtl w:val="true"/>
        </w:rPr>
        <w:t>ובהעדפתה על פני גרסת המערער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8704" w:leader="none"/>
        </w:tabs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מלאכת הערכת מהימנותם של עדים מסורה בידי הערכאה הדיונית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המתרשמת מהעדים באופן בלתי אמצעי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ואין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ערכאת הערעור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נוטה 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התערב ב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הערכה זו אלא במקרים נדירים ויוצאי דופן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ראו מבין רבים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1682/22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11.9.2022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6643/05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3.7.2007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1193/16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סונגו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17.5.2018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4707/20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פלוני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מדינת ישראל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7.2.2022</w:t>
      </w:r>
      <w:r>
        <w:rPr>
          <w:rFonts w:cs="FrankRuehl" w:ascii="FrankRuehl" w:hAnsi="FrankRuehl"/>
          <w:color w:val="000000"/>
          <w:sz w:val="28"/>
          <w:rtl w:val="true"/>
        </w:rPr>
        <w:t xml:space="preserve">)). </w:t>
      </w:r>
      <w:r>
        <w:rPr>
          <w:rtl w:val="true"/>
        </w:rPr>
        <w:t>כוחה של הלכה זה יפה גם כאשר מדובר בערעור על קביעות עובדה ומהימנות בעבירות מין</w:t>
      </w:r>
      <w:r>
        <w:rPr>
          <w:rtl w:val="true"/>
        </w:rPr>
        <w:t xml:space="preserve">, </w:t>
      </w:r>
      <w:r>
        <w:rPr>
          <w:rtl w:val="true"/>
        </w:rPr>
        <w:t>שבהן בשל טבען של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קביעת הממצאים מתבססת בעיקרה על עדויות הנפגע והפוגע ועל התרשמות הערכאה הדיונית מאמינותן ומהימנותן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28.4.2022</w:t>
      </w:r>
      <w:r>
        <w:rPr>
          <w:rtl w:val="true"/>
        </w:rPr>
        <w:t>))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ומהימנות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שבהגיון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בעילה</w:t>
      </w:r>
      <w:r>
        <w:rPr>
          <w:rtl w:val="true"/>
        </w:rPr>
        <w:t xml:space="preserve">"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8704" w:leader="none"/>
        </w:tabs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8704" w:leader="none"/>
        </w:tabs>
        <w:ind w:hanging="0" w:start="0"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לאחר בחינת טיעוני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לא מצאתי כי יש בכוחם של אלה כדי להצדיק את התערבותה של ערכאת הערעור בממצאי המהימנות שקבעה הערכאה הדיונית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 המשפט המחוזי דן בהכרעת דינו באופן מקיף ומפורט בכל טענות המערער</w:t>
      </w:r>
      <w:r>
        <w:rPr>
          <w:rtl w:val="true"/>
        </w:rPr>
        <w:t xml:space="preserve">, </w:t>
      </w:r>
      <w:r>
        <w:rPr>
          <w:rtl w:val="true"/>
        </w:rPr>
        <w:t>ממצאי המהימנות שקבע מנומקים היטב</w:t>
      </w:r>
      <w:r>
        <w:rPr>
          <w:rtl w:val="true"/>
        </w:rPr>
        <w:t xml:space="preserve">, </w:t>
      </w:r>
      <w:r>
        <w:rPr>
          <w:rtl w:val="true"/>
        </w:rPr>
        <w:t>ונמצאו להם חיזוקים משמעותיים בראיות חיצוניות כפי שיפורט להלן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בית המשפט המחוזי התרשם באופן חיובי ביותר מעדותה של המתלוננת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התרשמות אשר זכתה להתייחסות מיוחדת מכל אחד מחברי המותב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נקבע כי עדותה הייתה שוטפת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עקבית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קוהרנטית ואמינה וכי גרסתה היא זו המשקפת נכונה את מהלך האירועים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מסקנותיו אלה של בית המשפט המחוזי עוגנו בטעמים הבאים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עקביותה של המתלוננת ועמידתה על גרסתה לאורך כל שלבי ההליך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העדר הפרזה או העצמה בתיאוריה והשתדלותה לדייק בפרטים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העדר סתירות מהותיות בעדותה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ותיאור האירועים בעדותה תוך מיקודם בזמנים ונסיבות ספציפיים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בית המשפט המחוזי הוסיף וציין כי המתלוננת חשפה את המעשים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למרות הקושי לעשות כן שניכר עליה בעת מתן עדותה שלוותה לעיתים בהתפרצויות בכי וכעס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לא ראיתי לקבל את טענת המערער כי המתלוננת כבשה את עדותה וחשפה את הפגיעות בה באופן הדרגתי</w:t>
      </w:r>
      <w:r>
        <w:rPr>
          <w:rtl w:val="true"/>
        </w:rPr>
        <w:t xml:space="preserve">, </w:t>
      </w:r>
      <w:r>
        <w:rPr>
          <w:rtl w:val="true"/>
        </w:rPr>
        <w:t>באופן הפוגם באמינותה</w:t>
      </w:r>
      <w:r>
        <w:rPr>
          <w:rtl w:val="true"/>
        </w:rPr>
        <w:t xml:space="preserve">. </w:t>
      </w:r>
      <w:r>
        <w:rPr>
          <w:rtl w:val="true"/>
        </w:rPr>
        <w:t>מעיון בהודעותיה הראשונות במשטרה ניכר כי המתלוננת הגישה את תלונתה בעקבות עבירות המין שנעשו בה</w:t>
      </w:r>
      <w:r>
        <w:rPr>
          <w:rtl w:val="true"/>
        </w:rPr>
        <w:t xml:space="preserve">, </w:t>
      </w:r>
      <w:r>
        <w:rPr>
          <w:rtl w:val="true"/>
        </w:rPr>
        <w:t>וכי את אירועי האלימות חשפה רק לשאלות החוקרים</w:t>
      </w:r>
      <w:r>
        <w:rPr>
          <w:rtl w:val="true"/>
        </w:rPr>
        <w:t xml:space="preserve">. </w:t>
      </w:r>
      <w:r>
        <w:rPr>
          <w:rtl w:val="true"/>
        </w:rPr>
        <w:t xml:space="preserve">תלונתה הוגשה ביום </w:t>
      </w:r>
      <w:r>
        <w:rPr/>
        <w:t>29.8.2016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21:18</w:t>
      </w:r>
      <w:r>
        <w:rPr>
          <w:rtl w:val="true"/>
        </w:rPr>
        <w:t xml:space="preserve">, </w:t>
      </w:r>
      <w:r>
        <w:rPr>
          <w:rtl w:val="true"/>
        </w:rPr>
        <w:t>למחרת אירוע האונס השני וכשבועיים לאחר אירוע האונס הראשון</w:t>
      </w:r>
      <w:r>
        <w:rPr>
          <w:rtl w:val="true"/>
        </w:rPr>
        <w:t xml:space="preserve">. </w:t>
      </w:r>
      <w:r>
        <w:rPr>
          <w:rtl w:val="true"/>
        </w:rPr>
        <w:t>מדובר בעדות קצרה ביותר האוחזת שני עמודים המתארים את שני אירועי האונס באופן תמציתי</w:t>
      </w:r>
      <w:r>
        <w:rPr>
          <w:rtl w:val="true"/>
        </w:rPr>
        <w:t xml:space="preserve">, </w:t>
      </w:r>
      <w:r>
        <w:rPr>
          <w:rtl w:val="true"/>
        </w:rPr>
        <w:t xml:space="preserve">מבלי שנעשה ניסיון מצד החוקר לעמוד על פרטי האירועים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 xml:space="preserve">בהקשר זה העיד החוקר מנחם פינטו בבית המשפט כי גבה מן המתלוננת עדות </w:t>
      </w:r>
      <w:r>
        <w:rPr>
          <w:rtl w:val="true"/>
        </w:rPr>
        <w:t>"</w:t>
      </w:r>
      <w:r>
        <w:rPr>
          <w:rtl w:val="true"/>
        </w:rPr>
        <w:t>ראשונית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 למחרת היום אמורה הייתה המתלוננת להיחקר על ידי חוקרת שתגבה ממנה עדות מלאה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 xml:space="preserve">בהודעתה הבאה שנגבתה ביום </w:t>
      </w:r>
      <w:r>
        <w:rPr/>
        <w:t>1.9.2016</w:t>
      </w:r>
      <w:r>
        <w:rPr>
          <w:rtl w:val="true"/>
        </w:rPr>
        <w:t xml:space="preserve"> </w:t>
      </w:r>
      <w:r>
        <w:rPr>
          <w:rtl w:val="true"/>
        </w:rPr>
        <w:t>לפני החוקרת אינסה רביץ</w:t>
      </w:r>
      <w:r>
        <w:rPr>
          <w:rtl w:val="true"/>
        </w:rPr>
        <w:t xml:space="preserve">, </w:t>
      </w:r>
      <w:r>
        <w:rPr>
          <w:rtl w:val="true"/>
        </w:rPr>
        <w:t>מספקת המתלוננת</w:t>
      </w:r>
      <w:r>
        <w:rPr>
          <w:rtl w:val="true"/>
        </w:rPr>
        <w:t xml:space="preserve">, </w:t>
      </w:r>
      <w:r>
        <w:rPr>
          <w:rtl w:val="true"/>
        </w:rPr>
        <w:t>לשאלות החוקרת</w:t>
      </w:r>
      <w:r>
        <w:rPr>
          <w:rtl w:val="true"/>
        </w:rPr>
        <w:t xml:space="preserve">, </w:t>
      </w:r>
      <w:r>
        <w:rPr>
          <w:rtl w:val="true"/>
        </w:rPr>
        <w:t xml:space="preserve">תיאור מפורט יותר של מעשי המערער בארבעת האירועים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משנדרשה המתלוננת בעדותה לעיתוי הגשת התלונה</w:t>
      </w:r>
      <w:r>
        <w:rPr>
          <w:rtl w:val="true"/>
        </w:rPr>
        <w:t xml:space="preserve">, </w:t>
      </w:r>
      <w:r>
        <w:rPr>
          <w:rtl w:val="true"/>
        </w:rPr>
        <w:t>תיארה היטב את הסיטואציה המורכבת בה הייתה נתונה והרגשות הסותרים ששימשו בה בערבוביה</w:t>
      </w:r>
      <w:r>
        <w:rPr>
          <w:rtl w:val="true"/>
        </w:rPr>
        <w:t xml:space="preserve">: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בזמנו הייתי כל כך מבולבלת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לא ידעתי אם אני אוהבת אותו או לא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עוד הסבירה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אם אני גרושה זה לא קל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אם אני הולכת למשטרה זה לא קל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אם אני מספרת להורים שלי לא יודעת מה הם עושים אם שמעו את הדברים האלה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זה לא דבר קל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יש הרבה נשים שנאנסות יושבות בשקט שנים</w:t>
      </w:r>
      <w:r>
        <w:rPr>
          <w:rFonts w:cs="Miriam" w:ascii="Miriam" w:hAnsi="Miriam"/>
          <w:szCs w:val="24"/>
          <w:rtl w:val="true"/>
        </w:rPr>
        <w:t xml:space="preserve">... </w:t>
      </w:r>
      <w:r>
        <w:rPr>
          <w:rFonts w:ascii="Miriam" w:hAnsi="Miriam" w:cs="Miriam"/>
          <w:szCs w:val="24"/>
          <w:rtl w:val="true"/>
        </w:rPr>
        <w:t>מה אני מחכה שיהרוג אותי</w:t>
      </w:r>
      <w:r>
        <w:rPr>
          <w:rFonts w:cs="Miriam" w:ascii="Miriam" w:hAnsi="Miriam"/>
          <w:szCs w:val="24"/>
          <w:rtl w:val="true"/>
        </w:rPr>
        <w:t>?"</w:t>
      </w:r>
      <w:r>
        <w:rPr>
          <w:rtl w:val="true"/>
        </w:rPr>
        <w:t xml:space="preserve"> (</w:t>
      </w:r>
      <w:r>
        <w:rPr>
          <w:rtl w:val="true"/>
        </w:rPr>
        <w:t xml:space="preserve">פרוטוקול מיום </w:t>
      </w:r>
      <w:r>
        <w:rPr/>
        <w:t>27.3.2019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ובעמ</w:t>
      </w:r>
      <w:r>
        <w:rPr>
          <w:rtl w:val="true"/>
        </w:rPr>
        <w:t xml:space="preserve">' </w:t>
      </w:r>
      <w:r>
        <w:rPr/>
        <w:t>115</w:t>
      </w:r>
      <w:r>
        <w:rPr>
          <w:rtl w:val="true"/>
        </w:rPr>
        <w:t xml:space="preserve">).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אין לומר כי מדובר בעדות כבושה הפוגמת במהימנות עדותה של המתלוננת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באופן פרטני יותר טוען המערער</w:t>
      </w:r>
      <w:r>
        <w:rPr>
          <w:rtl w:val="true"/>
        </w:rPr>
        <w:t xml:space="preserve">, </w:t>
      </w:r>
      <w:r>
        <w:rPr>
          <w:rtl w:val="true"/>
        </w:rPr>
        <w:t>לכבישת עדותה של המתלוננת בהתייחס ליסוד החדירה באירוע האונס השני</w:t>
      </w:r>
      <w:r>
        <w:rPr>
          <w:rtl w:val="true"/>
        </w:rPr>
        <w:t xml:space="preserve">. </w:t>
      </w:r>
      <w:r>
        <w:rPr>
          <w:rtl w:val="true"/>
        </w:rPr>
        <w:t>נטען כי בתלונתה הראשונה במשטרה</w:t>
      </w:r>
      <w:r>
        <w:rPr>
          <w:rtl w:val="true"/>
        </w:rPr>
        <w:t xml:space="preserve">, </w:t>
      </w:r>
      <w:r>
        <w:rPr>
          <w:rtl w:val="true"/>
        </w:rPr>
        <w:t>לא הזכירה המתלוננת כלל שהייתה חדירה</w:t>
      </w:r>
      <w:r>
        <w:rPr>
          <w:rtl w:val="true"/>
        </w:rPr>
        <w:t xml:space="preserve">, </w:t>
      </w:r>
      <w:r>
        <w:rPr>
          <w:rtl w:val="true"/>
        </w:rPr>
        <w:t>ואף לא הזכירה מגע כלשהו בין איבר מינה לאיבר מינו של המערער</w:t>
      </w:r>
      <w:r>
        <w:rPr>
          <w:rtl w:val="true"/>
        </w:rPr>
        <w:t xml:space="preserve">. </w:t>
      </w:r>
      <w:r>
        <w:rPr>
          <w:rtl w:val="true"/>
        </w:rPr>
        <w:t>כן נטען כי רק בעדותה בבית המשפט טענה המתלוננת לראשונה כי הייתה חדירה או ניסיון חדירה</w:t>
      </w:r>
      <w:r>
        <w:rPr>
          <w:rtl w:val="true"/>
        </w:rPr>
        <w:t xml:space="preserve">, </w:t>
      </w:r>
      <w:r>
        <w:rPr>
          <w:rtl w:val="true"/>
        </w:rPr>
        <w:t>ולכן מדובר בעדות כבושה שאין לקבלה</w:t>
      </w:r>
      <w:r>
        <w:rPr>
          <w:rtl w:val="true"/>
        </w:rPr>
        <w:t xml:space="preserve">. </w:t>
      </w:r>
      <w:r>
        <w:rPr>
          <w:rtl w:val="true"/>
        </w:rPr>
        <w:t>עיון בהודעותיה של המתלוננת במשטרה מלמד כי תיאור זה אינו מדויק</w:t>
      </w:r>
      <w:r>
        <w:rPr>
          <w:rtl w:val="true"/>
        </w:rPr>
        <w:t xml:space="preserve">. </w:t>
      </w:r>
      <w:r>
        <w:rPr>
          <w:rtl w:val="true"/>
        </w:rPr>
        <w:t>על נסיבות גביית הודעתה הראשונה של המתלוננת עמדתי לעיל</w:t>
      </w:r>
      <w:r>
        <w:rPr>
          <w:rtl w:val="true"/>
        </w:rPr>
        <w:t xml:space="preserve">, </w:t>
      </w:r>
      <w:r>
        <w:rPr>
          <w:rtl w:val="true"/>
        </w:rPr>
        <w:t xml:space="preserve">אולם כבר בהודעתה מיום </w:t>
      </w:r>
      <w:r>
        <w:rPr/>
        <w:t>1.9.2016</w:t>
      </w:r>
      <w:r>
        <w:rPr>
          <w:rtl w:val="true"/>
        </w:rPr>
        <w:t xml:space="preserve">, </w:t>
      </w:r>
      <w:r>
        <w:rPr>
          <w:rtl w:val="true"/>
        </w:rPr>
        <w:t>ימים ספורים לאחר אירוע האונס השני</w:t>
      </w:r>
      <w:r>
        <w:rPr>
          <w:rtl w:val="true"/>
        </w:rPr>
        <w:t xml:space="preserve">, </w:t>
      </w:r>
      <w:r>
        <w:rPr>
          <w:rtl w:val="true"/>
        </w:rPr>
        <w:t>מספקת המתלוננת תיאור מפורט יותר של מעשה האונס השני</w:t>
      </w:r>
      <w:r>
        <w:rPr>
          <w:rtl w:val="true"/>
        </w:rPr>
        <w:t xml:space="preserve">: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הוא החזיק אותי עם הידיים שלו בכתפיים שלי ותפס לי את הרגליים ברגליים שלו תוך שהוא פותח לי את הרגליים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אני הרגשתי את האיבר מין שלו עומד וכשהוא ניסה להחדיר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אני לא רציתי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 xml:space="preserve">קיווצתי </w:t>
      </w:r>
      <w:r>
        <w:rPr>
          <w:rtl w:val="true"/>
        </w:rPr>
        <w:t>(</w:t>
      </w:r>
      <w:r>
        <w:rPr>
          <w:rtl w:val="true"/>
        </w:rPr>
        <w:t>הטעות במקור</w:t>
      </w:r>
      <w:r>
        <w:rPr>
          <w:rtl w:val="true"/>
        </w:rPr>
        <w:t>)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את איבר המין שלי והוא לא הצליח להיכנס ואז מיד איבר המין שלו כבר לא עמד</w:t>
      </w:r>
      <w:r>
        <w:rPr>
          <w:rFonts w:cs="Miriam" w:ascii="Miriam" w:hAnsi="Miriam"/>
          <w:szCs w:val="24"/>
          <w:rtl w:val="true"/>
        </w:rPr>
        <w:t xml:space="preserve">, </w:t>
      </w:r>
      <w:r>
        <w:rPr>
          <w:rFonts w:ascii="Miriam" w:hAnsi="Miriam" w:cs="Miriam"/>
          <w:szCs w:val="24"/>
          <w:rtl w:val="true"/>
        </w:rPr>
        <w:t>ואז הוא ירד ממני</w:t>
      </w:r>
      <w:r>
        <w:rPr>
          <w:rFonts w:cs="Miriam" w:ascii="Miriam" w:hAnsi="Miriam"/>
          <w:szCs w:val="24"/>
          <w:rtl w:val="true"/>
        </w:rPr>
        <w:t xml:space="preserve">. </w:t>
      </w:r>
      <w:r>
        <w:rPr>
          <w:rFonts w:ascii="Miriam" w:hAnsi="Miriam" w:cs="Miriam"/>
          <w:szCs w:val="24"/>
          <w:rtl w:val="true"/>
        </w:rPr>
        <w:t>ומיד הלך</w:t>
      </w:r>
      <w:r>
        <w:rPr>
          <w:rFonts w:cs="Miriam" w:ascii="Miriam" w:hAnsi="Miriam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 xml:space="preserve">בהודעותיה המאוחרות ובעדותה בבית המשפט הבהירה המתלוננת כי המערער החל להחדיר את איבר מינו לאיבר מינה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מיום </w:t>
      </w:r>
      <w:r>
        <w:rPr/>
        <w:t>27.3.2019</w:t>
      </w:r>
      <w:r>
        <w:rPr>
          <w:rtl w:val="true"/>
        </w:rPr>
        <w:t xml:space="preserve"> </w:t>
      </w:r>
      <w:r>
        <w:rPr>
          <w:rtl w:val="true"/>
        </w:rPr>
        <w:t xml:space="preserve">בעמוד </w:t>
      </w:r>
      <w:r>
        <w:rPr/>
        <w:t>14</w:t>
      </w:r>
      <w:r>
        <w:rPr>
          <w:rtl w:val="true"/>
        </w:rPr>
        <w:t xml:space="preserve">). </w:t>
      </w:r>
      <w:r>
        <w:rPr>
          <w:rtl w:val="true"/>
        </w:rPr>
        <w:t>לאחר בחינת עדות המתלוננת קבע בית המשפט המחוזי כי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במונח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מתייחס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בוודאי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סיפוקו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פסקה </w:t>
      </w:r>
      <w:r>
        <w:rPr/>
        <w:t>138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0"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אוסיף כי לטעמי</w:t>
      </w:r>
      <w:r>
        <w:rPr>
          <w:rtl w:val="true"/>
        </w:rPr>
        <w:t xml:space="preserve">, </w:t>
      </w:r>
      <w:r>
        <w:rPr>
          <w:rtl w:val="true"/>
        </w:rPr>
        <w:t>יש בתיאור המעשה על ידי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כפי שפורט בהודעתה מיום </w:t>
      </w:r>
      <w:r>
        <w:rPr/>
        <w:t>1.9.2016</w:t>
      </w:r>
      <w:r>
        <w:rPr>
          <w:rtl w:val="true"/>
        </w:rPr>
        <w:t xml:space="preserve"> </w:t>
      </w:r>
      <w:r>
        <w:rPr>
          <w:rtl w:val="true"/>
        </w:rPr>
        <w:t xml:space="preserve">במשטרה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), </w:t>
      </w:r>
      <w:r>
        <w:rPr>
          <w:rtl w:val="true"/>
        </w:rPr>
        <w:t>כדי לבסס את יסודותיה של עבירת האינוס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כידוע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בית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משפט זה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נקט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בפרשנות מרחיבה באשר ליסוד החדירה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בעניין זה נקבע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בשורה ארוכה של פסקי 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tl w:val="true"/>
        </w:rPr>
        <w:t>כי על מנת לבסס את יסוד הבעילה בעבירת האינוס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בקיומו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בחדירה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האינוס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5165/98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דסה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23.12.1998</w:t>
      </w:r>
      <w:r>
        <w:rPr>
          <w:rtl w:val="true"/>
        </w:rPr>
        <w:t xml:space="preserve">); 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7951/05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פלוני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25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7.2.2007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2375/15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Miriam" w:hAnsi="Miriam" w:cs="Miriam"/>
          <w:color w:val="000000"/>
          <w:szCs w:val="24"/>
          <w:rtl w:val="true"/>
        </w:rPr>
        <w:t>מדינת ישראל נ</w:t>
      </w:r>
      <w:r>
        <w:rPr>
          <w:rFonts w:cs="Miriam" w:ascii="Miriam" w:hAnsi="Miriam"/>
          <w:color w:val="000000"/>
          <w:szCs w:val="24"/>
          <w:rtl w:val="true"/>
        </w:rPr>
        <w:t xml:space="preserve">' </w:t>
      </w:r>
      <w:r>
        <w:rPr>
          <w:rFonts w:ascii="Miriam" w:hAnsi="Miriam" w:cs="Miriam"/>
          <w:color w:val="000000"/>
          <w:szCs w:val="24"/>
          <w:rtl w:val="true"/>
        </w:rPr>
        <w:t>נס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40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22.2.2018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3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1126/19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22-20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23.11.2021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1484/10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אבו חאמד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22.10.2012</w:t>
      </w:r>
      <w:r>
        <w:rPr>
          <w:rtl w:val="true"/>
        </w:rPr>
        <w:t xml:space="preserve"> )). </w:t>
      </w:r>
      <w:r>
        <w:rPr>
          <w:rtl w:val="true"/>
        </w:rPr>
        <w:t>תיאורה של המתלוננת בהודעתה עונה על המבחן האמור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שעדותה של המתלוננת על מעשה הבעילה אינה עדות כבושה</w:t>
      </w:r>
      <w:r>
        <w:rPr>
          <w:rtl w:val="true"/>
        </w:rPr>
        <w:t xml:space="preserve">, </w:t>
      </w:r>
      <w:r>
        <w:rPr>
          <w:rtl w:val="true"/>
        </w:rPr>
        <w:t>ודי בה</w:t>
      </w:r>
      <w:r>
        <w:rPr>
          <w:rtl w:val="true"/>
        </w:rPr>
        <w:t xml:space="preserve">, </w:t>
      </w:r>
      <w:r>
        <w:rPr>
          <w:rtl w:val="true"/>
        </w:rPr>
        <w:t>לא כל שכן בהבהרותיה המאוחרות שהתקבלו כמהימנות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כדי לבסס את יסודותיה של עבירת האינוס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138-136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>).</w:t>
      </w:r>
    </w:p>
    <w:p>
      <w:pPr>
        <w:pStyle w:val="ruller411"/>
        <w:tabs>
          <w:tab w:val="clear" w:pos="720"/>
          <w:tab w:val="left" w:pos="-58" w:leader="none"/>
        </w:tabs>
        <w:bidi w:val="1"/>
        <w:spacing w:lineRule="atLeast" w:line="330" w:before="0" w:after="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41" w:end="0"/>
        <w:jc w:val="both"/>
        <w:rPr/>
      </w:pPr>
      <w:r>
        <w:rPr>
          <w:rtl w:val="true"/>
        </w:rPr>
        <w:t>באשר ליתר טענות המערער לסתירות בגרסת המתלוננת</w:t>
      </w:r>
      <w:r>
        <w:rPr>
          <w:rtl w:val="true"/>
        </w:rPr>
        <w:t xml:space="preserve">, </w:t>
      </w:r>
      <w:r>
        <w:rPr>
          <w:rtl w:val="true"/>
        </w:rPr>
        <w:t>לא מצאתי כי יש באלה כדי לפגום במהימנות עדותה</w:t>
      </w:r>
      <w:r>
        <w:rPr>
          <w:rtl w:val="true"/>
        </w:rPr>
        <w:t xml:space="preserve">. </w:t>
      </w:r>
      <w:r>
        <w:rPr>
          <w:rtl w:val="true"/>
        </w:rPr>
        <w:t>בהקשר זה נקבע בפסיקת בית משפט זה כי מהימנות גרסתו של נפגע עבירות מין תיבחן בהתייחס לליבת גרסתו</w:t>
      </w:r>
      <w:r>
        <w:rPr>
          <w:rtl w:val="true"/>
        </w:rPr>
        <w:t xml:space="preserve">. </w:t>
      </w:r>
      <w:r>
        <w:rPr>
          <w:rtl w:val="true"/>
        </w:rPr>
        <w:t xml:space="preserve">כן נקבע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השאלה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התאמות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בפרטים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הגרעין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והתמונה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הכוללת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המתקבלת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והחיזוקים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מסקנה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7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8916/08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1.7.2009</w:t>
      </w:r>
      <w:r>
        <w:rPr>
          <w:rFonts w:cs="Century" w:ascii="Century" w:hAnsi="Century"/>
          <w:sz w:val="22"/>
          <w:rtl w:val="true"/>
        </w:rPr>
        <w:t>);</w:t>
      </w:r>
      <w:r>
        <w:rPr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11.8.2022</w:t>
      </w:r>
      <w:r>
        <w:rPr>
          <w:rtl w:val="true"/>
        </w:rPr>
        <w:t>))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 xml:space="preserve">בחנתי את טענות המערער </w:t>
      </w:r>
      <w:r>
        <w:rPr>
          <w:rtl w:val="true"/>
        </w:rPr>
        <w:t xml:space="preserve">לסתירות בעדות </w:t>
      </w:r>
      <w:r>
        <w:rPr>
          <w:rtl w:val="true"/>
        </w:rPr>
        <w:t xml:space="preserve">המתלוננת והגעתי למסקנה כי צדק בית המשפט המחוזי </w:t>
      </w:r>
      <w:r>
        <w:rPr>
          <w:rtl w:val="true"/>
        </w:rPr>
        <w:t xml:space="preserve">עת קבע </w:t>
      </w:r>
      <w:r>
        <w:rPr>
          <w:rtl w:val="true"/>
        </w:rPr>
        <w:t>כי הסתירות בדבריה</w:t>
      </w:r>
      <w:r>
        <w:rPr>
          <w:rtl w:val="true"/>
        </w:rPr>
        <w:t xml:space="preserve">, </w:t>
      </w:r>
      <w:r>
        <w:rPr>
          <w:rtl w:val="true"/>
        </w:rPr>
        <w:t>ככל שהן קיימות</w:t>
      </w:r>
      <w:r>
        <w:rPr>
          <w:rtl w:val="true"/>
        </w:rPr>
        <w:t xml:space="preserve">, </w:t>
      </w:r>
      <w:r>
        <w:rPr>
          <w:rtl w:val="true"/>
        </w:rPr>
        <w:t>אינן מהותיות</w:t>
      </w:r>
      <w:r>
        <w:rPr>
          <w:rtl w:val="true"/>
        </w:rPr>
        <w:t xml:space="preserve">, </w:t>
      </w:r>
      <w:r>
        <w:rPr>
          <w:rtl w:val="true"/>
        </w:rPr>
        <w:t>וכן אין בהן כדי לכרסם במהימנות עדותה של המתלוננת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החיזוקים לגרסת המתלוננת</w:t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numPr>
          <w:ilvl w:val="0"/>
          <w:numId w:val="1"/>
        </w:numPr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  <w:t>לעדותה המהימנה של המתלוננת נמצאו חיזוקים משמעותיים בשורה של ראיות חיצוניות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 xml:space="preserve">סימני החבלות שנמצאו על גופה לאחר אירוע האלימות הראשון כפי שתועדו בתמונות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תמונות </w:t>
      </w:r>
      <w:r>
        <w:rPr/>
        <w:t>4-2</w:t>
      </w:r>
      <w:r>
        <w:rPr>
          <w:rtl w:val="true"/>
        </w:rPr>
        <w:t xml:space="preserve">), </w:t>
      </w:r>
      <w:r>
        <w:rPr>
          <w:rtl w:val="true"/>
        </w:rPr>
        <w:t xml:space="preserve">וסימני החבלות שנמצאו על גופה לאחר אירוע האונס השני כפי שנצפו בבדיקתה מיום </w:t>
      </w:r>
      <w:r>
        <w:rPr/>
        <w:t>30.8.2016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ד</w:t>
      </w:r>
      <w:r>
        <w:rPr>
          <w:rtl w:val="true"/>
        </w:rPr>
        <w:t>"</w:t>
      </w:r>
      <w:r>
        <w:rPr>
          <w:rtl w:val="true"/>
        </w:rPr>
        <w:t xml:space="preserve">ר הזאר זחלקה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התואמים את תיאוריה של המתלוננת בדבר אופן ביצוע העבירות</w:t>
      </w:r>
      <w:r>
        <w:rPr>
          <w:rtl w:val="true"/>
        </w:rPr>
        <w:t xml:space="preserve">; </w:t>
      </w:r>
      <w:r>
        <w:rPr>
          <w:rtl w:val="true"/>
        </w:rPr>
        <w:t>ההקלטה הלילית</w:t>
      </w:r>
      <w:r>
        <w:rPr>
          <w:rtl w:val="true"/>
        </w:rPr>
        <w:t xml:space="preserve">, </w:t>
      </w:r>
      <w:r>
        <w:rPr>
          <w:rtl w:val="true"/>
        </w:rPr>
        <w:t>שנערכה על</w:t>
      </w:r>
      <w:r>
        <w:rPr>
          <w:rtl w:val="true"/>
        </w:rPr>
        <w:t>-</w:t>
      </w:r>
      <w:r>
        <w:rPr>
          <w:rtl w:val="true"/>
        </w:rPr>
        <w:t>ידי המערער ללא ידיעת המתלוננת</w:t>
      </w:r>
      <w:r>
        <w:rPr>
          <w:rtl w:val="true"/>
        </w:rPr>
        <w:t xml:space="preserve">, </w:t>
      </w:r>
      <w:r>
        <w:rPr>
          <w:rtl w:val="true"/>
        </w:rPr>
        <w:t>בה נשמעות אמירות של המתלוננת למערער התומכות בגרסתה</w:t>
      </w:r>
      <w:r>
        <w:rPr>
          <w:rtl w:val="true"/>
        </w:rPr>
        <w:t xml:space="preserve">, </w:t>
      </w:r>
      <w:r>
        <w:rPr>
          <w:rtl w:val="true"/>
        </w:rPr>
        <w:t xml:space="preserve">לרבות שיח בשאלה </w:t>
      </w:r>
      <w:r>
        <w:rPr>
          <w:rFonts w:ascii="Century" w:hAnsi="Century" w:cs="Century"/>
          <w:sz w:val="22"/>
          <w:sz w:val="22"/>
          <w:rtl w:val="true"/>
        </w:rPr>
        <w:t>האם הדת מאפשרת לקיים יחסי מין עם אישה בכוח בניגוד לרצונה</w:t>
      </w:r>
      <w:r>
        <w:rPr>
          <w:rtl w:val="true"/>
        </w:rPr>
        <w:t xml:space="preserve">; </w:t>
      </w:r>
      <w:r>
        <w:rPr>
          <w:rtl w:val="true"/>
        </w:rPr>
        <w:t>שיחת הטלפון של המתלוננת עם אחותה בליל האונס השני הנשמעת בהקלטה הלילית</w:t>
      </w:r>
      <w:r>
        <w:rPr>
          <w:rtl w:val="true"/>
        </w:rPr>
        <w:t xml:space="preserve">; </w:t>
      </w:r>
      <w:r>
        <w:rPr>
          <w:rtl w:val="true"/>
        </w:rPr>
        <w:t>עדויות בני משפחתה של המתלוננת על אירוע האלימות הראשון עליו יודעו בזמן אמת</w:t>
      </w:r>
      <w:r>
        <w:rPr>
          <w:rtl w:val="true"/>
        </w:rPr>
        <w:t xml:space="preserve">, </w:t>
      </w:r>
      <w:r>
        <w:rPr>
          <w:rtl w:val="true"/>
        </w:rPr>
        <w:t>על סימני החבלות שראו על גופה של המתלוננת</w:t>
      </w:r>
      <w:r>
        <w:rPr>
          <w:rtl w:val="true"/>
        </w:rPr>
        <w:t xml:space="preserve">, </w:t>
      </w:r>
      <w:r>
        <w:rPr>
          <w:rtl w:val="true"/>
        </w:rPr>
        <w:t>על עזיבתה של המתלוננת את ביתה לחודש ימים לאחר אירוע זה וחזרתה רק לאחר סולחה שנערכה</w:t>
      </w:r>
      <w:r>
        <w:rPr>
          <w:rtl w:val="true"/>
        </w:rPr>
        <w:t xml:space="preserve">, </w:t>
      </w:r>
      <w:r>
        <w:rPr>
          <w:rtl w:val="true"/>
        </w:rPr>
        <w:t>ועל מצבה הפיזי והנפשי הקשה בעקבות אירוע האונס השני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והקלטת שיחתו של המערער עם חברו עסאם</w:t>
      </w:r>
      <w:r>
        <w:rPr>
          <w:rtl w:val="true"/>
        </w:rPr>
        <w:t xml:space="preserve">, </w:t>
      </w:r>
      <w:r>
        <w:rPr>
          <w:rtl w:val="true"/>
        </w:rPr>
        <w:t xml:space="preserve">בה אישר כי שבר חפצים בבית וירק בפניה של המתלוננת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45</w:t>
      </w:r>
      <w:r>
        <w:rPr>
          <w:rtl w:val="true"/>
        </w:rPr>
        <w:t xml:space="preserve">). 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המערער טוען כי חילופי הדברים הנשמעים בהקלטה הלילית הוצאו מהקשרם</w:t>
      </w:r>
      <w:r>
        <w:rPr>
          <w:rtl w:val="true"/>
        </w:rPr>
        <w:t xml:space="preserve">, </w:t>
      </w:r>
      <w:r>
        <w:rPr>
          <w:rtl w:val="true"/>
        </w:rPr>
        <w:t>וכי בחינתם כמכלול מובילה למסקנה אחרת</w:t>
      </w:r>
      <w:r>
        <w:rPr>
          <w:rtl w:val="true"/>
        </w:rPr>
        <w:t xml:space="preserve">. </w:t>
      </w:r>
      <w:r>
        <w:rPr>
          <w:rtl w:val="true"/>
        </w:rPr>
        <w:t>ניסיונותי</w:t>
      </w:r>
      <w:r>
        <w:rPr>
          <w:rtl w:val="true"/>
        </w:rPr>
        <w:t>ו</w:t>
      </w:r>
      <w:r>
        <w:rPr>
          <w:rtl w:val="true"/>
        </w:rPr>
        <w:t xml:space="preserve"> של המערער לתת משמעות שונה לדבריה של המתלוננת נדחו על</w:t>
      </w:r>
      <w:r>
        <w:rPr>
          <w:rtl w:val="true"/>
        </w:rPr>
        <w:t>-</w:t>
      </w:r>
      <w:r>
        <w:rPr>
          <w:rtl w:val="true"/>
        </w:rPr>
        <w:t>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ובפרט נדחו הסבריו לדיון שנערך בין בני הזוג בנוגע להשקפת הדת על קיום </w:t>
      </w:r>
      <w:r>
        <w:rPr>
          <w:rFonts w:ascii="Century" w:hAnsi="Century" w:cs="Century"/>
          <w:sz w:val="22"/>
          <w:sz w:val="22"/>
          <w:rtl w:val="true"/>
        </w:rPr>
        <w:t xml:space="preserve">יחסי מין עם אישה בניגוד לרצונה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106-104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>מעיון בדברים שוכנעתי כי בצדק קבע בית המשפט המחוזי את שקבע</w:t>
      </w:r>
      <w:r>
        <w:rPr>
          <w:rtl w:val="true"/>
        </w:rPr>
        <w:t xml:space="preserve">. </w:t>
      </w:r>
      <w:r>
        <w:rPr>
          <w:rtl w:val="true"/>
        </w:rPr>
        <w:t>תמליל ההקלטה הלילית מספק תמיכה ברורה לגרסת המתלוננת ולפיה כפה עליה המערער יחסי מין שלא בהסכמתה</w:t>
      </w:r>
      <w:r>
        <w:rPr>
          <w:rtl w:val="true"/>
        </w:rPr>
        <w:t xml:space="preserve">. </w:t>
      </w:r>
      <w:r>
        <w:rPr>
          <w:rtl w:val="true"/>
        </w:rPr>
        <w:t>כך עולים הדברים מן ההקלטה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מצטער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מצטער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...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)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ותלך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ב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תשכב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>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tl w:val="true"/>
        </w:rPr>
        <w:t>)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הסוף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זכותך</w:t>
      </w:r>
      <w:r>
        <w:rPr>
          <w:rtl w:val="true"/>
        </w:rPr>
        <w:t>?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זכותי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tl w:val="true"/>
        </w:rPr>
        <w:t xml:space="preserve">,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  <w:t>המתלוננת</w:t>
      </w:r>
      <w:r>
        <w:rPr>
          <w:rtl w:val="true"/>
        </w:rPr>
        <w:t xml:space="preserve">: </w:t>
      </w:r>
      <w:r>
        <w:rPr>
          <w:rtl w:val="true"/>
        </w:rPr>
        <w:t>הדת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>..." (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זכותו</w:t>
      </w:r>
      <w:r>
        <w:rPr>
          <w:rtl w:val="true"/>
        </w:rPr>
        <w:t xml:space="preserve">" </w:t>
      </w:r>
      <w:r>
        <w:rPr>
          <w:rtl w:val="true"/>
        </w:rPr>
        <w:t>כבעל</w:t>
      </w:r>
      <w:r>
        <w:rPr>
          <w:rtl w:val="true"/>
        </w:rPr>
        <w:t xml:space="preserve">. </w:t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עדות המערער</w:t>
      </w:r>
    </w:p>
    <w:p>
      <w:pPr>
        <w:pStyle w:val="Ruller42"/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הסתרה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והצגת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סתירות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הסבר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הסתירות</w:t>
      </w:r>
      <w:r>
        <w:rPr>
          <w:rtl w:val="true"/>
        </w:rPr>
        <w:t xml:space="preserve">, </w:t>
      </w:r>
      <w:r>
        <w:rPr>
          <w:rtl w:val="true"/>
        </w:rPr>
        <w:t>התמיהות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, </w:t>
      </w:r>
      <w:r>
        <w:rPr/>
        <w:t>82</w:t>
      </w:r>
      <w:r>
        <w:rPr>
          <w:rtl w:val="true"/>
        </w:rPr>
        <w:t xml:space="preserve">, </w:t>
      </w:r>
      <w:r>
        <w:rPr/>
        <w:t>88</w:t>
      </w:r>
      <w:r>
        <w:rPr>
          <w:rtl w:val="true"/>
        </w:rPr>
        <w:t xml:space="preserve">, </w:t>
      </w:r>
      <w:r>
        <w:rPr/>
        <w:t>109</w:t>
      </w:r>
      <w:r>
        <w:rPr>
          <w:rtl w:val="true"/>
        </w:rPr>
        <w:t xml:space="preserve">, </w:t>
      </w:r>
      <w:r>
        <w:rPr/>
        <w:t>114</w:t>
      </w:r>
      <w:r>
        <w:rPr>
          <w:rtl w:val="true"/>
        </w:rPr>
        <w:t xml:space="preserve">,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123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ברר את חומר הראיות שאסף בהתאם למה שסבר שיועיל להגנתו ויחזק את טיעוניו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גילוי טפח והסתרת טפחיים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מה שהיה מעניין הייתי משאיר מה שלא היה מעניין הייתי מוחק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מהקלטת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עסאם</w:t>
      </w:r>
      <w:r>
        <w:rPr>
          <w:rtl w:val="true"/>
        </w:rPr>
        <w:t xml:space="preserve">),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שגרתית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טענות נוספות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Miriam" w:hAnsi="Miriam" w:cs="Miriam"/>
          <w:sz w:val="24"/>
          <w:szCs w:val="24"/>
        </w:rPr>
      </w:pPr>
      <w:r>
        <w:rPr>
          <w:rFonts w:cs="Miriam" w:ascii="Miriam" w:hAnsi="Miriam"/>
          <w:sz w:val="24"/>
          <w:szCs w:val="24"/>
          <w:rtl w:val="true"/>
        </w:rPr>
      </w:r>
    </w:p>
    <w:p>
      <w:pPr>
        <w:pStyle w:val="Ruller43"/>
        <w:numPr>
          <w:ilvl w:val="0"/>
          <w:numId w:val="3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המערער טוען כי המתלוננת העלילה עליו עלילת שווא בשל רצונה להתגרש ממנו</w:t>
      </w:r>
      <w:r>
        <w:rPr>
          <w:rtl w:val="true"/>
        </w:rPr>
        <w:t xml:space="preserve">, </w:t>
      </w:r>
      <w:r>
        <w:rPr>
          <w:rtl w:val="true"/>
        </w:rPr>
        <w:t xml:space="preserve">ולחילופין כדי </w:t>
      </w:r>
      <w:r>
        <w:rPr>
          <w:rtl w:val="true"/>
        </w:rPr>
        <w:t>'</w:t>
      </w:r>
      <w:r>
        <w:rPr>
          <w:rtl w:val="true"/>
        </w:rPr>
        <w:t>לחנך</w:t>
      </w:r>
      <w:r>
        <w:rPr>
          <w:rtl w:val="true"/>
        </w:rPr>
        <w:t xml:space="preserve">'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בית המשפט המחוזי ערך דיון מקיף בטענות אלה ודחה אותן מכל וכל</w:t>
      </w:r>
      <w:r>
        <w:rPr>
          <w:rtl w:val="true"/>
        </w:rPr>
        <w:t xml:space="preserve">. </w:t>
      </w:r>
      <w:r>
        <w:rPr>
          <w:rtl w:val="true"/>
        </w:rPr>
        <w:t>נקבע כי בפועל המערער הוא זה שהגיש את תביעת הגירושין והחל להיערך לאפשרות זו מבעוד מועד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באמצעות איסוף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tl w:val="true"/>
        </w:rPr>
        <w:t xml:space="preserve">" </w:t>
      </w:r>
      <w:r>
        <w:rPr>
          <w:rtl w:val="true"/>
        </w:rPr>
        <w:t>נגד המתלוננת על ידי הקלטתה בסתר</w:t>
      </w:r>
      <w:r>
        <w:rPr>
          <w:rtl w:val="true"/>
        </w:rPr>
        <w:t xml:space="preserve">, </w:t>
      </w:r>
      <w:r>
        <w:rPr>
          <w:rtl w:val="true"/>
        </w:rPr>
        <w:t>העברת רישום היתר הבניה של בית בני הזוג בוועדה המקומית משמו לשם אביו ימים ספורים לפני עזיבת המתלוננת את הבית</w:t>
      </w:r>
      <w:r>
        <w:rPr>
          <w:rtl w:val="true"/>
        </w:rPr>
        <w:t xml:space="preserve">, </w:t>
      </w:r>
      <w:r>
        <w:rPr>
          <w:rtl w:val="true"/>
        </w:rPr>
        <w:t>וביטול חופשה זוגית מתוכננת של בני הזוג</w:t>
      </w:r>
      <w:r>
        <w:rPr>
          <w:rtl w:val="true"/>
        </w:rPr>
        <w:t xml:space="preserve">. </w:t>
      </w:r>
      <w:r>
        <w:rPr>
          <w:rtl w:val="true"/>
        </w:rPr>
        <w:t>כל אלה מעידים על היערכות מוקדמת לפרידתו הצפויה מן המתלוננת עוד בטרם הוגשה תלונת המתלוננת במשטרה</w:t>
      </w:r>
      <w:r>
        <w:rPr>
          <w:rtl w:val="true"/>
        </w:rPr>
        <w:t xml:space="preserve">. </w:t>
      </w:r>
      <w:r>
        <w:rPr>
          <w:rtl w:val="true"/>
        </w:rPr>
        <w:t>אף טענתו כי במסגרת הליך הבוררות המתלוננ</w:t>
      </w:r>
      <w:r>
        <w:rPr>
          <w:rtl w:val="true"/>
        </w:rPr>
        <w:t>ת</w:t>
      </w:r>
      <w:r>
        <w:rPr>
          <w:rtl w:val="true"/>
        </w:rPr>
        <w:t xml:space="preserve"> הסכימה לבטל את תלונתה בתמורה לתשלום המוהר התבררה כלא נכונה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4593" w:leader="none"/>
        </w:tabs>
        <w:ind w:hanging="0" w:start="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טענות המערער למחדלי חקירה</w:t>
      </w:r>
      <w:r>
        <w:rPr>
          <w:rtl w:val="true"/>
        </w:rPr>
        <w:t xml:space="preserve">, </w:t>
      </w:r>
      <w:r>
        <w:rPr>
          <w:rtl w:val="true"/>
        </w:rPr>
        <w:t>קיבלו התייחסות הולמת בהכרעת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ולא ראיתי צורך להוסיף דברים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 xml:space="preserve">פסקאות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וכן 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דעתו של השופט </w:t>
      </w:r>
      <w:r>
        <w:rPr>
          <w:rFonts w:ascii="Miriam" w:hAnsi="Miriam" w:cs="Miriam"/>
          <w:szCs w:val="24"/>
          <w:rtl w:val="true"/>
        </w:rPr>
        <w:t>י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ליפשיץ</w:t>
      </w:r>
      <w:r>
        <w:rPr>
          <w:rtl w:val="true"/>
        </w:rPr>
        <w:t xml:space="preserve">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כאשר קיימת תשתית ראייתית מספקת להוכחת אשמתו של נאשם</w:t>
      </w:r>
      <w:r>
        <w:rPr>
          <w:rtl w:val="true"/>
        </w:rPr>
        <w:t xml:space="preserve">, </w:t>
      </w:r>
      <w:r>
        <w:rPr>
          <w:rtl w:val="true"/>
        </w:rPr>
        <w:t>אין בקיומם של מחדלי חקירה כשלעצמם</w:t>
      </w:r>
      <w:r>
        <w:rPr>
          <w:rtl w:val="true"/>
        </w:rPr>
        <w:t xml:space="preserve">, </w:t>
      </w:r>
      <w:r>
        <w:rPr>
          <w:rtl w:val="true"/>
        </w:rPr>
        <w:t xml:space="preserve">כדי להביא לזיכויו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רוזקוב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4.9.2022</w:t>
      </w:r>
      <w:r>
        <w:rPr>
          <w:rtl w:val="true"/>
        </w:rPr>
        <w:t xml:space="preserve">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10735/04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גולדמן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20.2.2006</w:t>
      </w:r>
      <w:r>
        <w:rPr>
          <w:rtl w:val="true"/>
        </w:rPr>
        <w:t xml:space="preserve">)). </w:t>
      </w:r>
      <w:r>
        <w:rPr>
          <w:rtl w:val="true"/>
        </w:rPr>
        <w:t>הכלל בעניין זה הוא</w:t>
      </w:r>
      <w:r>
        <w:rPr>
          <w:rtl w:val="true"/>
        </w:rPr>
        <w:t xml:space="preserve">, </w:t>
      </w:r>
      <w:r>
        <w:rPr>
          <w:rtl w:val="true"/>
        </w:rPr>
        <w:t>כי על בית המשפט לבחון עד כמה השפיע מחדל החקירה</w:t>
      </w:r>
      <w:r>
        <w:rPr>
          <w:rtl w:val="true"/>
        </w:rPr>
        <w:t xml:space="preserve">, </w:t>
      </w:r>
      <w:r>
        <w:rPr>
          <w:rtl w:val="true"/>
        </w:rPr>
        <w:t>ככל שהיה</w:t>
      </w:r>
      <w:r>
        <w:rPr>
          <w:rtl w:val="true"/>
        </w:rPr>
        <w:t xml:space="preserve">, </w:t>
      </w:r>
      <w:r>
        <w:rPr>
          <w:rtl w:val="true"/>
        </w:rPr>
        <w:t>על הגנתו של הנאשם ועל הוכחת העבירות המיוחסות לו מעבר לכל ספק סביר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ובהתאם למפורט לעיל</w:t>
      </w:r>
      <w:r>
        <w:rPr>
          <w:rtl w:val="true"/>
        </w:rPr>
        <w:t xml:space="preserve">, </w:t>
      </w:r>
      <w:r>
        <w:rPr>
          <w:rtl w:val="true"/>
        </w:rPr>
        <w:t xml:space="preserve">לא התרשמתי כי מחדלי החקירה הנטענים פגמו בתשתית הראייתית האיתנה עליה מבוססת הרשעתו של המערער או גרמו לו לנזק ראייתי כלשהו שפגע בהגנתו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26.5.2020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סיכום הדברים הוא</w:t>
      </w:r>
      <w:r>
        <w:rPr>
          <w:rtl w:val="true"/>
        </w:rPr>
        <w:t xml:space="preserve">, </w:t>
      </w:r>
      <w:r>
        <w:rPr>
          <w:rtl w:val="true"/>
        </w:rPr>
        <w:t>כי אין בטענות המערער</w:t>
      </w:r>
      <w:r>
        <w:rPr>
          <w:rtl w:val="true"/>
        </w:rPr>
        <w:t xml:space="preserve">, </w:t>
      </w:r>
      <w:r>
        <w:rPr>
          <w:rtl w:val="true"/>
        </w:rPr>
        <w:t>כדי לערער את גרסת המתלוננת או כדי להקים ספק סביר בדבר אשמתו של המערער</w:t>
      </w:r>
      <w:r>
        <w:rPr>
          <w:rtl w:val="true"/>
        </w:rPr>
        <w:t xml:space="preserve">. </w:t>
      </w:r>
      <w:r>
        <w:rPr>
          <w:rtl w:val="true"/>
        </w:rPr>
        <w:t>אף לא מצאתי כי המערער הצביע על טעות בהכרעת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מדובר על הכרעת דין מקיפה ומבוססת</w:t>
      </w:r>
      <w:r>
        <w:rPr>
          <w:rtl w:val="true"/>
        </w:rPr>
        <w:t xml:space="preserve">, </w:t>
      </w:r>
      <w:r>
        <w:rPr>
          <w:rtl w:val="true"/>
        </w:rPr>
        <w:t>הנשענת על התרשמותה של הערכאה הדיונית מהעדויות שהובאו לפניה</w:t>
      </w:r>
      <w:r>
        <w:rPr>
          <w:rtl w:val="true"/>
        </w:rPr>
        <w:t xml:space="preserve">, </w:t>
      </w:r>
      <w:r>
        <w:rPr>
          <w:rtl w:val="true"/>
        </w:rPr>
        <w:t>ובכלל זאת עדויות המתלוננת והמערער</w:t>
      </w:r>
      <w:r>
        <w:rPr>
          <w:rtl w:val="true"/>
        </w:rPr>
        <w:t xml:space="preserve">, </w:t>
      </w:r>
      <w:r>
        <w:rPr>
          <w:rtl w:val="true"/>
        </w:rPr>
        <w:t>וכן על עדויות מחזקות נוספות</w:t>
      </w:r>
      <w:r>
        <w:rPr>
          <w:rtl w:val="true"/>
        </w:rPr>
        <w:t xml:space="preserve">. </w:t>
      </w:r>
      <w:r>
        <w:rPr>
          <w:rtl w:val="true"/>
        </w:rPr>
        <w:t>בחינתן של ראיות אלה מלמדת כי לא קמה עילה להתערבות ערכאת הערעור בהכרעת הדין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אציע לחבריי לדחות את הערעור על הכרעת הדין</w:t>
      </w:r>
      <w:r>
        <w:rPr>
          <w:rtl w:val="true"/>
        </w:rPr>
        <w:t>.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tabs>
          <w:tab w:val="clear" w:pos="720"/>
          <w:tab w:val="left" w:pos="-58" w:leader="none"/>
        </w:tabs>
        <w:ind w:start="84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  <w:tab w:val="left" w:pos="4593" w:leader="none"/>
        </w:tabs>
        <w:ind w:hanging="0" w:start="0" w:end="0"/>
        <w:jc w:val="both"/>
        <w:rPr>
          <w:b/>
          <w:bCs/>
          <w:color w:val="7030A0"/>
        </w:rPr>
      </w:pPr>
      <w:r>
        <w:rPr>
          <w:rtl w:val="true"/>
        </w:rPr>
        <w:t>סבורני כי יש לדחות גם את הערעור על גזר הדין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4593" w:leader="none"/>
        </w:tabs>
        <w:ind w:hanging="0" w:start="0" w:end="0"/>
        <w:jc w:val="both"/>
        <w:rPr>
          <w:b/>
          <w:bCs/>
          <w:color w:val="7030A0"/>
        </w:rPr>
      </w:pPr>
      <w:r>
        <w:rPr>
          <w:b/>
          <w:bCs/>
          <w:color w:val="7030A0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  <w:tab w:val="left" w:pos="4593" w:leader="none"/>
        </w:tabs>
        <w:ind w:hanging="0" w:start="0" w:end="0"/>
        <w:jc w:val="both"/>
        <w:rPr>
          <w:b/>
          <w:bCs/>
          <w:color w:val="7030A0"/>
        </w:rPr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הלכה היא כי </w:t>
      </w:r>
      <w:r>
        <w:rPr>
          <w:rtl w:val="true"/>
        </w:rPr>
        <w:t>ערכאת הערעור אינה נוהגת להתערב בעונש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בנסיבות בהן גזר הדין מגלה סטייה ניכרת ממדיניות הענישה הנוהגת או במקרים חריגים שבהם נפלה טעות מהותית בגזר הדין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21.8.2022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16.5.2022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27.4.2022</w:t>
      </w:r>
      <w:r>
        <w:rPr>
          <w:rtl w:val="true"/>
        </w:rPr>
        <w:t>)).</w:t>
      </w:r>
      <w:r>
        <w:rPr>
          <w:b/>
          <w:bCs/>
          <w:color w:val="7030A0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הלכה זו נכונה גם כאשר נחלקות הדעות בערכאה הדיונית וקיימת דעת מיעוט ביחס לעונש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קיומה של דעת מיעוט עשויה להצדיק בחינה זהירה יותר של דעת הרוב על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 xml:space="preserve">ידי ערכאת הערעור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ראו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4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8937/20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9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5.9.2021</w:t>
      </w:r>
      <w:r>
        <w:rPr>
          <w:rFonts w:cs="Century" w:ascii="Century" w:hAnsi="Century"/>
          <w:sz w:val="22"/>
          <w:rtl w:val="true"/>
        </w:rPr>
        <w:t>)).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b/>
          <w:bCs/>
          <w:color w:val="7030A0"/>
        </w:rPr>
      </w:pPr>
      <w:r>
        <w:rPr>
          <w:b/>
          <w:bCs/>
          <w:color w:val="7030A0"/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41" w:end="0"/>
        <w:jc w:val="both"/>
        <w:rPr/>
      </w:pPr>
      <w:r>
        <w:rPr>
          <w:rtl w:val="true"/>
        </w:rPr>
        <w:tab/>
      </w:r>
      <w:r>
        <w:rPr>
          <w:rtl w:val="true"/>
        </w:rPr>
        <w:t>שופטי הרוב ראו להטיל על המערער עונש של חמש שנות מאסר בפועל בצירוף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בעוד ששופט המיעוט סבר כי ניתן להסתפק בעונש של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 בצירוף ענישה נלווית</w:t>
      </w:r>
      <w:r>
        <w:rPr>
          <w:rtl w:val="true"/>
        </w:rPr>
        <w:t xml:space="preserve">. </w:t>
      </w:r>
      <w:r>
        <w:rPr>
          <w:rtl w:val="true"/>
        </w:rPr>
        <w:t>לאחר עיון בדעת שופטי הרוב ודעת שופט המיעוט</w:t>
      </w:r>
      <w:r>
        <w:rPr>
          <w:rtl w:val="true"/>
        </w:rPr>
        <w:t xml:space="preserve">, </w:t>
      </w:r>
      <w:r>
        <w:rPr>
          <w:rtl w:val="true"/>
        </w:rPr>
        <w:t>ולאחר בחינת מכלול שיקולי הענישה</w:t>
      </w:r>
      <w:r>
        <w:rPr>
          <w:rtl w:val="true"/>
        </w:rPr>
        <w:t xml:space="preserve">, </w:t>
      </w:r>
      <w:r>
        <w:rPr>
          <w:rtl w:val="true"/>
        </w:rPr>
        <w:t>לא מצאתי כל טעם המצדיק התערבות ערכאת הערעור בעונש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אשר אינו חורג לחומרה ממדיניות הענישה הראויה לעבירות בהן הורשע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המערער הורשע בשני מעשי אונס ומעשה סדום שבוצעו באלימות כלפי המתלוננת</w:t>
      </w:r>
      <w:r>
        <w:rPr>
          <w:rtl w:val="true"/>
        </w:rPr>
        <w:t xml:space="preserve">, </w:t>
      </w:r>
      <w:r>
        <w:rPr>
          <w:rtl w:val="true"/>
        </w:rPr>
        <w:t>בשני אירועים שונים</w:t>
      </w:r>
      <w:r>
        <w:rPr>
          <w:rtl w:val="true"/>
        </w:rPr>
        <w:t xml:space="preserve">, </w:t>
      </w:r>
      <w:r>
        <w:rPr>
          <w:rtl w:val="true"/>
        </w:rPr>
        <w:t>וכן בשני מעשי אלימות שביצע כלפיה</w:t>
      </w:r>
      <w:r>
        <w:rPr>
          <w:rtl w:val="true"/>
        </w:rPr>
        <w:t xml:space="preserve">. </w:t>
      </w:r>
      <w:r>
        <w:rPr>
          <w:rtl w:val="true"/>
        </w:rPr>
        <w:t>לעבירות המין שביצע במתלוננת</w:t>
      </w:r>
      <w:r>
        <w:rPr>
          <w:rtl w:val="true"/>
        </w:rPr>
        <w:t xml:space="preserve">, </w:t>
      </w:r>
      <w:r>
        <w:rPr>
          <w:rtl w:val="true"/>
        </w:rPr>
        <w:t>בת זוגו באותה עת</w:t>
      </w:r>
      <w:r>
        <w:rPr>
          <w:rtl w:val="true"/>
        </w:rPr>
        <w:t xml:space="preserve">, </w:t>
      </w:r>
      <w:r>
        <w:rPr>
          <w:rtl w:val="true"/>
        </w:rPr>
        <w:t>יש לייחד מילים קצרות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עבירת האינוס נועדה להגן על האוטונומיה של האישה על גופה</w:t>
      </w:r>
      <w:r>
        <w:rPr>
          <w:rtl w:val="true"/>
        </w:rPr>
        <w:t xml:space="preserve">, </w:t>
      </w:r>
      <w:r>
        <w:rPr>
          <w:rtl w:val="true"/>
        </w:rPr>
        <w:t>על רצונה החופשי ועל כבודה כאדם</w:t>
      </w:r>
      <w:r>
        <w:rPr>
          <w:rtl w:val="true"/>
        </w:rPr>
        <w:t xml:space="preserve">. </w:t>
      </w:r>
      <w:r>
        <w:rPr>
          <w:rtl w:val="true"/>
        </w:rPr>
        <w:t>בעבירת האינוס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גם כאשר זו אינה מלווה בשימוש בכוח</w:t>
      </w:r>
      <w:r>
        <w:rPr>
          <w:rtl w:val="true"/>
        </w:rPr>
        <w:t xml:space="preserve">, </w:t>
      </w:r>
      <w:r>
        <w:rPr>
          <w:rtl w:val="true"/>
        </w:rPr>
        <w:t>יש משום פגיעה אלימה</w:t>
      </w:r>
      <w:r>
        <w:rPr>
          <w:rtl w:val="true"/>
        </w:rPr>
        <w:t xml:space="preserve">, </w:t>
      </w:r>
      <w:r>
        <w:rPr>
          <w:rtl w:val="true"/>
        </w:rPr>
        <w:t>משפילה ומדכאת באישה</w:t>
      </w:r>
      <w:r>
        <w:rPr>
          <w:rtl w:val="true"/>
        </w:rPr>
        <w:t xml:space="preserve">, </w:t>
      </w:r>
      <w:r>
        <w:rPr>
          <w:rtl w:val="true"/>
        </w:rPr>
        <w:t>תוך פלישה לגופה</w:t>
      </w:r>
      <w:r>
        <w:rPr>
          <w:rtl w:val="true"/>
        </w:rPr>
        <w:t xml:space="preserve">, </w:t>
      </w:r>
      <w:r>
        <w:rPr>
          <w:rtl w:val="true"/>
        </w:rPr>
        <w:t>רמיסת רצונה ופגיעה בזכויותיה הבסיסיות ביותר כאדם</w:t>
      </w:r>
      <w:r>
        <w:rPr>
          <w:rtl w:val="true"/>
        </w:rPr>
        <w:t xml:space="preserve">. </w:t>
      </w:r>
      <w:r>
        <w:rPr>
          <w:rtl w:val="true"/>
        </w:rPr>
        <w:t>הטיב לתאר זאת</w:t>
      </w:r>
      <w:r>
        <w:rPr>
          <w:rtl w:val="true"/>
        </w:rPr>
        <w:t xml:space="preserve">, </w:t>
      </w:r>
      <w:r>
        <w:rPr>
          <w:rtl w:val="true"/>
        </w:rPr>
        <w:t>כדרכו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Miriam" w:hAnsi="Miriam" w:cs="Miriam"/>
          <w:szCs w:val="24"/>
          <w:rtl w:val="true"/>
        </w:rPr>
        <w:t>מ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חשין</w:t>
      </w:r>
      <w:r>
        <w:rPr>
          <w:rtl w:val="true"/>
        </w:rPr>
        <w:t xml:space="preserve">, </w:t>
      </w:r>
      <w:r>
        <w:rPr>
          <w:rtl w:val="true"/>
        </w:rPr>
        <w:t>בדבריו על עבירת האינוס</w:t>
      </w:r>
      <w:r>
        <w:rPr>
          <w:rtl w:val="true"/>
        </w:rPr>
        <w:t>:</w:t>
      </w:r>
    </w:p>
    <w:p>
      <w:pPr>
        <w:pStyle w:val="Ruller42"/>
        <w:tabs>
          <w:tab w:val="clear" w:pos="720"/>
          <w:tab w:val="left" w:pos="-58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</w:p>
    <w:p>
      <w:pPr>
        <w:pStyle w:val="Ruller42"/>
        <w:tabs>
          <w:tab w:val="clear" w:pos="720"/>
          <w:tab w:val="left" w:pos="-58" w:leader="none"/>
        </w:tabs>
        <w:spacing w:lineRule="auto" w:line="240"/>
        <w:ind w:start="1440" w:end="1701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עבירת האינוס נועדה ובאה להגן על ריבונות האישה על גופה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על כבודה של האישה כאדם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על האוטונומיה של רצונה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על הָאֲנִי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בריח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rtl w:val="true"/>
        </w:rPr>
        <w:t>התיכון בעבירת האינוס הוא הגנה בלתי מתפשרת על זכותה של האישה – כמוה כגבר – לבחירה חופשית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הרשות נתונה לה לאישה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וזכותה עומדת לה לבחירה חופשית מה תעשה ומה לא תעשה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[...]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פלישה שלא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rtl w:val="true"/>
        </w:rPr>
        <w:t>בהיתר לגופה של אישה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לגופו של אדם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משפילה היא – משפילה ומדכאת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כואבת היא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כואבת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rtl w:val="true"/>
        </w:rPr>
        <w:t>במאוד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פוגעת היא – פגיעה חדה וכואבת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מעליבה היא – והעלבון עמוק וצורב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נרמס הָאֲנִי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הנפש נחתכת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נפגע החופש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נגרעת האוטונומיה של הרצון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נדרס הכבוד</w:t>
      </w:r>
      <w:r>
        <w:rPr>
          <w:rtl w:val="true"/>
        </w:rPr>
        <w:t>" (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115/00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טייב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27.7.2000</w:t>
      </w:r>
      <w:r>
        <w:rPr>
          <w:rtl w:val="true"/>
        </w:rPr>
        <w:t>).</w:t>
      </w:r>
    </w:p>
    <w:p>
      <w:pPr>
        <w:pStyle w:val="Ruller42"/>
        <w:tabs>
          <w:tab w:val="clear" w:pos="720"/>
          <w:tab w:val="left" w:pos="-58" w:leader="none"/>
        </w:tabs>
        <w:spacing w:lineRule="auto" w:line="240"/>
        <w:ind w:start="1440" w:end="1701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end="1701"/>
        <w:jc w:val="both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לעבירת אינוס המבוצעת בבת זוג היבטים מיוחדים</w:t>
      </w:r>
      <w:r>
        <w:rPr>
          <w:rtl w:val="true"/>
        </w:rPr>
        <w:t xml:space="preserve">. </w:t>
      </w:r>
      <w:r>
        <w:rPr>
          <w:rtl w:val="true"/>
        </w:rPr>
        <w:t>שופט המיעוט סבר</w:t>
      </w:r>
      <w:r>
        <w:rPr>
          <w:rtl w:val="true"/>
        </w:rPr>
        <w:t xml:space="preserve">, </w:t>
      </w: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Miriam" w:hAnsi="Miriam" w:cs="Miriam"/>
          <w:szCs w:val="24"/>
          <w:rtl w:val="true"/>
        </w:rPr>
        <w:t>אין להתעלם מהעובדה כי בענייננו אין מדובר בעבריין מין או באנס שמצא עוברת אורח מזדמנת וכפה עליה את עצמו בברוטליות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וכי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מדובר בבני זוג שקיימו ביניהם יחסי מין בהסכמה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tl w:val="true"/>
        </w:rPr>
        <w:t>לאורך תקופת נישואיהם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העובדה כי מדובר באונס בת זוג</w:t>
      </w:r>
      <w:r>
        <w:rPr>
          <w:rtl w:val="true"/>
        </w:rPr>
        <w:t xml:space="preserve">, </w:t>
      </w:r>
      <w:r>
        <w:rPr>
          <w:rtl w:val="true"/>
        </w:rPr>
        <w:t>ולא קורבן מזדמן</w:t>
      </w:r>
      <w:r>
        <w:rPr>
          <w:rtl w:val="true"/>
        </w:rPr>
        <w:t xml:space="preserve">, </w:t>
      </w:r>
      <w:r>
        <w:rPr>
          <w:rtl w:val="true"/>
        </w:rPr>
        <w:t>אינה מהווה נסיבה המקלה עם מבצע העבירה</w:t>
      </w:r>
      <w:r>
        <w:rPr>
          <w:rtl w:val="true"/>
        </w:rPr>
        <w:t xml:space="preserve">. </w:t>
      </w:r>
      <w:r>
        <w:rPr>
          <w:rtl w:val="true"/>
        </w:rPr>
        <w:t>זכותה של אישה לאוטונומיה על גופה אינה נחלשת בדלת אמותיו של קשר הנישואין</w:t>
      </w:r>
      <w:r>
        <w:rPr>
          <w:rtl w:val="true"/>
        </w:rPr>
        <w:t xml:space="preserve">, </w:t>
      </w:r>
      <w:r>
        <w:rPr>
          <w:rtl w:val="true"/>
        </w:rPr>
        <w:t>ואין ביחסי נישואין</w:t>
      </w:r>
      <w:r>
        <w:rPr>
          <w:rtl w:val="true"/>
        </w:rPr>
        <w:t xml:space="preserve">, </w:t>
      </w:r>
      <w:r>
        <w:rPr>
          <w:rtl w:val="true"/>
        </w:rPr>
        <w:t>או בהיכרות אינטימית שבין האנס לקורבנו</w:t>
      </w:r>
      <w:r>
        <w:rPr>
          <w:rtl w:val="true"/>
        </w:rPr>
        <w:t xml:space="preserve">, </w:t>
      </w:r>
      <w:r>
        <w:rPr>
          <w:rtl w:val="true"/>
        </w:rPr>
        <w:t>כדי להפחית מעוצמת הפגיעה</w:t>
      </w:r>
      <w:r>
        <w:rPr>
          <w:rtl w:val="true"/>
        </w:rPr>
        <w:t xml:space="preserve">. </w:t>
      </w:r>
      <w:r>
        <w:rPr>
          <w:rtl w:val="true"/>
        </w:rPr>
        <w:t>לאונס בתוך קשר הנישואין עשויים להתלוות נזקים מיוחדים</w:t>
      </w:r>
      <w:r>
        <w:rPr>
          <w:rtl w:val="true"/>
        </w:rPr>
        <w:t xml:space="preserve">, </w:t>
      </w:r>
      <w:r>
        <w:rPr>
          <w:rtl w:val="true"/>
        </w:rPr>
        <w:t>בהם תחושת בגידה ואין אונים בתוך המערכת הזוגית</w:t>
      </w:r>
      <w:r>
        <w:rPr>
          <w:rtl w:val="true"/>
        </w:rPr>
        <w:t xml:space="preserve">, </w:t>
      </w:r>
      <w:r>
        <w:rPr>
          <w:rtl w:val="true"/>
        </w:rPr>
        <w:t xml:space="preserve">פגיעה קשה בתחושת הביטחון האישי ונזק נפשי ארוך טווח </w:t>
      </w:r>
      <w:r>
        <w:rPr>
          <w:rtl w:val="true"/>
        </w:rPr>
        <w:t>(</w:t>
      </w:r>
      <w:r>
        <w:rPr>
          <w:rtl w:val="true"/>
        </w:rPr>
        <w:t>ועל הנזקים הנגרמים לקורבנות עבירות מין שנפגעו על ידי בני זוגן ראו</w:t>
      </w:r>
      <w:r>
        <w:rPr>
          <w:rtl w:val="true"/>
        </w:rPr>
        <w:t xml:space="preserve">: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12.1.2012</w:t>
      </w:r>
      <w:r>
        <w:rPr>
          <w:rtl w:val="true"/>
        </w:rPr>
        <w:t xml:space="preserve">); </w:t>
      </w:r>
      <w:r>
        <w:rPr>
          <w:rtl w:val="true"/>
        </w:rPr>
        <w:t xml:space="preserve">כן ראו דנה </w:t>
      </w:r>
      <w:hyperlink r:id="rId49">
        <w:r>
          <w:rPr>
            <w:rStyle w:val="Hyperlink"/>
            <w:color w:val="0000FF"/>
            <w:u w:val="single"/>
            <w:rtl w:val="true"/>
          </w:rPr>
          <w:t>פוגץ</w:t>
        </w:r>
        <w:r>
          <w:rPr>
            <w:rStyle w:val="Hyperlink"/>
            <w:color w:val="0000FF"/>
            <w:u w:val="single"/>
            <w:rtl w:val="true"/>
          </w:rPr>
          <w:t>, "'</w:t>
        </w:r>
        <w:r>
          <w:rPr>
            <w:rStyle w:val="Hyperlink"/>
            <w:color w:val="0000FF"/>
            <w:u w:val="single"/>
            <w:rtl w:val="true"/>
          </w:rPr>
          <w:t>ברצון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שניהם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ובשמחתם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אינוס בידי בן זוג והתוויית גבולות המשפט הפלילי בחברה משתנה</w:t>
      </w:r>
      <w:r>
        <w:rPr>
          <w:rtl w:val="true"/>
        </w:rPr>
        <w:t xml:space="preserve">",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ופמיניזם</w:t>
      </w:r>
      <w:r>
        <w:rPr>
          <w:rFonts w:cs="Miriam" w:ascii="Century" w:hAnsi="Century"/>
          <w:b/>
          <w:spacing w:val="0"/>
          <w:szCs w:val="24"/>
          <w:rtl w:val="true"/>
        </w:rPr>
        <w:t>,</w:t>
      </w:r>
      <w:r>
        <w:rPr>
          <w:rtl w:val="true"/>
        </w:rPr>
        <w:t xml:space="preserve"> </w:t>
      </w:r>
      <w:r>
        <w:rPr/>
        <w:t>501</w:t>
      </w:r>
      <w:r>
        <w:rPr>
          <w:rtl w:val="true"/>
        </w:rPr>
        <w:t xml:space="preserve">, </w:t>
      </w:r>
      <w:r>
        <w:rPr/>
        <w:t>526</w:t>
      </w:r>
      <w:r>
        <w:rPr>
          <w:rtl w:val="true"/>
        </w:rPr>
        <w:t xml:space="preserve"> (</w:t>
      </w:r>
      <w:r>
        <w:rPr/>
        <w:t>2007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szCs w:val="24"/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פוגץ</w:t>
      </w:r>
      <w:r>
        <w:rPr>
          <w:rtl w:val="true"/>
        </w:rPr>
        <w:t>)).</w:t>
      </w:r>
    </w:p>
    <w:p>
      <w:pPr>
        <w:pStyle w:val="Ruller42"/>
        <w:tabs>
          <w:tab w:val="clear" w:pos="720"/>
          <w:tab w:val="left" w:pos="-58" w:leader="none"/>
        </w:tabs>
        <w:ind w:start="41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ייאמר ברורות</w:t>
      </w:r>
      <w:r>
        <w:rPr>
          <w:rtl w:val="true"/>
        </w:rPr>
        <w:t xml:space="preserve">, </w:t>
      </w:r>
      <w:r>
        <w:rPr>
          <w:rtl w:val="true"/>
        </w:rPr>
        <w:t>אין מקום לגלות יחס סלחני כלפי אינוס בתוך יחסי נישואין</w:t>
      </w:r>
      <w:r>
        <w:rPr>
          <w:rtl w:val="true"/>
        </w:rPr>
        <w:t xml:space="preserve">, </w:t>
      </w:r>
      <w:r>
        <w:rPr>
          <w:rtl w:val="true"/>
        </w:rPr>
        <w:t>ואין להכשיר בדרך זאת תפיסות בלתי לגיטימיות הרואות באישה רכוש בעלה</w:t>
      </w:r>
      <w:r>
        <w:rPr>
          <w:rtl w:val="true"/>
        </w:rPr>
        <w:t xml:space="preserve">, </w:t>
      </w:r>
      <w:r>
        <w:rPr>
          <w:rtl w:val="true"/>
        </w:rPr>
        <w:t>וביחסי זוגיות כמקנות זכות ליחסי מין בלתי מוסכמים</w:t>
      </w:r>
      <w:r>
        <w:rPr>
          <w:rtl w:val="true"/>
        </w:rPr>
        <w:t xml:space="preserve">. </w:t>
      </w:r>
      <w:r>
        <w:rPr>
          <w:rtl w:val="true"/>
        </w:rPr>
        <w:t>אישה אינה מאבדת את זכותה לאוטונומיה על גופה ואת רצונה החופשי עם כריתת קשר הנישואין</w:t>
      </w:r>
      <w:r>
        <w:rPr>
          <w:rtl w:val="true"/>
        </w:rPr>
        <w:t xml:space="preserve">, </w:t>
      </w:r>
      <w:r>
        <w:rPr>
          <w:rtl w:val="true"/>
        </w:rPr>
        <w:t>ואונס בתוך יחסי זוגיות הוא אונס לכל דבר ועניין</w:t>
      </w:r>
      <w:r>
        <w:rPr>
          <w:rtl w:val="true"/>
        </w:rPr>
        <w:t xml:space="preserve">. </w:t>
      </w:r>
      <w:r>
        <w:rPr>
          <w:rtl w:val="true"/>
        </w:rPr>
        <w:t>בהקשר זה יש לזכור</w:t>
      </w:r>
      <w:r>
        <w:rPr>
          <w:rtl w:val="true"/>
        </w:rPr>
        <w:t xml:space="preserve">, </w:t>
      </w:r>
      <w:r>
        <w:rPr>
          <w:rtl w:val="true"/>
        </w:rPr>
        <w:t>כי תקיפה מינית בידי בן זוג היא מהתקיפות השכיחות בין סוגי התקיפות המיניות</w:t>
      </w:r>
      <w:r>
        <w:rPr>
          <w:rtl w:val="true"/>
        </w:rPr>
        <w:t xml:space="preserve">, </w:t>
      </w:r>
      <w:r>
        <w:rPr>
          <w:rtl w:val="true"/>
        </w:rPr>
        <w:t xml:space="preserve">וחלק נכבד ממקרי האונס מבוצעים בתוך יחסי זוגיות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פוגץ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521-520</w:t>
      </w:r>
      <w:r>
        <w:rPr>
          <w:rFonts w:cs="Miriam" w:ascii="Miriam" w:hAnsi="Miriam"/>
          <w:color w:val="000000"/>
          <w:szCs w:val="24"/>
          <w:rtl w:val="true"/>
        </w:rPr>
        <w:t xml:space="preserve">). </w:t>
      </w:r>
      <w:r>
        <w:rPr>
          <w:rtl w:val="true"/>
        </w:rPr>
        <w:t>עמדה סלחנית לאונס בתוך קשרי נישואין עלולה לקבע תפיסות חברתיות שגויות לגבי זכויות נשים על גופן</w:t>
      </w:r>
      <w:r>
        <w:rPr>
          <w:rtl w:val="true"/>
        </w:rPr>
        <w:t xml:space="preserve">, </w:t>
      </w:r>
      <w:r>
        <w:rPr>
          <w:rtl w:val="true"/>
        </w:rPr>
        <w:t>ולהוות תמריץ שלילי להגשת תלונות על פגיעות מיניות בתוך יחסי זוגיות</w:t>
      </w:r>
      <w:r>
        <w:rPr>
          <w:rtl w:val="true"/>
        </w:rPr>
        <w:t xml:space="preserve">, </w:t>
      </w:r>
      <w:r>
        <w:rPr>
          <w:rtl w:val="true"/>
        </w:rPr>
        <w:t xml:space="preserve">מקום בו הנפגעות ממילא מהססות להתלונן ולהיחשף </w:t>
      </w:r>
      <w:r>
        <w:rPr>
          <w:rtl w:val="true"/>
        </w:rPr>
        <w:t>(</w:t>
      </w:r>
      <w:r>
        <w:rPr>
          <w:rtl w:val="true"/>
        </w:rPr>
        <w:t>לשיח הזכויות הנלווה לאונס בת זוג והשלכותיו על תפיסות חברתיות לגבי זכויותיהם של גברים ונשים במסגרת הנישואים</w:t>
      </w:r>
      <w:r>
        <w:rPr>
          <w:rtl w:val="true"/>
        </w:rPr>
        <w:t xml:space="preserve">, </w:t>
      </w:r>
      <w:r>
        <w:rPr>
          <w:rtl w:val="true"/>
        </w:rPr>
        <w:t>ראו עירית נגבי</w:t>
      </w:r>
      <w:r>
        <w:rPr>
          <w:rtl w:val="true"/>
        </w:rPr>
        <w:t xml:space="preserve">,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סיפורי אונס בבית המשפט</w:t>
      </w:r>
      <w:r>
        <w:rPr>
          <w:rFonts w:cs="Miriam" w:ascii="Miriam" w:hAnsi="Miriam"/>
          <w:szCs w:val="24"/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>ניתוח נרטיבי של פסקי דין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, </w:t>
      </w:r>
      <w:r>
        <w:rPr/>
        <w:t>111</w:t>
      </w:r>
      <w:r>
        <w:rPr>
          <w:rtl w:val="true"/>
        </w:rPr>
        <w:t xml:space="preserve">, </w:t>
      </w:r>
      <w:r>
        <w:rPr/>
        <w:t>124-118</w:t>
      </w:r>
      <w:r>
        <w:rPr>
          <w:rtl w:val="true"/>
        </w:rPr>
        <w:t>, (</w:t>
      </w:r>
      <w:r>
        <w:rPr/>
        <w:t>2009</w:t>
      </w:r>
      <w:r>
        <w:rPr>
          <w:rtl w:val="true"/>
        </w:rPr>
        <w:t xml:space="preserve">)). </w:t>
      </w:r>
      <w:r>
        <w:rPr>
          <w:rtl w:val="true"/>
        </w:rPr>
        <w:t>הצורך להגן על האוטונומיה של נשים ועל כבודן כאדם גם במסגרת קשרי נישואין</w:t>
      </w:r>
      <w:r>
        <w:rPr>
          <w:rtl w:val="true"/>
        </w:rPr>
        <w:t xml:space="preserve">, </w:t>
      </w:r>
      <w:r>
        <w:rPr>
          <w:rtl w:val="true"/>
        </w:rPr>
        <w:t>מחייב אפוא ענישה מחמירה</w:t>
      </w:r>
      <w:r>
        <w:rPr>
          <w:rtl w:val="true"/>
        </w:rPr>
        <w:t xml:space="preserve">. </w:t>
      </w:r>
      <w:r>
        <w:rPr>
          <w:rtl w:val="true"/>
        </w:rPr>
        <w:t xml:space="preserve">כפי שאין לייחס חומרה מופחתת לעבירות אלימות כלפי בת זוג </w:t>
      </w:r>
      <w:r>
        <w:rPr>
          <w:rtl w:val="true"/>
        </w:rPr>
        <w:t>(</w:t>
      </w:r>
      <w:r>
        <w:rPr>
          <w:rtl w:val="true"/>
        </w:rPr>
        <w:t>והמחוקק אף ראה בכך משום נסיבה מחמירה</w:t>
      </w:r>
      <w:r>
        <w:rPr>
          <w:rtl w:val="true"/>
        </w:rPr>
        <w:t xml:space="preserve">, </w:t>
      </w:r>
      <w:r>
        <w:rPr>
          <w:rtl w:val="true"/>
        </w:rPr>
        <w:t xml:space="preserve">ראו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-(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אין מקום ליחס חומרה מופחתת לאלימות מינית כלפי בת זוג</w:t>
      </w:r>
      <w:r>
        <w:rPr>
          <w:rtl w:val="true"/>
        </w:rPr>
        <w:t xml:space="preserve">. </w:t>
      </w:r>
    </w:p>
    <w:p>
      <w:pPr>
        <w:pStyle w:val="Ruller42"/>
        <w:tabs>
          <w:tab w:val="clear" w:pos="720"/>
          <w:tab w:val="left" w:pos="-58" w:leader="none"/>
        </w:tabs>
        <w:ind w:start="41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41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המערער ניצל את תחושת הביטחון של המתלוננת בביתה ותקף אותה בעת שישנה במיטתה באלימות קשה </w:t>
      </w:r>
      <w:r>
        <w:rPr>
          <w:rtl w:val="true"/>
        </w:rPr>
        <w:t>–</w:t>
      </w:r>
      <w:r>
        <w:rPr>
          <w:rtl w:val="true"/>
        </w:rPr>
        <w:t xml:space="preserve"> משך בשערותיה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tl w:val="true"/>
        </w:rPr>
        <w:t xml:space="preserve">, </w:t>
      </w:r>
      <w:r>
        <w:rPr>
          <w:rtl w:val="true"/>
        </w:rPr>
        <w:t>נשך</w:t>
      </w:r>
      <w:r>
        <w:rPr>
          <w:rtl w:val="true"/>
        </w:rPr>
        <w:t xml:space="preserve">, </w:t>
      </w:r>
      <w:r>
        <w:rPr>
          <w:rtl w:val="true"/>
        </w:rPr>
        <w:t xml:space="preserve">החדיר אצבעותיו לאיבר מינה </w:t>
      </w:r>
      <w:r>
        <w:rPr>
          <w:rtl w:val="true"/>
        </w:rPr>
        <w:t xml:space="preserve">- </w:t>
      </w:r>
      <w:r>
        <w:rPr>
          <w:rtl w:val="true"/>
        </w:rPr>
        <w:t>והותירה כואבת וחבולה פיזית ונפשית</w:t>
      </w:r>
      <w:r>
        <w:rPr>
          <w:rtl w:val="true"/>
        </w:rPr>
        <w:t xml:space="preserve">. </w:t>
      </w:r>
      <w:r>
        <w:rPr>
          <w:rtl w:val="true"/>
        </w:rPr>
        <w:t>המערער לא נטל אחריות למעשיו</w:t>
      </w:r>
      <w:r>
        <w:rPr>
          <w:rtl w:val="true"/>
        </w:rPr>
        <w:t xml:space="preserve">, </w:t>
      </w:r>
      <w:r>
        <w:rPr>
          <w:rtl w:val="true"/>
        </w:rPr>
        <w:t>לא הביע חרטה ולא גילה כל תובנה או הבנה בהתייחס לפגיעה שפגע במתלוננת</w:t>
      </w:r>
      <w:r>
        <w:rPr>
          <w:rtl w:val="true"/>
        </w:rPr>
        <w:t xml:space="preserve">. </w:t>
      </w:r>
      <w:r>
        <w:rPr>
          <w:rtl w:val="true"/>
        </w:rPr>
        <w:t>מעשיו ואמירותיו של המערער מעידים עליו כי לא הפנים</w:t>
      </w:r>
      <w:r>
        <w:rPr>
          <w:rtl w:val="true"/>
        </w:rPr>
        <w:t xml:space="preserve">, </w:t>
      </w:r>
      <w:r>
        <w:rPr>
          <w:rtl w:val="true"/>
        </w:rPr>
        <w:t xml:space="preserve">גם לאחר ביצוע המעשים וגם לאורך ההליך הפלילי כי </w:t>
      </w:r>
      <w:r>
        <w:rPr>
          <w:rFonts w:cs="Miriam" w:ascii="Miriam" w:hAnsi="Miriam"/>
          <w:szCs w:val="24"/>
          <w:rtl w:val="true"/>
        </w:rPr>
        <w:t>"</w:t>
      </w:r>
      <w:r>
        <w:rPr>
          <w:rFonts w:ascii="Miriam" w:hAnsi="Miriam" w:cs="Miriam"/>
          <w:szCs w:val="24"/>
          <w:rtl w:val="true"/>
        </w:rPr>
        <w:t>קיומם של יחסי נישואין אינו מהווה היתר לאונס</w:t>
      </w:r>
      <w:r>
        <w:rPr>
          <w:rFonts w:cs="Miriam" w:ascii="Miriam" w:hAnsi="Miriam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דברי השופטת </w:t>
      </w:r>
      <w:r>
        <w:rPr>
          <w:rFonts w:ascii="Miriam" w:hAnsi="Miriam" w:cs="Miriam"/>
          <w:szCs w:val="24"/>
          <w:rtl w:val="true"/>
        </w:rPr>
        <w:t>ד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ברק</w:t>
      </w:r>
      <w:r>
        <w:rPr>
          <w:rFonts w:cs="Miriam" w:ascii="Miriam" w:hAnsi="Miriam"/>
          <w:szCs w:val="24"/>
          <w:rtl w:val="true"/>
        </w:rPr>
        <w:t>-</w:t>
      </w:r>
      <w:r>
        <w:rPr>
          <w:rFonts w:ascii="Miriam" w:hAnsi="Miriam" w:cs="Miriam"/>
          <w:szCs w:val="24"/>
          <w:rtl w:val="true"/>
        </w:rPr>
        <w:t>ארז</w:t>
      </w:r>
      <w:r>
        <w:rPr>
          <w:rtl w:val="true"/>
        </w:rPr>
        <w:t xml:space="preserve"> ב</w:t>
      </w:r>
      <w:hyperlink r:id="rId5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269/12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Cs w:val="24"/>
          <w:rtl w:val="true"/>
        </w:rPr>
        <w:t>פלוני נ</w:t>
      </w:r>
      <w:r>
        <w:rPr>
          <w:rFonts w:cs="Miriam" w:ascii="Miriam" w:hAnsi="Miriam"/>
          <w:szCs w:val="24"/>
          <w:rtl w:val="true"/>
        </w:rPr>
        <w:t xml:space="preserve">' </w:t>
      </w:r>
      <w:r>
        <w:rPr>
          <w:rFonts w:ascii="Miriam" w:hAnsi="Miriam" w:cs="Miriam"/>
          <w:szCs w:val="24"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18.10.12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</w:tabs>
        <w:ind w:hanging="0" w:start="0" w:end="0"/>
        <w:jc w:val="both"/>
        <w:rPr/>
      </w:pPr>
      <w:r>
        <w:rPr>
          <w:rtl w:val="true"/>
        </w:rPr>
        <w:t>אוסיף כי לא מצאתי ממש בטענת המערער כי יש באי הגשת תסקיר נפגעת עבירה  כדי להקל עם עניינו</w:t>
      </w:r>
      <w:r>
        <w:rPr>
          <w:rtl w:val="true"/>
        </w:rPr>
        <w:t xml:space="preserve">. </w:t>
      </w:r>
      <w:r>
        <w:rPr>
          <w:rtl w:val="true"/>
        </w:rPr>
        <w:t xml:space="preserve">הנזק שנגרם למתלוננת כתוצאה מן העבירות בהן הורשע טבוע בהן מעצם טיבן ואינו דורש הוכחה באמצעות תסקיר נפגעת עבירה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9.3.2017</w:t>
      </w:r>
      <w:r>
        <w:rPr>
          <w:rtl w:val="true"/>
        </w:rPr>
        <w:t xml:space="preserve">);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16.1.2009</w:t>
      </w:r>
      <w:r>
        <w:rPr>
          <w:rtl w:val="true"/>
        </w:rPr>
        <w:t xml:space="preserve">)). </w:t>
      </w:r>
      <w:r>
        <w:rPr>
          <w:rtl w:val="true"/>
        </w:rPr>
        <w:t>על נזק זה למדנו היטב גם מעדותה של המתלוננת בבית המשפט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tabs>
          <w:tab w:val="clear" w:pos="720"/>
          <w:tab w:val="left" w:pos="-58" w:leader="none"/>
        </w:tabs>
        <w:ind w:hanging="0" w:start="41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</w:rPr>
        <w:t>42</w:t>
      </w:r>
      <w:r>
        <w:rPr>
          <w:rFonts w:cs="Century" w:ascii="Century" w:hAnsi="Century"/>
          <w:sz w:val="22"/>
          <w:rtl w:val="true"/>
        </w:rPr>
        <w:t>.</w:t>
        <w:tab/>
      </w:r>
      <w:r>
        <w:rPr>
          <w:rFonts w:ascii="Century" w:hAnsi="Century" w:cs="Century"/>
          <w:sz w:val="22"/>
          <w:sz w:val="22"/>
          <w:rtl w:val="true"/>
        </w:rPr>
        <w:t>גם ההיבטים לקולה להם טען המערער נשקלו כולם בגזר דינם של שופטי הרוב ובהם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גילו הצעיר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אורח חייו הנורמטיבי במישורי חייו האחרים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והימשכות ההליכים בעניינו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יש להדגיש כי בגין עבירת האינוס שבוצעה תוך גרימת חבלה גופנית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בה הורשע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קבע המחוקק</w:t>
      </w:r>
      <w:r>
        <w:rPr>
          <w:rFonts w:cs="Century" w:ascii="Century" w:hAnsi="Century"/>
          <w:sz w:val="22"/>
          <w:rtl w:val="true"/>
        </w:rPr>
        <w:t xml:space="preserve">, </w:t>
      </w:r>
      <w:hyperlink r:id="rId55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בסעיף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355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hyperlink r:id="rId5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העונשין</w:t>
        </w:r>
      </w:hyperlink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עונש מזערי העומד על חמש שנים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בשים לב לכך שהמערער הורשע בעבירות נוספות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בעבירת אינוס נוספת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מעשה סדום ושתי עבירות אלימות </w:t>
      </w:r>
      <w:r>
        <w:rPr>
          <w:rFonts w:cs="Century" w:ascii="Century" w:hAnsi="Century"/>
          <w:sz w:val="22"/>
          <w:rtl w:val="true"/>
        </w:rPr>
        <w:t xml:space="preserve">- </w:t>
      </w:r>
      <w:r>
        <w:rPr>
          <w:rFonts w:ascii="Century" w:hAnsi="Century" w:cs="Century"/>
          <w:sz w:val="22"/>
          <w:sz w:val="22"/>
          <w:rtl w:val="true"/>
        </w:rPr>
        <w:t>העונש שנגזר עליו אינו מחמיר עמו ובוודאי שאינו מצדיק את התערבותה של ערכאת הערעור</w:t>
      </w:r>
      <w:r>
        <w:rPr>
          <w:rFonts w:cs="Century" w:ascii="Century" w:hAnsi="Century"/>
          <w:sz w:val="22"/>
          <w:rtl w:val="true"/>
        </w:rPr>
        <w:t xml:space="preserve">.  </w:t>
      </w:r>
    </w:p>
    <w:p>
      <w:pPr>
        <w:pStyle w:val="Ruller42"/>
        <w:tabs>
          <w:tab w:val="clear" w:pos="720"/>
          <w:tab w:val="left" w:pos="-58" w:leader="none"/>
        </w:tabs>
        <w:spacing w:lineRule="auto" w:line="240"/>
        <w:ind w:start="41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spacing w:lineRule="auto" w:line="240"/>
        <w:ind w:start="41" w:end="0"/>
        <w:jc w:val="both"/>
        <w:rPr/>
      </w:pPr>
      <w:r>
        <w:rPr>
          <w:rtl w:val="true"/>
        </w:rPr>
      </w:r>
    </w:p>
    <w:p>
      <w:pPr>
        <w:pStyle w:val="Ruller42"/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tabs>
          <w:tab w:val="clear" w:pos="720"/>
          <w:tab w:val="left" w:pos="-58" w:leader="none"/>
        </w:tabs>
        <w:ind w:start="41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4"/>
        </w:numPr>
        <w:tabs>
          <w:tab w:val="clear" w:pos="720"/>
          <w:tab w:val="left" w:pos="-58" w:leader="none"/>
          <w:tab w:val="left" w:pos="5869" w:leader="none"/>
        </w:tabs>
        <w:ind w:hanging="0" w:start="0"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אציע לחבריי לדחות את הערעור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על שני חלקיו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שטייניץ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3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24.10.2022</w:t>
      </w:r>
      <w:r>
        <w:rPr>
          <w:rtl w:val="true"/>
        </w:rPr>
        <w:t xml:space="preserve">). </w:t>
      </w:r>
      <w:bookmarkEnd w:id="23"/>
    </w:p>
    <w:p>
      <w:pPr>
        <w:pStyle w:val="Ruller4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21022610</w:t>
      </w:r>
      <w:r>
        <w:rPr>
          <w:sz w:val="16"/>
          <w:rtl w:val="true"/>
        </w:rPr>
        <w:t>_</w:t>
      </w:r>
      <w:r>
        <w:rPr>
          <w:sz w:val="16"/>
        </w:rPr>
        <w:t>X09.docx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54678313-2261/21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2261/21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33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4">
    <w:lvl w:ilvl="0">
      <w:start w:val="35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Century" w:hAnsi="Century" w:cs="FrankRuehl"/>
        <w:color w:val="000000"/>
        <w:lang w:val="en-US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  <w:lang w:val="en-US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3686" w:end="0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111">
    <w:name w:val="ruller41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0">
    <w:name w:val="ruller5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98554" TargetMode="External"/><Relationship Id="rId3" Type="http://schemas.openxmlformats.org/officeDocument/2006/relationships/hyperlink" Target="http://www.nevo.co.il/safrut/book/8281" TargetMode="External"/><Relationship Id="rId4" Type="http://schemas.openxmlformats.org/officeDocument/2006/relationships/hyperlink" Target="http://www.nevo.co.il/safrut/book/828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3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55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380" TargetMode="External"/><Relationship Id="rId12" Type="http://schemas.openxmlformats.org/officeDocument/2006/relationships/hyperlink" Target="http://www.nevo.co.il/law/70301/382.b.1" TargetMode="External"/><Relationship Id="rId13" Type="http://schemas.openxmlformats.org/officeDocument/2006/relationships/hyperlink" Target="http://www.nevo.co.il/law/70301/382.c" TargetMode="External"/><Relationship Id="rId14" Type="http://schemas.openxmlformats.org/officeDocument/2006/relationships/hyperlink" Target="http://www.nevo.co.il/case/24398554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45.b.3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45.a.1" TargetMode="External"/><Relationship Id="rId19" Type="http://schemas.openxmlformats.org/officeDocument/2006/relationships/hyperlink" Target="http://www.nevo.co.il/law/70301/347.b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80" TargetMode="External"/><Relationship Id="rId22" Type="http://schemas.openxmlformats.org/officeDocument/2006/relationships/hyperlink" Target="http://www.nevo.co.il/law/70301/382.c" TargetMode="External"/><Relationship Id="rId23" Type="http://schemas.openxmlformats.org/officeDocument/2006/relationships/hyperlink" Target="http://www.nevo.co.il/law/70301/379" TargetMode="External"/><Relationship Id="rId24" Type="http://schemas.openxmlformats.org/officeDocument/2006/relationships/hyperlink" Target="http://www.nevo.co.il/law/70301/382.b.1" TargetMode="External"/><Relationship Id="rId25" Type="http://schemas.openxmlformats.org/officeDocument/2006/relationships/hyperlink" Target="http://www.nevo.co.il/law/70301/35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8384638" TargetMode="External"/><Relationship Id="rId28" Type="http://schemas.openxmlformats.org/officeDocument/2006/relationships/hyperlink" Target="http://www.nevo.co.il/case/6129410" TargetMode="External"/><Relationship Id="rId29" Type="http://schemas.openxmlformats.org/officeDocument/2006/relationships/hyperlink" Target="http://www.nevo.co.il/case/20982179" TargetMode="External"/><Relationship Id="rId30" Type="http://schemas.openxmlformats.org/officeDocument/2006/relationships/hyperlink" Target="http://www.nevo.co.il/case/26830322" TargetMode="External"/><Relationship Id="rId31" Type="http://schemas.openxmlformats.org/officeDocument/2006/relationships/hyperlink" Target="http://www.nevo.co.il/case/25788262" TargetMode="External"/><Relationship Id="rId32" Type="http://schemas.openxmlformats.org/officeDocument/2006/relationships/hyperlink" Target="http://www.nevo.co.il/case/5997579" TargetMode="External"/><Relationship Id="rId33" Type="http://schemas.openxmlformats.org/officeDocument/2006/relationships/hyperlink" Target="http://www.nevo.co.il/case/6238635" TargetMode="External"/><Relationship Id="rId34" Type="http://schemas.openxmlformats.org/officeDocument/2006/relationships/hyperlink" Target="http://www.nevo.co.il/case/20832658" TargetMode="External"/><Relationship Id="rId35" Type="http://schemas.openxmlformats.org/officeDocument/2006/relationships/hyperlink" Target="http://www.nevo.co.il/case/25441705" TargetMode="External"/><Relationship Id="rId36" Type="http://schemas.openxmlformats.org/officeDocument/2006/relationships/hyperlink" Target="http://www.nevo.co.il/case/5772329" TargetMode="External"/><Relationship Id="rId37" Type="http://schemas.openxmlformats.org/officeDocument/2006/relationships/hyperlink" Target="http://www.nevo.co.il/case/6248755" TargetMode="External"/><Relationship Id="rId38" Type="http://schemas.openxmlformats.org/officeDocument/2006/relationships/hyperlink" Target="http://www.nevo.co.il/case/27446607" TargetMode="External"/><Relationship Id="rId39" Type="http://schemas.openxmlformats.org/officeDocument/2006/relationships/hyperlink" Target="http://www.nevo.co.il/case/24346421" TargetMode="External"/><Relationship Id="rId40" Type="http://schemas.openxmlformats.org/officeDocument/2006/relationships/hyperlink" Target="http://www.nevo.co.il/case/6174147" TargetMode="External"/><Relationship Id="rId41" Type="http://schemas.openxmlformats.org/officeDocument/2006/relationships/hyperlink" Target="http://www.nevo.co.il/case/27292084" TargetMode="External"/><Relationship Id="rId42" Type="http://schemas.openxmlformats.org/officeDocument/2006/relationships/hyperlink" Target="http://www.nevo.co.il/case/27555147" TargetMode="External"/><Relationship Id="rId43" Type="http://schemas.openxmlformats.org/officeDocument/2006/relationships/hyperlink" Target="http://www.nevo.co.il/case/27820945" TargetMode="External"/><Relationship Id="rId44" Type="http://schemas.openxmlformats.org/officeDocument/2006/relationships/hyperlink" Target="http://www.nevo.co.il/case/28142541" TargetMode="External"/><Relationship Id="rId45" Type="http://schemas.openxmlformats.org/officeDocument/2006/relationships/hyperlink" Target="http://www.nevo.co.il/case/28226828" TargetMode="External"/><Relationship Id="rId46" Type="http://schemas.openxmlformats.org/officeDocument/2006/relationships/hyperlink" Target="http://www.nevo.co.il/case/27256366" TargetMode="External"/><Relationship Id="rId47" Type="http://schemas.openxmlformats.org/officeDocument/2006/relationships/hyperlink" Target="http://www.nevo.co.il/case/5678391" TargetMode="External"/><Relationship Id="rId48" Type="http://schemas.openxmlformats.org/officeDocument/2006/relationships/hyperlink" Target="http://www.nevo.co.il/case/6247044" TargetMode="External"/><Relationship Id="rId49" Type="http://schemas.openxmlformats.org/officeDocument/2006/relationships/hyperlink" Target="http://www.nevo.co.il/safrut/book/8281" TargetMode="External"/><Relationship Id="rId50" Type="http://schemas.openxmlformats.org/officeDocument/2006/relationships/hyperlink" Target="http://www.nevo.co.il/law/70301/382.b.1.;382.c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244421" TargetMode="External"/><Relationship Id="rId53" Type="http://schemas.openxmlformats.org/officeDocument/2006/relationships/hyperlink" Target="http://www.nevo.co.il/case/22303595" TargetMode="External"/><Relationship Id="rId54" Type="http://schemas.openxmlformats.org/officeDocument/2006/relationships/hyperlink" Target="http://www.nevo.co.il/case/6247289" TargetMode="External"/><Relationship Id="rId55" Type="http://schemas.openxmlformats.org/officeDocument/2006/relationships/hyperlink" Target="http://www.nevo.co.il/law/70301/355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s://supreme.court.gov.il/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2022-10-24T15:30:00Z</dcterms:created>
  <dc:creator>h4</dc:creator>
  <dc:description/>
  <cp:keywords/>
  <dc:language>en-IL</dc:language>
  <cp:lastModifiedBy>orly</cp:lastModifiedBy>
  <cp:lastPrinted>2022-10-24T08:31:00Z</cp:lastPrinted>
  <dcterms:modified xsi:type="dcterms:W3CDTF">2022-10-24T15:30:00Z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LISTTMP1">
    <vt:lpwstr>8281</vt:lpwstr>
  </property>
  <property fmtid="{D5CDD505-2E9C-101B-9397-08002B2CF9AE}" pid="5" name="CASESLISTTMP1">
    <vt:lpwstr>24398554:2;28384638;6129410;20982179;26830322;25788262;5997579;6238635;20832658;25441705;5772329;6248755;27446607;24346421;6174147;27292084;27555147;27820945;28142541;28226828;27256366;5678391;6247044;6244421;22303595;6247289</vt:lpwstr>
  </property>
  <property fmtid="{D5CDD505-2E9C-101B-9397-08002B2CF9AE}" pid="6" name="DATE">
    <vt:lpwstr>20221024</vt:lpwstr>
  </property>
  <property fmtid="{D5CDD505-2E9C-101B-9397-08002B2CF9AE}" pid="7" name="ISABSTRACT">
    <vt:lpwstr>Y</vt:lpwstr>
  </property>
  <property fmtid="{D5CDD505-2E9C-101B-9397-08002B2CF9AE}" pid="8" name="JUDGE">
    <vt:lpwstr>י' אלרון;ג' כנפי שטייניץ;י' כשר</vt:lpwstr>
  </property>
  <property fmtid="{D5CDD505-2E9C-101B-9397-08002B2CF9AE}" pid="9" name="LAWLISTTMP1">
    <vt:lpwstr>70301/345.a.1:3;345.b.3;347.b;380;382.c:2;379;382.b.1:2;355:2</vt:lpwstr>
  </property>
  <property fmtid="{D5CDD505-2E9C-101B-9397-08002B2CF9AE}" pid="10" name="LAWYER">
    <vt:lpwstr>נעימה חינאווי;עאדל בויראת</vt:lpwstr>
  </property>
  <property fmtid="{D5CDD505-2E9C-101B-9397-08002B2CF9AE}" pid="11" name="METAKZER">
    <vt:lpwstr>פאני</vt:lpwstr>
  </property>
  <property fmtid="{D5CDD505-2E9C-101B-9397-08002B2CF9AE}" pid="12" name="NOSE11">
    <vt:lpwstr>עונשין</vt:lpwstr>
  </property>
  <property fmtid="{D5CDD505-2E9C-101B-9397-08002B2CF9AE}" pid="13" name="NOSE110">
    <vt:lpwstr/>
  </property>
  <property fmtid="{D5CDD505-2E9C-101B-9397-08002B2CF9AE}" pid="14" name="NOSE12">
    <vt:lpwstr>עונשין</vt:lpwstr>
  </property>
  <property fmtid="{D5CDD505-2E9C-101B-9397-08002B2CF9AE}" pid="15" name="NOSE13">
    <vt:lpwstr>ראיות</vt:lpwstr>
  </property>
  <property fmtid="{D5CDD505-2E9C-101B-9397-08002B2CF9AE}" pid="16" name="NOSE14">
    <vt:lpwstr>דיון פלילי</vt:lpwstr>
  </property>
  <property fmtid="{D5CDD505-2E9C-101B-9397-08002B2CF9AE}" pid="17" name="NOSE15">
    <vt:lpwstr/>
  </property>
  <property fmtid="{D5CDD505-2E9C-101B-9397-08002B2CF9AE}" pid="18" name="NOSE16">
    <vt:lpwstr/>
  </property>
  <property fmtid="{D5CDD505-2E9C-101B-9397-08002B2CF9AE}" pid="19" name="NOSE17">
    <vt:lpwstr/>
  </property>
  <property fmtid="{D5CDD505-2E9C-101B-9397-08002B2CF9AE}" pid="20" name="NOSE18">
    <vt:lpwstr/>
  </property>
  <property fmtid="{D5CDD505-2E9C-101B-9397-08002B2CF9AE}" pid="21" name="NOSE19">
    <vt:lpwstr/>
  </property>
  <property fmtid="{D5CDD505-2E9C-101B-9397-08002B2CF9AE}" pid="22" name="NOSE1ID">
    <vt:lpwstr>77;77;89;18</vt:lpwstr>
  </property>
  <property fmtid="{D5CDD505-2E9C-101B-9397-08002B2CF9AE}" pid="23" name="NOSE21">
    <vt:lpwstr>ענישה</vt:lpwstr>
  </property>
  <property fmtid="{D5CDD505-2E9C-101B-9397-08002B2CF9AE}" pid="24" name="NOSE210">
    <vt:lpwstr/>
  </property>
  <property fmtid="{D5CDD505-2E9C-101B-9397-08002B2CF9AE}" pid="25" name="NOSE22">
    <vt:lpwstr>ענישה</vt:lpwstr>
  </property>
  <property fmtid="{D5CDD505-2E9C-101B-9397-08002B2CF9AE}" pid="26" name="NOSE23">
    <vt:lpwstr>מהימנות</vt:lpwstr>
  </property>
  <property fmtid="{D5CDD505-2E9C-101B-9397-08002B2CF9AE}" pid="27" name="NOSE24">
    <vt:lpwstr>מחדלי חקירה</vt:lpwstr>
  </property>
  <property fmtid="{D5CDD505-2E9C-101B-9397-08002B2CF9AE}" pid="28" name="NOSE25">
    <vt:lpwstr/>
  </property>
  <property fmtid="{D5CDD505-2E9C-101B-9397-08002B2CF9AE}" pid="29" name="NOSE26">
    <vt:lpwstr/>
  </property>
  <property fmtid="{D5CDD505-2E9C-101B-9397-08002B2CF9AE}" pid="30" name="NOSE27">
    <vt:lpwstr/>
  </property>
  <property fmtid="{D5CDD505-2E9C-101B-9397-08002B2CF9AE}" pid="31" name="NOSE28">
    <vt:lpwstr/>
  </property>
  <property fmtid="{D5CDD505-2E9C-101B-9397-08002B2CF9AE}" pid="32" name="NOSE29">
    <vt:lpwstr/>
  </property>
  <property fmtid="{D5CDD505-2E9C-101B-9397-08002B2CF9AE}" pid="33" name="NOSE2ID">
    <vt:lpwstr>1446;1446;1635;17072</vt:lpwstr>
  </property>
  <property fmtid="{D5CDD505-2E9C-101B-9397-08002B2CF9AE}" pid="34" name="NOSE31">
    <vt:lpwstr>מדיניות ענישה: עבירות מין במשפחה</vt:lpwstr>
  </property>
  <property fmtid="{D5CDD505-2E9C-101B-9397-08002B2CF9AE}" pid="35" name="NOSE310">
    <vt:lpwstr/>
  </property>
  <property fmtid="{D5CDD505-2E9C-101B-9397-08002B2CF9AE}" pid="36" name="NOSE32">
    <vt:lpwstr>מדיניות ענישה: התערבות ערכאת ערעור</vt:lpwstr>
  </property>
  <property fmtid="{D5CDD505-2E9C-101B-9397-08002B2CF9AE}" pid="37" name="NOSE33">
    <vt:lpwstr>בחינתה על-ידי ערכאת הערעור</vt:lpwstr>
  </property>
  <property fmtid="{D5CDD505-2E9C-101B-9397-08002B2CF9AE}" pid="38" name="NOSE34">
    <vt:lpwstr>נפקותם</vt:lpwstr>
  </property>
  <property fmtid="{D5CDD505-2E9C-101B-9397-08002B2CF9AE}" pid="39" name="NOSE35">
    <vt:lpwstr/>
  </property>
  <property fmtid="{D5CDD505-2E9C-101B-9397-08002B2CF9AE}" pid="40" name="NOSE36">
    <vt:lpwstr/>
  </property>
  <property fmtid="{D5CDD505-2E9C-101B-9397-08002B2CF9AE}" pid="41" name="NOSE37">
    <vt:lpwstr/>
  </property>
  <property fmtid="{D5CDD505-2E9C-101B-9397-08002B2CF9AE}" pid="42" name="NOSE38">
    <vt:lpwstr/>
  </property>
  <property fmtid="{D5CDD505-2E9C-101B-9397-08002B2CF9AE}" pid="43" name="NOSE39">
    <vt:lpwstr/>
  </property>
  <property fmtid="{D5CDD505-2E9C-101B-9397-08002B2CF9AE}" pid="44" name="NOSE3ID">
    <vt:lpwstr>16241;8982;10196;17177</vt:lpwstr>
  </property>
  <property fmtid="{D5CDD505-2E9C-101B-9397-08002B2CF9AE}" pid="45" name="PADIDATE">
    <vt:lpwstr>20221025</vt:lpwstr>
  </property>
  <property fmtid="{D5CDD505-2E9C-101B-9397-08002B2CF9AE}" pid="46" name="PADIMAIL">
    <vt:lpwstr>YES</vt:lpwstr>
  </property>
  <property fmtid="{D5CDD505-2E9C-101B-9397-08002B2CF9AE}" pid="47" name="PROCESS">
    <vt:lpwstr>עפ</vt:lpwstr>
  </property>
  <property fmtid="{D5CDD505-2E9C-101B-9397-08002B2CF9AE}" pid="48" name="PROCNUM">
    <vt:lpwstr>2261</vt:lpwstr>
  </property>
  <property fmtid="{D5CDD505-2E9C-101B-9397-08002B2CF9AE}" pid="49" name="PROCYEAR">
    <vt:lpwstr>21</vt:lpwstr>
  </property>
  <property fmtid="{D5CDD505-2E9C-101B-9397-08002B2CF9AE}" pid="50" name="PSAKDIN">
    <vt:lpwstr>פסק-דין</vt:lpwstr>
  </property>
  <property fmtid="{D5CDD505-2E9C-101B-9397-08002B2CF9AE}" pid="51" name="TYPE">
    <vt:lpwstr>1</vt:lpwstr>
  </property>
  <property fmtid="{D5CDD505-2E9C-101B-9397-08002B2CF9AE}" pid="52" name="TYPE_ABS_DATE">
    <vt:lpwstr>410120221024</vt:lpwstr>
  </property>
  <property fmtid="{D5CDD505-2E9C-101B-9397-08002B2CF9AE}" pid="53" name="TYPE_N_DATE">
    <vt:lpwstr>41020221024</vt:lpwstr>
  </property>
  <property fmtid="{D5CDD505-2E9C-101B-9397-08002B2CF9AE}" pid="54" name="WORDNUMPAGES">
    <vt:lpwstr>22</vt:lpwstr>
  </property>
</Properties>
</file>