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2301/20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27.02.2020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23413-11-17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23.09.2020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דביר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 החמיר בעונש שהוטל על קצין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שמסר את נשקו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בשלוש הזדמנויות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בעת שידע כי בכוונתו של אותו אדם לעשות בו שימוש שלא כדין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שאכן ארע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יש להטיל על המשיב עונש מאסר בפועל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זאת לתקופה ארוכה יותר מעבודות השירות שהשית עליו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נוכח חומרת המעשים וחומרת העבירות ומדיניות ההחמרה הנדרשת בענישה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קולת העונש שהוטל על המשיב בגז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נדון המשיב לשישה חודשי מאסר בעבודות שירות ושישה 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 וזאת בעקבות הרשעת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ניהול הליך 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בשלושה אישומים שונים בעבירת סיוע לעבירות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נשיאה והובלה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קצין בצה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 את נשקו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לקרוב משפחתו בשלוש הזדמנויות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ממצאי 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בעת מסירת הנשק המשיב ידע כי בכוונתו של אותו אדם לעשות בו שימוש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האחרון אכן ירה בנשקו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במסגרת קטטה והן במסגרת סכסוך 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גרם נזק לרכוש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להלכה הפסוקה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למצות את הדין עם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היא נוהגת להתערב בחומרת העונש שנגזר עליו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בהן גזר הדין מגלה סטייה מהותית ובולטת או חריגה קיצונית מהענישה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המשיב נמנה על מקרים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בשל קולת העונש שנגזר עליו ביחס לחומרת המעשים וחומרת העבירות בהן הורשע ומדיניות ההחמרה הנדרשת בענישה בעבירות נשק שציין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אך לאחרונה ב</w:t>
      </w:r>
      <w:hyperlink r:id="rId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4406/19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העבירות בהן הורשע המשיב ומדיניות ההחמרה האמורה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משקל יתר לנסיבותיו האישיות של המשיב ובפרט לתרומתו לביטחון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שהמשיב שירת כקצין בצה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אינה עומדת רק לזכותו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לחובתו בהקשר של העבירות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בשלוש הזדמנויות שונות נתן המשיב את נשקו האישי אותו נשא במסגרת תפקידו הצבאי לקרוב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נקבע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בהכרעת דין מפורטת ומנומקת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ידע לשם מה עתיד הנשק לשמש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מעל המשיב באמון שניתן לו במסגרת תפקידו בצה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יש לציין כי נציגת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הטעימה כי ההתרשמות מהמשיב גם כיום היא כי הוא אינו נוטל אחריות על מעשיו וכי הוא נמנע מהפקת לקחים אשר מצופה ממנו לעשות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גם בהינתן אפוא מלוא הנסיבות לקולא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זקף לזכותו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להימנע מהטלת מאסר בפועל על המשיב אשר ביצע כאמור עבירות נשק בנסיבות לא פשוטות כלל וכלל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 כאמור ענישה מחמירה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רגילות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שהיה ראוי להטיל במקרה זה עומד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כפי שטענה המערערת בין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לבין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בנסיבותיו האישיות המורכבות של המשיב ומשפחתו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ההלכה לפיה ערכאת הערעור אינה נוטה למצות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למצות את הדין עם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 הועמד עונשו על מאסר בפועל של תשעה 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27.2.2020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23413-11-17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בו נדון המשיב לשישה חודשי מאסר בעבודות שירות ושישה חודשי 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 למשך שלוש שנים שלא יעבור כל עבירת פשע הקשורה בנשק חם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הורשע</w:t>
      </w:r>
      <w:r>
        <w:rPr>
          <w:rtl w:val="true"/>
        </w:rPr>
        <w:t xml:space="preserve">, </w:t>
      </w:r>
      <w:r>
        <w:rPr>
          <w:rtl w:val="true"/>
        </w:rPr>
        <w:t>לאחר ניהול הליך הוכחות</w:t>
      </w:r>
      <w:r>
        <w:rPr>
          <w:rtl w:val="true"/>
        </w:rPr>
        <w:t xml:space="preserve">, </w:t>
      </w:r>
      <w:r>
        <w:rPr>
          <w:rtl w:val="true"/>
        </w:rPr>
        <w:t xml:space="preserve">בשלושה אישומים שונים בעבירת סיוע לעבירות בנשק </w:t>
      </w:r>
      <w:r>
        <w:rPr>
          <w:rtl w:val="true"/>
        </w:rPr>
        <w:t>(</w:t>
      </w:r>
      <w:r>
        <w:rPr>
          <w:rtl w:val="true"/>
        </w:rPr>
        <w:t>נשיאה והובלה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קצין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מסר את נשקו האישי</w:t>
      </w:r>
      <w:r>
        <w:rPr>
          <w:rtl w:val="true"/>
        </w:rPr>
        <w:t xml:space="preserve">, </w:t>
      </w:r>
      <w:r>
        <w:rPr>
          <w:rtl w:val="true"/>
        </w:rPr>
        <w:t xml:space="preserve">רובה סער מסוג </w:t>
      </w:r>
      <w:r>
        <w:rPr>
          <w:szCs w:val="24"/>
        </w:rPr>
        <w:t>M-16</w:t>
      </w:r>
      <w:r>
        <w:rPr>
          <w:rtl w:val="true"/>
        </w:rPr>
        <w:t xml:space="preserve">, </w:t>
      </w:r>
      <w:r>
        <w:rPr>
          <w:rtl w:val="true"/>
        </w:rPr>
        <w:t xml:space="preserve">לקרוב משפחתו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tl w:val="true"/>
        </w:rPr>
        <w:t xml:space="preserve">) </w:t>
      </w:r>
      <w:r>
        <w:rPr>
          <w:sz w:val="22"/>
          <w:sz w:val="22"/>
          <w:rtl w:val="true"/>
        </w:rPr>
        <w:t>בשלוש</w:t>
      </w:r>
      <w:r>
        <w:rPr>
          <w:rtl w:val="true"/>
        </w:rPr>
        <w:t xml:space="preserve"> הזדמנויות שונות</w:t>
      </w:r>
      <w:r>
        <w:rPr>
          <w:rtl w:val="true"/>
        </w:rPr>
        <w:t xml:space="preserve">, </w:t>
      </w:r>
      <w:r>
        <w:rPr>
          <w:rtl w:val="true"/>
        </w:rPr>
        <w:t>בעת שהוא ידע כי בכוונתו של עלי לעשות בו שימוש שלא כדין</w:t>
      </w:r>
      <w:r>
        <w:rPr>
          <w:rtl w:val="true"/>
        </w:rPr>
        <w:t xml:space="preserve">. </w:t>
      </w:r>
      <w:r>
        <w:rPr>
          <w:rtl w:val="true"/>
        </w:rPr>
        <w:t>עלי אכן ירה בנשקו של המשיב</w:t>
      </w:r>
      <w:r>
        <w:rPr>
          <w:rtl w:val="true"/>
        </w:rPr>
        <w:t xml:space="preserve">, </w:t>
      </w:r>
      <w:r>
        <w:rPr>
          <w:rtl w:val="true"/>
        </w:rPr>
        <w:t>הן במסגרת קטטה והן במסגרת סכסוך משפחתי</w:t>
      </w:r>
      <w:r>
        <w:rPr>
          <w:rtl w:val="true"/>
        </w:rPr>
        <w:t xml:space="preserve">, </w:t>
      </w:r>
      <w:r>
        <w:rPr>
          <w:rtl w:val="true"/>
        </w:rPr>
        <w:t>ואף גרם נזק לרכוש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המחלוק</w:t>
      </w:r>
      <w:r>
        <w:rPr>
          <w:sz w:val="22"/>
          <w:sz w:val="22"/>
          <w:rtl w:val="true"/>
        </w:rPr>
        <w:t>ת בבית המשפט המחוזי הייתה האם ידע המשיב בעת שמסר לעלי את הנשק כי עלי יעשה בו שימוש שלא כדין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המשיב טען שמסר את הנשק לעלי על מנת שזה יאחסנו בביתו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בהכרעת הדין שניתנה ביום </w:t>
      </w:r>
      <w:r>
        <w:rPr>
          <w:sz w:val="22"/>
        </w:rPr>
        <w:t>8.7.2019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דחה בית המשפט גרסה זו מכל ומכל תוך שציין כי המערערת הוכיחה מעל כל ספק סביר את המיוחס למשיב ובכלל זה את ידיעתו בדבר השימוש שלא כדין שיעשה עלי 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גרסאותיו של המשיב נמצאו בלתי מהימנות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חסרות היגיון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שקריות ומתפתלות כאשר בית המשפט הבהיר כי התרשם 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אופיו הערמומי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המתחכם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המיתמם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 המשיב</w:t>
      </w:r>
      <w:r>
        <w:rPr>
          <w:sz w:val="22"/>
          <w:rtl w:val="true"/>
        </w:rPr>
        <w:t>, "</w:t>
      </w:r>
      <w:r>
        <w:rPr>
          <w:sz w:val="22"/>
          <w:sz w:val="22"/>
          <w:rtl w:val="true"/>
        </w:rPr>
        <w:t xml:space="preserve">עת השתמש רבות בצמד המילים 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לא זוכר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כאשר לא ידע ליתן הסברים לגרסאותיו השקריות והתמוהות</w:t>
      </w:r>
      <w:r>
        <w:rPr>
          <w:sz w:val="22"/>
          <w:rtl w:val="true"/>
        </w:rPr>
        <w:t xml:space="preserve">...". </w:t>
      </w:r>
    </w:p>
    <w:p>
      <w:pPr>
        <w:pStyle w:val="Ruller4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 מתן גזר הדין הוגש תסקיר שירות מבחן בעניינו של המשיב</w:t>
      </w:r>
      <w:r>
        <w:rPr>
          <w:rtl w:val="true"/>
        </w:rPr>
        <w:t xml:space="preserve">, </w:t>
      </w:r>
      <w:r>
        <w:rPr>
          <w:rtl w:val="true"/>
        </w:rPr>
        <w:t>במסגרתו התרשם שירות המבחן כי המשיב אינו מקבל אחריות על התנהגותו ומכחיש את חלקו בביצוע העבירות</w:t>
      </w:r>
      <w:r>
        <w:rPr>
          <w:rtl w:val="true"/>
        </w:rPr>
        <w:t xml:space="preserve">. </w:t>
      </w:r>
      <w:r>
        <w:rPr>
          <w:rtl w:val="true"/>
        </w:rPr>
        <w:t>עוד התרשם שירות המבחן כי המשיב מתקשה לבחון את התנהלותו</w:t>
      </w:r>
      <w:r>
        <w:rPr>
          <w:rtl w:val="true"/>
        </w:rPr>
        <w:t xml:space="preserve">, </w:t>
      </w:r>
      <w:r>
        <w:rPr>
          <w:rtl w:val="true"/>
        </w:rPr>
        <w:t>נוטה להשליך את האחריות על שותפיו לביצוע העבירות וחווה את עצמו כקרבן של מערכת אכיפת החוק</w:t>
      </w:r>
      <w:r>
        <w:rPr>
          <w:rtl w:val="true"/>
        </w:rPr>
        <w:t xml:space="preserve">. </w:t>
      </w:r>
      <w:r>
        <w:rPr>
          <w:rtl w:val="true"/>
        </w:rPr>
        <w:t>לאור התרשמות זו</w:t>
      </w:r>
      <w:r>
        <w:rPr>
          <w:rtl w:val="true"/>
        </w:rPr>
        <w:t xml:space="preserve">, </w:t>
      </w:r>
      <w:r>
        <w:rPr>
          <w:rtl w:val="true"/>
        </w:rPr>
        <w:t>שירות המבחן סבר כי לא ניתן להעריך את הסיכון להישנות מעשים פורצי גבולות בעתיד מצדו של המשיב ונמנע מהמלצה טיפולית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הטיעונים לעונש עתרה המערערת למתחם עונש שנע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וביקשה לגזור על המשיב עונש בחלק העליון של השליש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27.1.2020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, </w:t>
      </w:r>
      <w:r>
        <w:rPr>
          <w:rtl w:val="true"/>
        </w:rPr>
        <w:t>במסגרתו עמד בית המשפט המחוזי על חומרת העבירות בהן הורשע המשיב</w:t>
      </w:r>
      <w:r>
        <w:rPr>
          <w:rtl w:val="true"/>
        </w:rPr>
        <w:t xml:space="preserve">, </w:t>
      </w:r>
      <w:r>
        <w:rPr>
          <w:rtl w:val="true"/>
        </w:rPr>
        <w:t>שפוטנציאל הסיכון בהן הוא רב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בנסיבות העניין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בגילו של המשיב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1994</w:t>
      </w:r>
      <w:r>
        <w:rPr>
          <w:rtl w:val="true"/>
        </w:rPr>
        <w:t xml:space="preserve">), </w:t>
      </w:r>
      <w:r>
        <w:rPr>
          <w:rtl w:val="true"/>
        </w:rPr>
        <w:t>בהיעדר עבר פלילי</w:t>
      </w:r>
      <w:r>
        <w:rPr>
          <w:rtl w:val="true"/>
        </w:rPr>
        <w:t xml:space="preserve">, </w:t>
      </w:r>
      <w:r>
        <w:rPr>
          <w:rtl w:val="true"/>
        </w:rPr>
        <w:t>בנסיבותיו האישיות</w:t>
      </w:r>
      <w:r>
        <w:rPr>
          <w:rtl w:val="true"/>
        </w:rPr>
        <w:t xml:space="preserve">, </w:t>
      </w:r>
      <w:r>
        <w:rPr>
          <w:rtl w:val="true"/>
        </w:rPr>
        <w:t>בתרומתו למדינה בתקופה בה שימש כקצין בצה</w:t>
      </w:r>
      <w:r>
        <w:rPr>
          <w:rtl w:val="true"/>
        </w:rPr>
        <w:t>"</w:t>
      </w:r>
      <w:r>
        <w:rPr>
          <w:rtl w:val="true"/>
        </w:rPr>
        <w:t>ל וכן בעונשים שנגזרו על שותפיו</w:t>
      </w:r>
      <w:r>
        <w:rPr>
          <w:rtl w:val="true"/>
        </w:rPr>
        <w:t xml:space="preserve">, </w:t>
      </w:r>
      <w:r>
        <w:rPr>
          <w:rtl w:val="true"/>
        </w:rPr>
        <w:t>העמיד בית המשפט את עונשו של המשיב על שישה חודשי מאסר בדרך של ביצוע עבודות שירות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שלפנינו טוענת המערערת כי מתחם העונש שקבע בית המשפט המחוזי שגוי וחוטא לעיקרון ההלימה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מתחם העונש ההולם הוא המתחם שהציגה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או קרוב לכך</w:t>
      </w:r>
      <w:r>
        <w:rPr>
          <w:rtl w:val="true"/>
        </w:rPr>
        <w:t xml:space="preserve">. </w:t>
      </w:r>
      <w:r>
        <w:rPr>
          <w:rtl w:val="true"/>
        </w:rPr>
        <w:t>המערערת עמדה על כך שהמשיב אמנם הורשע בעבירות של סיוע לעבירות של החזקה ונשיאת נשק</w:t>
      </w:r>
      <w:r>
        <w:rPr>
          <w:rtl w:val="true"/>
        </w:rPr>
        <w:t xml:space="preserve">, </w:t>
      </w:r>
      <w:r>
        <w:rPr>
          <w:rtl w:val="true"/>
        </w:rPr>
        <w:t>אך הוא עשה כן בשלוש הזדמנויות שונות</w:t>
      </w:r>
      <w:r>
        <w:rPr>
          <w:rtl w:val="true"/>
        </w:rPr>
        <w:t xml:space="preserve">; </w:t>
      </w:r>
      <w:r>
        <w:rPr>
          <w:rtl w:val="true"/>
        </w:rPr>
        <w:t>הנשק אותו מסר לעלי היה נשק שהופקד בידיו על ידי המדינה מכוח שירותו כקצין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הנשק שנמסר לידי עלי היה נשק שהסיכון הנשקף ממנו הוא ברף הגבוה</w:t>
      </w:r>
      <w:r>
        <w:rPr>
          <w:rtl w:val="true"/>
        </w:rPr>
        <w:t xml:space="preserve">; </w:t>
      </w:r>
      <w:r>
        <w:rPr>
          <w:rtl w:val="true"/>
        </w:rPr>
        <w:t>בוצע ירי מהנשק במסגרת סכסוך וקטטה ואך במזל נגרם נזק לרכוש בלבד ולא לנפש</w:t>
      </w:r>
      <w:r>
        <w:rPr>
          <w:rtl w:val="true"/>
        </w:rPr>
        <w:t xml:space="preserve">. </w:t>
      </w:r>
      <w:r>
        <w:rPr>
          <w:rtl w:val="true"/>
        </w:rPr>
        <w:t>גם בכל הנוגע למיקום העונש בתוך מתחם העונש שגה בית המשפט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אמנם עומדת לזכותו של המשיב העובדה שאין לו הרשעות קודמות</w:t>
      </w:r>
      <w:r>
        <w:rPr>
          <w:rtl w:val="true"/>
        </w:rPr>
        <w:t xml:space="preserve">, </w:t>
      </w:r>
      <w:r>
        <w:rPr>
          <w:rtl w:val="true"/>
        </w:rPr>
        <w:t>אך מנגד לא ניתן לזקוף לזכותו נטילת אחריות והכאה על חטא</w:t>
      </w:r>
      <w:r>
        <w:rPr>
          <w:rtl w:val="true"/>
        </w:rPr>
        <w:t xml:space="preserve">. </w:t>
      </w:r>
      <w:r>
        <w:rPr>
          <w:rtl w:val="true"/>
        </w:rPr>
        <w:t>גם שירות המבחן קבע כי לא ניתן לשלול סיכון להישנות מעשים פורצי גבולות מצד המשיב בעתיד ונמנע מהמלצה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אף העונשים שנגזרו על שותפיו של המשיב אינם מצדיקים את קולת העונש שהוטל עליו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אחד הנאשמים נדון במסגרת הסדר טיעון לעונש מאסר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ואילו עלי נדון לעונש מאסר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המשיב טען בדיון לפנינו כי מלבד עבודות השירות שהוטלו על המשיב הוא שילם מחירים נוספים</w:t>
      </w:r>
      <w:r>
        <w:rPr>
          <w:rtl w:val="true"/>
        </w:rPr>
        <w:t xml:space="preserve">, </w:t>
      </w:r>
      <w:r>
        <w:rPr>
          <w:rtl w:val="true"/>
        </w:rPr>
        <w:t>כדוגמת סיום שירותו הצבאי</w:t>
      </w:r>
      <w:r>
        <w:rPr>
          <w:rtl w:val="true"/>
        </w:rPr>
        <w:t xml:space="preserve">, </w:t>
      </w:r>
      <w:r>
        <w:rPr>
          <w:rtl w:val="true"/>
        </w:rPr>
        <w:t>בו קיווה להמשיך</w:t>
      </w:r>
      <w:r>
        <w:rPr>
          <w:rtl w:val="true"/>
        </w:rPr>
        <w:t xml:space="preserve">. </w:t>
      </w:r>
      <w:r>
        <w:rPr>
          <w:rtl w:val="true"/>
        </w:rPr>
        <w:t>עוד ציין כי המשיב עלה על דרך הישר</w:t>
      </w:r>
      <w:r>
        <w:rPr>
          <w:rtl w:val="true"/>
        </w:rPr>
        <w:t xml:space="preserve">, </w:t>
      </w:r>
      <w:r>
        <w:rPr>
          <w:rtl w:val="true"/>
        </w:rPr>
        <w:t>עובד בעבודה מסודרת ומבקש לשוב ולתרום לחברה</w:t>
      </w:r>
      <w:r>
        <w:rPr>
          <w:rtl w:val="true"/>
        </w:rPr>
        <w:t xml:space="preserve">, </w:t>
      </w:r>
      <w:r>
        <w:rPr>
          <w:rtl w:val="true"/>
        </w:rPr>
        <w:t>כולל שירות פעיל במילואים</w:t>
      </w:r>
      <w:r>
        <w:rPr>
          <w:rtl w:val="true"/>
        </w:rPr>
        <w:t xml:space="preserve">. </w:t>
      </w:r>
      <w:r>
        <w:rPr>
          <w:rtl w:val="true"/>
        </w:rPr>
        <w:t>מצב משפחתו בכי רע</w:t>
      </w:r>
      <w:r>
        <w:rPr>
          <w:rtl w:val="true"/>
        </w:rPr>
        <w:t xml:space="preserve">. </w:t>
      </w:r>
      <w:r>
        <w:rPr>
          <w:rtl w:val="true"/>
        </w:rPr>
        <w:t>אביו חולה והוא מפרנס את המשפחה</w:t>
      </w:r>
      <w:r>
        <w:rPr>
          <w:rtl w:val="true"/>
        </w:rPr>
        <w:t xml:space="preserve">. </w:t>
      </w:r>
      <w:r>
        <w:rPr>
          <w:rtl w:val="true"/>
        </w:rPr>
        <w:t>הטלת מאסר בפועל לא תשרת כל תכלית</w:t>
      </w:r>
      <w:r>
        <w:rPr>
          <w:rtl w:val="true"/>
        </w:rPr>
        <w:t xml:space="preserve">, </w:t>
      </w:r>
      <w:r>
        <w:rPr>
          <w:rtl w:val="true"/>
        </w:rPr>
        <w:t>בפרט כאשר המשיב שהה כבר תקופה לא מבוטלת במעצר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מאסר בפועל יסכל את השתלבותו בעתיד לבוא של המשיב באפיקי למידה ותעסוקה ההולמים את יכולותיו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בערעור ושמיעת טיעוני הצדדים בדיון שלפנינו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לקבל את הערעור ולהטיל על המשיב עונש מאסר בפועל ממש</w:t>
      </w:r>
      <w:r>
        <w:rPr>
          <w:rtl w:val="true"/>
        </w:rPr>
        <w:t xml:space="preserve">, </w:t>
      </w:r>
      <w:r>
        <w:rPr>
          <w:rtl w:val="true"/>
        </w:rPr>
        <w:t>וגם זאת לתקופה ארוכה יותר מעבודות השירות שהשית עליו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בהתאם להלכה הפסוקה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 למצות את הדין עם נאשם</w:t>
      </w:r>
      <w:r>
        <w:rPr>
          <w:rtl w:val="true"/>
        </w:rPr>
        <w:t xml:space="preserve">, </w:t>
      </w:r>
      <w:r>
        <w:rPr>
          <w:rtl w:val="true"/>
        </w:rPr>
        <w:t>ואין היא נוהגת להתערב בחומרת העונש שנגזר עליו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בהן גזר הדין מגלה סטייה מהותית ובולטת או חריגה קיצונית מהענישה המקובלת במקרים דומים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19.3.2020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עניינו של המשיב נמנה על המקרים בהם מוצדקת התערבותנו כערכאת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בשל קולת העונש שנגזר עליו ביחס לחומרת המעשים וחומרת העבירות בהן הורשע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חומרתן של עבירות נשק ומדיניות הענישה הנוהגת ביחס אליהן עמד בית משפט זה לאחרונה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4406/19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16-15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5.11.2019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כדלקמן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', </w:t>
      </w:r>
      <w:r>
        <w:rPr>
          <w:rtl w:val="true"/>
        </w:rPr>
        <w:t>ולתת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נוכח העבירות בהן הורשע המשיב ומדיניות ההחמרה האמורה בעבירות נשק</w:t>
      </w:r>
      <w:r>
        <w:rPr>
          <w:rtl w:val="true"/>
        </w:rPr>
        <w:t xml:space="preserve">, </w:t>
      </w:r>
      <w:r>
        <w:rPr>
          <w:rtl w:val="true"/>
        </w:rPr>
        <w:t>נתן בית המשפט המחוזי משקל יתר לנסיבותיו האישיות של המשיב ובפרט לתרומתו לביטחון המדינה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העובדה שהמשיב שירת כקצין בצה</w:t>
      </w:r>
      <w:r>
        <w:rPr>
          <w:rtl w:val="true"/>
        </w:rPr>
        <w:t>"</w:t>
      </w:r>
      <w:r>
        <w:rPr>
          <w:rtl w:val="true"/>
        </w:rPr>
        <w:t>ל אינה עומדת רק לזכותו</w:t>
      </w:r>
      <w:r>
        <w:rPr>
          <w:rtl w:val="true"/>
        </w:rPr>
        <w:t xml:space="preserve">, </w:t>
      </w:r>
      <w:r>
        <w:rPr>
          <w:rtl w:val="true"/>
        </w:rPr>
        <w:t>אלא גם לחובתו בהקשר של העבירות בהן הורשע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בשלוש הזדמנויות שונות נתן המשיב את נשקו האישי אותו נשא במסגרת תפקידו הצבאי לעלי</w:t>
      </w:r>
      <w:r>
        <w:rPr>
          <w:rtl w:val="true"/>
        </w:rPr>
        <w:t xml:space="preserve">, </w:t>
      </w:r>
      <w:r>
        <w:rPr>
          <w:rtl w:val="true"/>
        </w:rPr>
        <w:t>כאשר נקבע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בהכרעת דין מפורטת ומנומקת</w:t>
      </w:r>
      <w:r>
        <w:rPr>
          <w:rtl w:val="true"/>
        </w:rPr>
        <w:t xml:space="preserve">, </w:t>
      </w:r>
      <w:r>
        <w:rPr>
          <w:rtl w:val="true"/>
        </w:rPr>
        <w:t>כי ידע לשם מה עתיד הנשק לשמש</w:t>
      </w:r>
      <w:r>
        <w:rPr>
          <w:rtl w:val="true"/>
        </w:rPr>
        <w:t xml:space="preserve">. </w:t>
      </w:r>
      <w:r>
        <w:rPr>
          <w:rtl w:val="true"/>
        </w:rPr>
        <w:t>בכך מעל המשיב באמון שניתן לו במסגרת תפקידו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הטעימה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בהינתן אפוא מלוא הנסיבות לקולא שבית המשפט המחוזי זקף לזכותו של המשיב</w:t>
      </w:r>
      <w:r>
        <w:rPr>
          <w:rtl w:val="true"/>
        </w:rPr>
        <w:t xml:space="preserve">, </w:t>
      </w:r>
      <w:r>
        <w:rPr>
          <w:rtl w:val="true"/>
        </w:rPr>
        <w:t>לא ניתן להימנע מהטלת מאסר בפועל על המשיב אשר ביצע כאמור עבירות נשק בנסיבות לא פשוטות כלל וכלל</w:t>
      </w:r>
      <w:r>
        <w:rPr>
          <w:rtl w:val="true"/>
        </w:rPr>
        <w:t xml:space="preserve">, </w:t>
      </w:r>
      <w:r>
        <w:rPr>
          <w:rtl w:val="true"/>
        </w:rPr>
        <w:t>המצדיקות כאמור ענישה מחמירה ומרתיעה</w:t>
      </w:r>
      <w:r>
        <w:rPr>
          <w:rtl w:val="true"/>
        </w:rPr>
        <w:t xml:space="preserve">. </w:t>
      </w:r>
      <w:r>
        <w:rPr>
          <w:rtl w:val="true"/>
        </w:rPr>
        <w:t>בנסיבות רגילות</w:t>
      </w:r>
      <w:r>
        <w:rPr>
          <w:rtl w:val="true"/>
        </w:rPr>
        <w:t xml:space="preserve">, </w:t>
      </w:r>
      <w:r>
        <w:rPr>
          <w:rtl w:val="true"/>
        </w:rPr>
        <w:t>העונש שהיה ראוי להטיל במקרה זה עומד</w:t>
      </w:r>
      <w:r>
        <w:rPr>
          <w:rtl w:val="true"/>
        </w:rPr>
        <w:t xml:space="preserve">, </w:t>
      </w:r>
      <w:r>
        <w:rPr>
          <w:rtl w:val="true"/>
        </w:rPr>
        <w:t xml:space="preserve">כפי שטענה המערערת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לבין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בהתחשב בנסיבותיו האישיות המורכבות של המשיב ומשפחתו</w:t>
      </w:r>
      <w:r>
        <w:rPr>
          <w:rtl w:val="true"/>
        </w:rPr>
        <w:t xml:space="preserve">, </w:t>
      </w:r>
      <w:r>
        <w:rPr>
          <w:rtl w:val="true"/>
        </w:rPr>
        <w:t>ונוכח ההלכה לפיה ערכאת הערעור אינה נוטה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 מקום למצות את הדין עם המשיב</w:t>
      </w:r>
      <w:r>
        <w:rPr>
          <w:rtl w:val="true"/>
        </w:rPr>
        <w:t xml:space="preserve">. </w:t>
      </w:r>
      <w:r>
        <w:rPr>
          <w:rtl w:val="true"/>
        </w:rPr>
        <w:t>על כן נעמיד את עונשו על מאסר בפועל של תשעה 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25.10.2020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זרזיר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, </w:t>
      </w:r>
      <w:r>
        <w:rPr>
          <w:rtl w:val="true"/>
        </w:rPr>
        <w:t>ומשמש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"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24.9.2020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20023010</w:t>
      </w:r>
      <w:r>
        <w:rPr>
          <w:sz w:val="16"/>
          <w:rtl w:val="true"/>
        </w:rPr>
        <w:t>_</w:t>
      </w:r>
      <w:r>
        <w:rPr>
          <w:sz w:val="16"/>
        </w:rPr>
        <w:t>N08.docx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54678313-2301/20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2301/20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54876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case/25824863" TargetMode="External"/><Relationship Id="rId6" Type="http://schemas.openxmlformats.org/officeDocument/2006/relationships/hyperlink" Target="http://www.nevo.co.il/case/23254876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6489414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supreme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2020-09-30T09:09:00Z</dcterms:created>
  <dc:creator>h4</dc:creator>
  <dc:description/>
  <cp:keywords/>
  <dc:language>en-IL</dc:language>
  <cp:lastModifiedBy>orly</cp:lastModifiedBy>
  <cp:lastPrinted>2020-09-24T19:22:00Z</cp:lastPrinted>
  <dcterms:modified xsi:type="dcterms:W3CDTF">2020-09-30T09:09:00Z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23254876:2;26489414;25824863</vt:lpwstr>
  </property>
  <property fmtid="{D5CDD505-2E9C-101B-9397-08002B2CF9AE}" pid="9" name="CITY">
    <vt:lpwstr/>
  </property>
  <property fmtid="{D5CDD505-2E9C-101B-9397-08002B2CF9AE}" pid="10" name="DATE">
    <vt:lpwstr>20200924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ארז;ד' מינץ</vt:lpwstr>
  </property>
  <property fmtid="{D5CDD505-2E9C-101B-9397-08002B2CF9AE}" pid="14" name="LAWLISTTMP1">
    <vt:lpwstr>70301/144</vt:lpwstr>
  </property>
  <property fmtid="{D5CDD505-2E9C-101B-9397-08002B2CF9AE}" pid="15" name="LAWYER">
    <vt:lpwstr>גיל דביר;קרן רוט;ברכה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</vt:lpwstr>
  </property>
  <property fmtid="{D5CDD505-2E9C-101B-9397-08002B2CF9AE}" pid="59" name="PADIDATE">
    <vt:lpwstr>20200930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2301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410120200924</vt:lpwstr>
  </property>
  <property fmtid="{D5CDD505-2E9C-101B-9397-08002B2CF9AE}" pid="69" name="TYPE_N_DATE">
    <vt:lpwstr>41020200924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