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2309/22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יבגני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קוד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יאבצב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39182-06-21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פרדמן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אייל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עקרון ההלימה בקביעת מתחם העונש ההולם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Start w:id="15" w:name="_Hlk110841677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שביצע המערער הן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שאף אם לא גרמו לקטין לפגיעה פיזית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גרמו לו להשפלה ולפגיעה נפשית שאינה פחות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בתקופה קצרה יחסית בהן בוצעו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בקטין אחד ובמקרים שאינם עומדים על הרף הגבוה של העבירות בהן הורשע המערער – וזאת בהשוואה למקרים אחרים שתוארו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הדין יש להשוות את המעשים שבוצעו למעשים אחרים ולעונשים שנגזרו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בתי המשפט לגביהם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שתיווצר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היררכיה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חומרת המעשים לעונשים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 להפחית בעונש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התעללות בקטין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בו נגזרו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והופעל מאסר על תנאי 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מתוכם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 ירצה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נגזרו על המערער מאסר תנאי וקנס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עונשים אלו נגזרו על המערער בגין הרשעתו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של התעללות בקטין או בחסר ישע ותקיפת קטין במספר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כלפי קטין בן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שהתגורר עמו בדירה ביחד עם אמו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ספק כי העבירות שביצע המערער הן 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שאף אם לא גרמו לקטין לפגיעה פיזית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ודאי גרמו לו להשפלה ולפגיעה נפשית שאיננה פחות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פגיעות כאלה עשויות להותיר צלקות ארוכות טווח שאף אם אין להן ביטוי חיצוני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להן השפעה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 – בניגוד לטענת המערער לפיה מדובר במקרים בודדים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כפי שעולה מכתב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מפורטים בו כלל המקרים בהם המערער הכה את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והיו מקרים נוספים כאלה בתקופת האישום שלא פורטו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בתקופה קצרה יחסית בהן בוצעו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בקטין אחד ובמקרים שאינם עומדים על הרף הגבוה של העבירות בהן הורשע המערער – וזאת בהשוואה למקרים אחרים שתוארו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בפסיקה מעלה כי בתי המשפט פסקו במקרים דומים ולעיתים אף חמורים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עונשים שבחלקם הם חמורים פחות מהעונש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במקרים רבים הוטלו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18-12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 יש להביא בחשבון לחובת המערער את עברו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את תסקיר שירות המבחן ואת העולה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טען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המשיבה כי בתסקיר מבחן קודם שנערך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הוא בעל דפוסים תוקפניים ואימפולסיביים והוא אינו עובר טיפול מתאים להתמודדות עמם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 הדין יש להשוות את המעשים שביצע המערער למעשים אחרים ולעונשים שנגזרו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בתי המשפט לגביהם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שתיווצר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היררכיה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חומרת המעשים לבין העונשים שנגזרים בגינם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המכלול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הוחלט לגזור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יופעל כנגד המערער עונש המאסר על תנאי שנגזר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מתוך התקופה האמורה ירצה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ירצה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תקופת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נמצא לבטל את הקנס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לא ראה לנכון לחייב את המערער לשלם פיצוי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מקום להוסיף על העונש שנגזר על המערער גם קנס כספי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צפריר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15.2.2022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39182-06-21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קודריאבצב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textAlignment w:val="auto"/>
        <w:rPr/>
      </w:pP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"/>
        <w:ind w:start="36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textAlignment w:val="auto"/>
        <w:rPr/>
      </w:pP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40192-11-15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קו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ascii="Miriam" w:hAnsi="Miriam" w:cs="Miriam"/>
          <w:sz w:val="24"/>
          <w:sz w:val="24"/>
          <w:szCs w:val="24"/>
          <w:rtl w:val="true"/>
        </w:rPr>
        <w:t>ריאבצב ואח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30.7.2019</w:t>
      </w:r>
      <w:r>
        <w:rPr>
          <w:rtl w:val="true"/>
        </w:rPr>
        <w:t xml:space="preserve">)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textAlignment w:val="auto"/>
        <w:rPr/>
      </w:pP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ויורשע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360" w:start="720" w:end="0"/>
        <w:jc w:val="both"/>
        <w:textAlignment w:val="auto"/>
        <w:rPr/>
      </w:pP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8.6.2021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5.6.21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כשאמו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6.6.21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, </w:t>
      </w:r>
      <w:r>
        <w:rPr>
          <w:rtl w:val="true"/>
        </w:rPr>
        <w:t>כינה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8.6.21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יבגני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". </w:t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להתקלח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start="720" w:end="0"/>
        <w:jc w:val="both"/>
        <w:textAlignment w:val="auto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textAlignment w:val="auto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המדגימים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/>
        <w:t>35-15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בריאותי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28.7.2022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.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ולהפחיתו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4303/06</w:t>
        </w:r>
      </w:hyperlink>
      <w:r>
        <w:rPr>
          <w:rtl w:val="true"/>
        </w:rPr>
        <w:t xml:space="preserve">  </w:t>
      </w:r>
      <w:r>
        <w:rPr>
          <w:rFonts w:ascii="Miriam" w:hAnsi="Miriam" w:cs="Miriam"/>
          <w:sz w:val="24"/>
          <w:sz w:val="24"/>
          <w:szCs w:val="24"/>
          <w:rtl w:val="true"/>
        </w:rPr>
        <w:t>טויטמן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5.10.2006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4628/06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באלי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5.10.2006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18.1.2010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4302/18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בוקשטיין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21.9.2019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8869-11-19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כהן ואח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5.5.2021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5986/08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כחלון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10.11.2008</w:t>
      </w:r>
      <w:r>
        <w:rPr>
          <w:rtl w:val="true"/>
        </w:rPr>
        <w:t xml:space="preserve">),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5107/18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קייס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16.1.2019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40056/05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גוריאצקין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25.5.2006</w:t>
      </w:r>
      <w:r>
        <w:rPr>
          <w:rtl w:val="true"/>
        </w:rPr>
        <w:t xml:space="preserve">)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ואימפולסיביים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היררכיה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סעד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ופס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גברזגיי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גובראן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15.1.2014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ניסים דבוש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3.4.2014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8144/13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10.3.2015</w:t>
      </w:r>
      <w:r>
        <w:rPr>
          <w:rtl w:val="true"/>
        </w:rPr>
        <w:t xml:space="preserve">); 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121/16</w:t>
      </w:r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5006/21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6.1.2022</w:t>
      </w:r>
      <w:r>
        <w:rPr>
          <w:rtl w:val="true"/>
        </w:rPr>
        <w:t>);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אורן</w:t>
      </w:r>
      <w:r>
        <w:rPr>
          <w:rFonts w:ascii="FrankRuehl" w:hAnsi="FrankRuehl"/>
          <w:rtl w:val="true"/>
        </w:rPr>
        <w:t xml:space="preserve"> גזל</w:t>
      </w:r>
      <w:r>
        <w:rPr>
          <w:rFonts w:cs="FrankRuehl" w:ascii="FrankRuehl" w:hAnsi="FrankRuehl"/>
          <w:rtl w:val="true"/>
        </w:rPr>
        <w:t>-</w:t>
      </w:r>
      <w:hyperlink r:id="rId26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אייל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מתחמים לא הולמים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על </w:t>
        </w:r>
      </w:hyperlink>
      <w:r>
        <w:rPr>
          <w:rFonts w:ascii="FrankRuehl" w:hAnsi="FrankRuehl"/>
          <w:rtl w:val="true"/>
        </w:rPr>
        <w:t xml:space="preserve"> עקרון ההלימה בקביעת מתחם העונש ההולם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אתר</w:t>
      </w:r>
      <w:r>
        <w:rPr>
          <w:rFonts w:ascii="Century" w:hAnsi="Century" w:cs="Century"/>
          <w:rtl w:val="true"/>
        </w:rPr>
        <w:t xml:space="preserve"> ו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בהביאנו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7.8.2022</w:t>
      </w:r>
      <w:r>
        <w:rPr>
          <w:rtl w:val="true"/>
        </w:rPr>
        <w:t xml:space="preserve">). </w:t>
      </w:r>
      <w:bookmarkEnd w:id="2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22023090</w:t>
      </w:r>
      <w:r>
        <w:rPr>
          <w:sz w:val="16"/>
          <w:rtl w:val="true"/>
        </w:rPr>
        <w:t>_</w:t>
      </w:r>
      <w:r>
        <w:rPr>
          <w:sz w:val="16"/>
        </w:rPr>
        <w:t>P04.docx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54678313-2309/22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2309/22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יבגני קודריאבצב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8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13897" TargetMode="External"/><Relationship Id="rId3" Type="http://schemas.openxmlformats.org/officeDocument/2006/relationships/hyperlink" Target="http://www.nevo.co.il/safrut/book/14971" TargetMode="External"/><Relationship Id="rId4" Type="http://schemas.openxmlformats.org/officeDocument/2006/relationships/hyperlink" Target="http://www.nevo.co.il/safrut/book/1497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68b.a" TargetMode="External"/><Relationship Id="rId7" Type="http://schemas.openxmlformats.org/officeDocument/2006/relationships/hyperlink" Target="http://www.nevo.co.il/law/70301/368c" TargetMode="External"/><Relationship Id="rId8" Type="http://schemas.openxmlformats.org/officeDocument/2006/relationships/hyperlink" Target="http://www.nevo.co.il/case/27713897" TargetMode="External"/><Relationship Id="rId9" Type="http://schemas.openxmlformats.org/officeDocument/2006/relationships/hyperlink" Target="http://www.nevo.co.il/case/20736141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case/5949452" TargetMode="External"/><Relationship Id="rId14" Type="http://schemas.openxmlformats.org/officeDocument/2006/relationships/hyperlink" Target="http://www.nevo.co.il/case/5949453" TargetMode="External"/><Relationship Id="rId15" Type="http://schemas.openxmlformats.org/officeDocument/2006/relationships/hyperlink" Target="http://www.nevo.co.il/case/6248499" TargetMode="External"/><Relationship Id="rId16" Type="http://schemas.openxmlformats.org/officeDocument/2006/relationships/hyperlink" Target="http://www.nevo.co.il/case/24264540" TargetMode="External"/><Relationship Id="rId17" Type="http://schemas.openxmlformats.org/officeDocument/2006/relationships/hyperlink" Target="http://www.nevo.co.il/case/26156582" TargetMode="External"/><Relationship Id="rId18" Type="http://schemas.openxmlformats.org/officeDocument/2006/relationships/hyperlink" Target="http://www.nevo.co.il/case/6043393" TargetMode="External"/><Relationship Id="rId19" Type="http://schemas.openxmlformats.org/officeDocument/2006/relationships/hyperlink" Target="http://www.nevo.co.il/case/24356447" TargetMode="External"/><Relationship Id="rId20" Type="http://schemas.openxmlformats.org/officeDocument/2006/relationships/hyperlink" Target="http://www.nevo.co.il/case/461971" TargetMode="External"/><Relationship Id="rId21" Type="http://schemas.openxmlformats.org/officeDocument/2006/relationships/hyperlink" Target="http://www.nevo.co.il/case/5573417" TargetMode="External"/><Relationship Id="rId22" Type="http://schemas.openxmlformats.org/officeDocument/2006/relationships/hyperlink" Target="http://www.nevo.co.il/case/6018516" TargetMode="External"/><Relationship Id="rId23" Type="http://schemas.openxmlformats.org/officeDocument/2006/relationships/hyperlink" Target="http://www.nevo.co.il/case/11206432" TargetMode="External"/><Relationship Id="rId24" Type="http://schemas.openxmlformats.org/officeDocument/2006/relationships/hyperlink" Target="http://www.nevo.co.il/case/20111699" TargetMode="External"/><Relationship Id="rId25" Type="http://schemas.openxmlformats.org/officeDocument/2006/relationships/hyperlink" Target="http://www.nevo.co.il/case/27794091" TargetMode="External"/><Relationship Id="rId26" Type="http://schemas.openxmlformats.org/officeDocument/2006/relationships/hyperlink" Target="http://www.nevo.co.il/safrut/book/14971" TargetMode="External"/><Relationship Id="rId27" Type="http://schemas.openxmlformats.org/officeDocument/2006/relationships/hyperlink" Target="https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2022-08-08T09:06:00Z</dcterms:created>
  <dc:creator>h4</dc:creator>
  <dc:description/>
  <cp:keywords/>
  <dc:language>en-IL</dc:language>
  <cp:lastModifiedBy>orly</cp:lastModifiedBy>
  <cp:lastPrinted>2022-08-07T09:00:00Z</cp:lastPrinted>
  <dcterms:modified xsi:type="dcterms:W3CDTF">2022-08-08T09:06:00Z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יבגני קודריאבצב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14971</vt:lpwstr>
  </property>
  <property fmtid="{D5CDD505-2E9C-101B-9397-08002B2CF9AE}" pid="9" name="CASESLISTTMP1">
    <vt:lpwstr>27713897:2;20736141;5949452;5949453;6248499;24264540;26156582;6043393;24356447;461971;5573417;6018516;11206432;20111699;27794091</vt:lpwstr>
  </property>
  <property fmtid="{D5CDD505-2E9C-101B-9397-08002B2CF9AE}" pid="10" name="CITY">
    <vt:lpwstr/>
  </property>
  <property fmtid="{D5CDD505-2E9C-101B-9397-08002B2CF9AE}" pid="11" name="DATE">
    <vt:lpwstr>20220807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סולברג;ר' רונן;א' חיות</vt:lpwstr>
  </property>
  <property fmtid="{D5CDD505-2E9C-101B-9397-08002B2CF9AE}" pid="15" name="LAWLISTTMP1">
    <vt:lpwstr>70301/368c;368b.a</vt:lpwstr>
  </property>
  <property fmtid="{D5CDD505-2E9C-101B-9397-08002B2CF9AE}" pid="16" name="LAWYER">
    <vt:lpwstr>יצחק פרדמן;דוד קליימן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התעללות בקטין</vt:lpwstr>
  </property>
  <property fmtid="{D5CDD505-2E9C-101B-9397-08002B2CF9AE}" pid="50" name="NOSE310">
    <vt:lpwstr/>
  </property>
  <property fmtid="{D5CDD505-2E9C-101B-9397-08002B2CF9AE}" pid="51" name="NOSE32">
    <vt:lpwstr>עקרון ההלימה‏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14658;14799</vt:lpwstr>
  </property>
  <property fmtid="{D5CDD505-2E9C-101B-9397-08002B2CF9AE}" pid="60" name="PADIDATE">
    <vt:lpwstr>20220808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2309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410120220807</vt:lpwstr>
  </property>
  <property fmtid="{D5CDD505-2E9C-101B-9397-08002B2CF9AE}" pid="70" name="TYPE_N_DATE">
    <vt:lpwstr>41020220807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