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2336/16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2410/16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2336/16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2410/16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מזראיב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2336/16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2410/16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11.1.2016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8.2.2016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ארבל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אטרש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אברהם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41111-08-14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31"/>
        <w:ind w:end="0"/>
        <w:jc w:val="start"/>
        <w:rPr/>
      </w:pPr>
      <w:r>
        <w:rPr>
          <w:sz w:val="24"/>
          <w:sz w:val="24"/>
          <w:szCs w:val="24"/>
          <w:rtl w:val="true"/>
        </w:rPr>
        <w:t>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הישיבה</w:t>
      </w:r>
      <w:r>
        <w:rPr>
          <w:sz w:val="24"/>
          <w:szCs w:val="24"/>
          <w:rtl w:val="true"/>
        </w:rPr>
        <w:t>:</w:t>
      </w:r>
      <w:r>
        <w:rPr>
          <w:rtl w:val="true"/>
        </w:rPr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בכסלו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20.11.2017</w:t>
      </w:r>
      <w:r>
        <w:rPr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2336/16</w:t>
      </w:r>
      <w:r>
        <w:rPr>
          <w:rtl w:val="true"/>
        </w:rPr>
        <w:t xml:space="preserve"> </w:t>
      </w:r>
    </w:p>
    <w:p>
      <w:pPr>
        <w:pStyle w:val="Ruller31"/>
        <w:ind w:end="0"/>
        <w:jc w:val="start"/>
        <w:rPr>
          <w:sz w:val="24"/>
          <w:szCs w:val="24"/>
        </w:rPr>
      </w:pPr>
      <w:r>
        <w:rPr>
          <w:rtl w:val="true"/>
        </w:rPr>
        <w:t>והמשיב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2410/16</w:t>
      </w:r>
      <w:r>
        <w:rPr>
          <w:rtl w:val="true"/>
        </w:rPr>
        <w:t xml:space="preserve">: 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בלפור</w:t>
      </w:r>
      <w:r>
        <w:rPr>
          <w:rFonts w:cs="Times New Roman"/>
          <w:rtl w:val="true"/>
        </w:rPr>
        <w:t xml:space="preserve"> </w:t>
      </w:r>
    </w:p>
    <w:p>
      <w:pPr>
        <w:pStyle w:val="Ruller31"/>
        <w:ind w:end="0"/>
        <w:jc w:val="start"/>
        <w:rPr/>
      </w:pPr>
      <w:bookmarkStart w:id="4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4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2336/16</w:t>
      </w:r>
      <w:r>
        <w:rPr>
          <w:rtl w:val="true"/>
        </w:rPr>
        <w:t xml:space="preserve"> </w:t>
      </w:r>
    </w:p>
    <w:p>
      <w:pPr>
        <w:pStyle w:val="Ruller31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והמערערת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2410/16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ארוי</w:t>
      </w:r>
      <w:bookmarkStart w:id="5" w:name="LawTable"/>
      <w:bookmarkEnd w:id="5"/>
      <w:r>
        <w:rPr>
          <w:rtl w:val="true"/>
        </w:rPr>
        <w:t>ה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58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211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9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המרכז לגביית קנסות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אגרות והוצאות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1995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בהתאם להוראת </w:t>
      </w:r>
      <w:hyperlink r:id="rId1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58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תקופת מאסר על תנאי תרוצה באופן מצטבר על פני התקופה שנקבעה לעונש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רשאי לסטות מכלל זה אך מטעמים שיירשמו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שגדלה מידת הזיקה בין העבירה הנוכחית לבין העבירה שבגינה הוטל עונש המאסר המותנה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תיטה הכף לטובת החלת ברירת המחדל של צבירת עונשים על פני החלתם בחופף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נמצאו טעמים המצדיקים השתת העונשים באופן חופף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כחריג לכלל של הצטברות עונשים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 הערעור שכנגד שהגישה המדינה מתקבל בנקודה 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בירור האשמה – גירסאות עובדתיות חלופיות במשפט פלילי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ערעור – הגשת ראיה נוספת בערעור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הפעלת מאסר על תנאי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המערער ב</w:t>
      </w:r>
      <w:hyperlink r:id="rId1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2336/16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פס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בגדרו הורשע המערער בעבירות של מגע עם סוכן חוץ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עסקה אחרת בסם מסוכן וקשירת קשר לביצוע פשע בעבירות סמים והושת עליו עונש של מאסר בפועל של </w:t>
      </w:r>
      <w:r>
        <w:rPr>
          <w:rFonts w:cs="Times New Roman" w:ascii="Times New Roman" w:hAnsi="Times New Roman"/>
          <w:spacing w:val="0"/>
          <w:szCs w:val="26"/>
        </w:rPr>
        <w:t>5.5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בשל הפעלת שתי תקופות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האחת בת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והשנייה בת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בחופף וחלקן במצטבר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 וקנס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המדינה ערערה אף היא על קולת העונש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למען הנוחות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>).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מינץ 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עמית ומ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מזוז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וקיבל את הערעור שכנגד בחלקו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הערעור על הכרעת הדין מתמקד בטענת המערער כי אכן ביצע את המעשים המיוחסים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אבל עשה כן מפאת כורח ואילוץ מצד הנאשם הנוסף בפרשה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ascii="Times New Roman" w:hAnsi="Times New Roman" w:cs="Times New Roman"/>
          <w:spacing w:val="0"/>
          <w:szCs w:val="26"/>
          <w:rtl w:val="true"/>
        </w:rPr>
        <w:t>אייל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וחבורתו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איתם היה בסכסוך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הטענה בדבר איומים ולחץ מצד אייל וחבורתו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הועלתה לראשונה על ידי המערער על דוכן העדים לפני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שלא בא זכרה במסגרת הודעותיו של המערער במשטרה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באותו זמן לא נטען על ידי המערער כי בשל אותו לחץ הוא אכן ביצע את אותם 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להיפך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הכחיש ביצועם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כורח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לביצוע המעשים נטענה לראשונה בערעור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צוין כי טענות המערער בדבר קיומו של סכסוך עם אייל ואלימות שהופעלה עליו נדחתה על 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תוך שנקבע כי המדובר בגרסה רחוקה מהמציאות אשר נולדה אך לצורך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שעה שהמערער כבש את גרסתו מבלי ליתן טעם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להתערב בקביעה עובדתית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נוכח דחיית גרסת המערער בדבר איומים ואלימות שהופעלו כלפיו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לכאורה מתייתרת בחינת הגרסה החלופית שהעלה המערער לראשונה בערעורו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בשל אותם איומים ומעשי אלימות הוא גם נאלץ לבצע את המעשים בגינם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 לא ניתן להידרש לגרסה חדשה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בפסיקת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הובעו גישות שונות באשר לשאלה האם ובאיזו מידה ניתן להידרש לגרסה עובדתית חלופית שנטענה לראשונה בשלב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העיקרון המשותף לגישות השונות הוא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קו ההגנה החלופי צריך להיות סביר ומעוגן בראיות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גרסתו החלופית של המערער אינה מעוגנת כלל בחומר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לכל הדעות די בכך כדי לדחותה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גם לא סיפק כל הסבר סביר לכבישת גרסה 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בכל הנוגע לבקשת המערער להוספת ראיה בשלב הערעור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בדיקת מכשיר הטלפון במעבדה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לחשוף תמונות השמורות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יש בהן לטענתו כדי לחזק את גרסתו בדבר האלימות שננקטה כלפיו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צוין שהגשת ראיות חדשות בשלב הערעור היא בגדר החריג לכלל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יתאפשר רק כאשר סוברת ערכאת הערעור כי הגשת הראיות נדרשת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לעשיית 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בחינת הבקשה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לשקול האם הראיות לא הוצגו בערכאה הדיונית מסיבה מוצדקת שאינה תלויה במבקש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האינטרס בדבר סופיות הדיון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את טיבן של הראיות הנוספות וההסתברות או הסיכוי שבהגשתן אכן יהיה כדי לשנות את התוצאה אליה הגיעה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לאזן בין השיקולים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על המבקש להצביע מדוע נוטה הכף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באיזון בין השיקולים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לטובת קבלת הבקשה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בקשת המערער בראי השיקולים שהותוו בפסיקה מעלה כי אין לקבל את הבקשה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הערעור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מתחם הענישה שנקבע על 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 ממתחם הענישה המקובל והראוי ולא נמצאה כל עילה להתערב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לעונש שנקבע בתוך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נפל כל פגם במשקל שניתן על 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לעברו הפלילי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עברו המכביד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יתכן כי אף בתוך המתחם שנקבע היה ניתן לגזור עליו בגין המעשים בהם הורשע עונש העולה על זה שנגזר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בעוד שהעונש שנקבע לו הועמד על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מרכזו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נראה נכון לעשות כן נוכח הכלל לפיו אין ערכאת הערעור נוהגת למצות את הדין עם נאשם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בנקודה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וחרף הכלל האמור בדבר אי מיצוי הדין במסגרת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יש לקבל את טענת המשיבה בערעורה שכנגד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והיא כי יש להורות על ריצוי המאסרים המותנים שהוטלו על המערער במסגרת הרשעתו בפרשה 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cs="Times New Roman" w:ascii="Times New Roman" w:hAnsi="Times New Roman"/>
          <w:spacing w:val="0"/>
          <w:szCs w:val="26"/>
        </w:rPr>
        <w:t>2012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מצטבר זה עם זה ובמצטבר עם הטלת עונש המאסר 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באופן חופף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נוכח הוראת </w:t>
      </w:r>
      <w:hyperlink r:id="rId1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58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פיה 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תקופת מאסר על תנאי תרוצה באופן מצטבר על פני התקופה שנקבעה לעונש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רשאי לסטות מכלל זה אך מטעמים שיירשמו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שגדלה מידת הזיקה בין העבירה הנוכחית לבין העבירה שבגינה הוטל עונש המאסר המותנה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תיטה הכף לטובת החלת ברירת המחדל של צבירת עונשים על פני החלתם בחופף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נמצאו טעמים המצדיקים השתת העונשים באופן חופף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כחריג לכלל של הצטברות עונשים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אדרבה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עברו הפלילי של המערער והעובדה שלא בחל מלשוב לסורו בחלוף זמן מועט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המאסרים המותנים אשר הוטלו עליו בגין ביצוע מעשים דומים בעבר אשר כשלו מלהרתיעו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נוטה הכף בבירור לכיוון ברירת המחדל של צבירת עונשים על פני החלתם באופן חופף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גם נוכח העובדה שעונש המאסר על תנאי שנגזר על המערער לא מילא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בלשון המעטה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תכליתו ההרתעתית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המערער נדחה על שני חלקיו והערעור שכנגד מטעם המשיבה מתקבל בחלקו במובן זה שעונשי המאסר בפועל שנגזרו על המערער על תנאי במסגרת 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40867-09-12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ירוצו במצטבר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ולא באופן חופף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5.5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המאסר בפועל שהושתו על המערער במסגרת תיק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שבסופו של דבר המערער ירצה </w:t>
      </w:r>
      <w:r>
        <w:rPr>
          <w:rFonts w:cs="Times New Roman" w:ascii="Times New Roman" w:hAnsi="Times New Roman"/>
          <w:spacing w:val="0"/>
          <w:szCs w:val="26"/>
        </w:rPr>
        <w:t>7.5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חלקי גזר הדין יעמדו על מכונם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11.1.2016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אטרש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אברהם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41111-08-14</w:t>
        </w:r>
      </w:hyperlink>
      <w:r>
        <w:rPr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8.2.2016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29.7.2014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המערער קיים מגע והיה בקשר עם אדם בשם ג</w:t>
      </w:r>
      <w:r>
        <w:rPr>
          <w:rtl w:val="true"/>
        </w:rPr>
        <w:t>'</w:t>
      </w:r>
      <w:r>
        <w:rPr>
          <w:rtl w:val="true"/>
        </w:rPr>
        <w:t>ורג</w:t>
      </w:r>
      <w:r>
        <w:rPr>
          <w:rtl w:val="true"/>
        </w:rPr>
        <w:t xml:space="preserve">' </w:t>
      </w:r>
      <w:r>
        <w:rPr>
          <w:rtl w:val="true"/>
        </w:rPr>
        <w:t xml:space="preserve">נימר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נימר</w:t>
      </w:r>
      <w:r>
        <w:rPr>
          <w:rtl w:val="true"/>
        </w:rPr>
        <w:t>) (</w:t>
      </w:r>
      <w:r>
        <w:rPr>
          <w:rtl w:val="true"/>
        </w:rPr>
        <w:t>ואדם נוסף מטעמו</w:t>
      </w:r>
      <w:r>
        <w:rPr>
          <w:rtl w:val="true"/>
        </w:rPr>
        <w:t xml:space="preserve">), </w:t>
      </w:r>
      <w:r>
        <w:rPr>
          <w:rtl w:val="true"/>
        </w:rPr>
        <w:t>שהינו סוחר סמים תושב לבנון הפועל בשירות ארגון החיזבאללה</w:t>
      </w:r>
      <w:r>
        <w:rPr>
          <w:rtl w:val="true"/>
        </w:rPr>
        <w:t xml:space="preserve">, </w:t>
      </w:r>
      <w:r>
        <w:rPr>
          <w:rtl w:val="true"/>
        </w:rPr>
        <w:t xml:space="preserve">ושהיה מוכר למערער עקב מעורבותו בפרשה אחרת משנת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במסגרתה עמד נימר מאחורי הברחת מטעני חבלה לשטח ישראל</w:t>
      </w:r>
      <w:r>
        <w:rPr>
          <w:rtl w:val="true"/>
        </w:rPr>
        <w:t xml:space="preserve">, </w:t>
      </w:r>
      <w:r>
        <w:rPr>
          <w:rtl w:val="true"/>
        </w:rPr>
        <w:t xml:space="preserve">תוך שימוש בסוחרי סמים ישראליים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2012</w:t>
      </w:r>
      <w:r>
        <w:rPr>
          <w:rtl w:val="true"/>
        </w:rPr>
        <w:t xml:space="preserve">). </w:t>
      </w:r>
      <w:r>
        <w:rPr>
          <w:rtl w:val="true"/>
        </w:rPr>
        <w:t xml:space="preserve">הקשר עם נימר נוצר סמוך לחודש מרץ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לאחר שנימר הציע לבן דודו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אייל מזאריב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אייל</w:t>
      </w:r>
      <w:r>
        <w:rPr>
          <w:rtl w:val="true"/>
        </w:rPr>
        <w:t xml:space="preserve">) </w:t>
      </w:r>
      <w:r>
        <w:rPr>
          <w:rtl w:val="true"/>
        </w:rPr>
        <w:t xml:space="preserve">להיות שותף בייבוא סם מסוכן מסוג חשיש במשקל של </w:t>
      </w:r>
      <w:r>
        <w:rPr/>
        <w:t>3-4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ההברחה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הברחת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הסמים</w:t>
      </w:r>
      <w:r>
        <w:rPr>
          <w:rtl w:val="true"/>
        </w:rPr>
        <w:t xml:space="preserve">). </w:t>
      </w:r>
      <w:r>
        <w:rPr>
          <w:rtl w:val="true"/>
        </w:rPr>
        <w:t>לאחר שאייל הסכים להצעה וקשר קשר עם נימר לביצוע ההברחה</w:t>
      </w:r>
      <w:r>
        <w:rPr>
          <w:rtl w:val="true"/>
        </w:rPr>
        <w:t xml:space="preserve">, </w:t>
      </w:r>
      <w:r>
        <w:rPr>
          <w:rtl w:val="true"/>
        </w:rPr>
        <w:t>אייל פנה למערער והציע כי גם הוא ישתתף בהברחה</w:t>
      </w:r>
      <w:r>
        <w:rPr>
          <w:rtl w:val="true"/>
        </w:rPr>
        <w:t xml:space="preserve">, </w:t>
      </w:r>
      <w:r>
        <w:rPr>
          <w:rtl w:val="true"/>
        </w:rPr>
        <w:t>והמערער הסכים לכך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לבקשת אייל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האזין למספר שיחות שניהל אייל עם נימר </w:t>
      </w:r>
      <w:r>
        <w:rPr>
          <w:rtl w:val="true"/>
        </w:rPr>
        <w:t>(</w:t>
      </w:r>
      <w:r>
        <w:rPr>
          <w:rtl w:val="true"/>
        </w:rPr>
        <w:t xml:space="preserve">אשר השתמש בשם בדוי </w:t>
      </w:r>
      <w:r>
        <w:rPr>
          <w:rtl w:val="true"/>
        </w:rPr>
        <w:t>"</w:t>
      </w:r>
      <w:r>
        <w:rPr>
          <w:rtl w:val="true"/>
        </w:rPr>
        <w:t>אבו מחמד</w:t>
      </w:r>
      <w:r>
        <w:rPr>
          <w:rtl w:val="true"/>
        </w:rPr>
        <w:t xml:space="preserve">"), </w:t>
      </w:r>
      <w:r>
        <w:rPr>
          <w:rtl w:val="true"/>
        </w:rPr>
        <w:t>ואישר לאייל כי אכן מדובר בנימר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המערער ואייל ניהלו שיחות טלפון רבות ביניהם תוך שימוש בקודים עם נימר ועם אדם נוסף מטעמו לצורך תיאום ההברחה מלבנון לישראל</w:t>
      </w:r>
      <w:r>
        <w:rPr>
          <w:rtl w:val="true"/>
        </w:rPr>
        <w:t xml:space="preserve">. </w:t>
      </w:r>
      <w:r>
        <w:rPr>
          <w:rtl w:val="true"/>
        </w:rPr>
        <w:t>לשם מימוש הקשר</w:t>
      </w:r>
      <w:r>
        <w:rPr>
          <w:rtl w:val="true"/>
        </w:rPr>
        <w:t xml:space="preserve">, </w:t>
      </w:r>
      <w:r>
        <w:rPr>
          <w:rtl w:val="true"/>
        </w:rPr>
        <w:t>המערער ואייל נסעו לגבול הצפון לצורך איתור מקום מתאים להברחת הסמים</w:t>
      </w:r>
      <w:r>
        <w:rPr>
          <w:rtl w:val="true"/>
        </w:rPr>
        <w:t xml:space="preserve">, </w:t>
      </w:r>
      <w:r>
        <w:rPr>
          <w:rtl w:val="true"/>
        </w:rPr>
        <w:t xml:space="preserve">רכשו כרטיסי </w:t>
      </w:r>
      <w:r>
        <w:rPr>
          <w:rtl w:val="true"/>
        </w:rPr>
        <w:t>"</w:t>
      </w:r>
      <w:r>
        <w:rPr>
          <w:rtl w:val="true"/>
        </w:rPr>
        <w:t>סים</w:t>
      </w:r>
      <w:r>
        <w:rPr>
          <w:rtl w:val="true"/>
        </w:rPr>
        <w:t xml:space="preserve">" </w:t>
      </w:r>
      <w:r>
        <w:rPr>
          <w:rtl w:val="true"/>
        </w:rPr>
        <w:t>ישראליים וזרקו אותם בתיאום עם נימר אל מעבר לגבול</w:t>
      </w:r>
      <w:r>
        <w:rPr>
          <w:rtl w:val="true"/>
        </w:rPr>
        <w:t xml:space="preserve">. </w:t>
      </w:r>
      <w:r>
        <w:rPr>
          <w:rtl w:val="true"/>
        </w:rPr>
        <w:t>המערער ואייל דיווחו לנימר גם על תנועות כוחות צבא הממוקמים לאורך גדר הגבול וכן על פריסת המצלמות באיזור</w:t>
      </w:r>
      <w:r>
        <w:rPr>
          <w:rtl w:val="true"/>
        </w:rPr>
        <w:t xml:space="preserve">, </w:t>
      </w:r>
      <w:r>
        <w:rPr>
          <w:rtl w:val="true"/>
        </w:rPr>
        <w:t>בצד הישראלי</w:t>
      </w:r>
      <w:r>
        <w:rPr>
          <w:rtl w:val="true"/>
        </w:rPr>
        <w:t xml:space="preserve">. </w:t>
      </w:r>
      <w:r>
        <w:rPr>
          <w:rtl w:val="true"/>
        </w:rPr>
        <w:t>במסגרת שיחות הטלפון</w:t>
      </w:r>
      <w:r>
        <w:rPr>
          <w:rtl w:val="true"/>
        </w:rPr>
        <w:t xml:space="preserve">, </w:t>
      </w:r>
      <w:r>
        <w:rPr>
          <w:rtl w:val="true"/>
        </w:rPr>
        <w:t>ביקש נימר מאייל להעביר למערער אקדח</w:t>
      </w:r>
      <w:r>
        <w:rPr>
          <w:rtl w:val="true"/>
        </w:rPr>
        <w:t xml:space="preserve">, </w:t>
      </w:r>
      <w:r>
        <w:rPr>
          <w:rtl w:val="true"/>
        </w:rPr>
        <w:t>וכן להעביר סכום כסף למשפחתו של אדם אחר</w:t>
      </w:r>
      <w:r>
        <w:rPr>
          <w:rtl w:val="true"/>
        </w:rPr>
        <w:t xml:space="preserve">. </w:t>
      </w:r>
      <w:r>
        <w:rPr>
          <w:rtl w:val="true"/>
        </w:rPr>
        <w:t xml:space="preserve">נימר גם ביקש מאייל להעביר חבילה </w:t>
      </w:r>
      <w:r>
        <w:rPr>
          <w:rtl w:val="true"/>
        </w:rPr>
        <w:t>(</w:t>
      </w:r>
      <w:r>
        <w:rPr>
          <w:rtl w:val="true"/>
        </w:rPr>
        <w:t xml:space="preserve">לא נאמר בכתב האישום למי היה עליו להעבירה </w:t>
      </w:r>
      <w:r>
        <w:rPr>
          <w:rtl w:val="true"/>
        </w:rPr>
        <w:t>–</w:t>
      </w:r>
      <w:r>
        <w:rPr>
          <w:rtl w:val="true"/>
        </w:rPr>
        <w:t xml:space="preserve"> 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.) </w:t>
      </w:r>
      <w:r>
        <w:rPr>
          <w:rtl w:val="true"/>
        </w:rPr>
        <w:t xml:space="preserve">שתוכנה לא היה ידוע לאייל </w:t>
      </w:r>
      <w:r>
        <w:rPr>
          <w:rtl w:val="true"/>
        </w:rPr>
        <w:t>(</w:t>
      </w:r>
      <w:r>
        <w:rPr>
          <w:rtl w:val="true"/>
        </w:rPr>
        <w:t xml:space="preserve">וכונתה </w:t>
      </w:r>
      <w:r>
        <w:rPr>
          <w:rtl w:val="true"/>
        </w:rPr>
        <w:t>"</w:t>
      </w:r>
      <w:r>
        <w:rPr>
          <w:rtl w:val="true"/>
        </w:rPr>
        <w:t>הפיקדון</w:t>
      </w:r>
      <w:r>
        <w:rPr>
          <w:rtl w:val="true"/>
        </w:rPr>
        <w:t xml:space="preserve">"). </w:t>
      </w:r>
      <w:r>
        <w:rPr>
          <w:rtl w:val="true"/>
        </w:rPr>
        <w:t>המערער ואייל המשיכו לפעול לקידום ההברחה</w:t>
      </w:r>
      <w:r>
        <w:rPr>
          <w:rtl w:val="true"/>
        </w:rPr>
        <w:t xml:space="preserve">, </w:t>
      </w:r>
      <w:r>
        <w:rPr>
          <w:rtl w:val="true"/>
        </w:rPr>
        <w:t>אשר לא יצאה לבסוף אל הפועל עקב ריכוזי כוחות הביטחון משני צדי הגבול</w:t>
      </w:r>
      <w:r>
        <w:rPr>
          <w:rtl w:val="true"/>
        </w:rPr>
        <w:t xml:space="preserve">, </w:t>
      </w:r>
      <w:r>
        <w:rPr>
          <w:rtl w:val="true"/>
        </w:rPr>
        <w:t>ועמדו בקשר עם נימר עד סמוך למועד מעצרם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 עמד על גרסתו של אייל</w:t>
      </w:r>
      <w:r>
        <w:rPr>
          <w:rtl w:val="true"/>
        </w:rPr>
        <w:t xml:space="preserve">, </w:t>
      </w:r>
      <w:r>
        <w:rPr>
          <w:rtl w:val="true"/>
        </w:rPr>
        <w:t>אשר הפליל את המערער במסגרת חקירותיו בפני גורמי שב</w:t>
      </w:r>
      <w:r>
        <w:rPr>
          <w:rtl w:val="true"/>
        </w:rPr>
        <w:t>"</w:t>
      </w:r>
      <w:r>
        <w:rPr>
          <w:rtl w:val="true"/>
        </w:rPr>
        <w:t>כ ובפני המשטרה</w:t>
      </w:r>
      <w:r>
        <w:rPr>
          <w:rtl w:val="true"/>
        </w:rPr>
        <w:t xml:space="preserve">, </w:t>
      </w:r>
      <w:r>
        <w:rPr>
          <w:rtl w:val="true"/>
        </w:rPr>
        <w:t>אך על דוכן העדים סירב לשתף פעולה והוכרז כעד עוין</w:t>
      </w:r>
      <w:r>
        <w:rPr>
          <w:rtl w:val="true"/>
        </w:rPr>
        <w:t xml:space="preserve">. </w:t>
      </w:r>
      <w:r>
        <w:rPr>
          <w:rtl w:val="true"/>
        </w:rPr>
        <w:t xml:space="preserve">בהתאם להוראות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בית המשפט קבע כי בנסיבות העניין</w:t>
      </w:r>
      <w:r>
        <w:rPr>
          <w:rtl w:val="true"/>
        </w:rPr>
        <w:t xml:space="preserve">, </w:t>
      </w:r>
      <w:r>
        <w:rPr>
          <w:rtl w:val="true"/>
        </w:rPr>
        <w:t>בהתבסס על שורה של טעמים</w:t>
      </w:r>
      <w:r>
        <w:rPr>
          <w:rtl w:val="true"/>
        </w:rPr>
        <w:t xml:space="preserve">, </w:t>
      </w:r>
      <w:r>
        <w:rPr>
          <w:rtl w:val="true"/>
        </w:rPr>
        <w:t>יש להעדיף את האמרות המפלילות שנמסרו על ידי אייל במשטרה ובשב</w:t>
      </w:r>
      <w:r>
        <w:rPr>
          <w:rtl w:val="true"/>
        </w:rPr>
        <w:t>"</w:t>
      </w:r>
      <w:r>
        <w:rPr>
          <w:rtl w:val="true"/>
        </w:rPr>
        <w:t>כ על פני עדותו בבית המשפט</w:t>
      </w:r>
      <w:r>
        <w:rPr>
          <w:rtl w:val="true"/>
        </w:rPr>
        <w:t xml:space="preserve">. </w:t>
      </w:r>
      <w:r>
        <w:rPr>
          <w:rtl w:val="true"/>
        </w:rPr>
        <w:t>זאת כאשר כבר במסגרת הודעתו הראשונה במשטרה חשף אייל את הקשר שנוצר בינו ובין המערער לבין נימר ואת מלוא הפרטים המבססים את עובדות כתב האישום</w:t>
      </w:r>
      <w:r>
        <w:rPr>
          <w:rtl w:val="true"/>
        </w:rPr>
        <w:t xml:space="preserve">. </w:t>
      </w:r>
      <w:r>
        <w:rPr>
          <w:rtl w:val="true"/>
        </w:rPr>
        <w:t>אייל גם חזר על הדברים במסגרת הודעותיו הנוספות</w:t>
      </w:r>
      <w:r>
        <w:rPr>
          <w:rtl w:val="true"/>
        </w:rPr>
        <w:t xml:space="preserve">, </w:t>
      </w:r>
      <w:r>
        <w:rPr>
          <w:rtl w:val="true"/>
        </w:rPr>
        <w:t>תוך שהוא משלים פרטים חסרים</w:t>
      </w:r>
      <w:r>
        <w:rPr>
          <w:rtl w:val="true"/>
        </w:rPr>
        <w:t xml:space="preserve">. </w:t>
      </w:r>
      <w:r>
        <w:rPr>
          <w:rtl w:val="true"/>
        </w:rPr>
        <w:t>עוד דחה בית המשפט את טענתו של אייל שנשמעה על דוכן העדים</w:t>
      </w:r>
      <w:r>
        <w:rPr>
          <w:rtl w:val="true"/>
        </w:rPr>
        <w:t xml:space="preserve">, </w:t>
      </w:r>
      <w:r>
        <w:rPr>
          <w:rtl w:val="true"/>
        </w:rPr>
        <w:t>לפיה החוקרים הכתיבו לו מה לומר</w:t>
      </w:r>
      <w:r>
        <w:rPr>
          <w:rtl w:val="true"/>
        </w:rPr>
        <w:t xml:space="preserve">, </w:t>
      </w:r>
      <w:r>
        <w:rPr>
          <w:rtl w:val="true"/>
        </w:rPr>
        <w:t>בין היתר משום שטענה זו עמדה בסתירה להודעותיו הסדורות ורצוּפות הפרטים שמסר</w:t>
      </w:r>
      <w:r>
        <w:rPr>
          <w:rtl w:val="true"/>
        </w:rPr>
        <w:t xml:space="preserve">. </w:t>
      </w:r>
      <w:r>
        <w:rPr>
          <w:rtl w:val="true"/>
        </w:rPr>
        <w:t>עוד קבע בית המשפט כי הודעותיו של אייל במשטרה ובשב</w:t>
      </w:r>
      <w:r>
        <w:rPr>
          <w:rtl w:val="true"/>
        </w:rPr>
        <w:t>"</w:t>
      </w:r>
      <w:r>
        <w:rPr>
          <w:rtl w:val="true"/>
        </w:rPr>
        <w:t>כ ניתנו מרצונו הטוב והחופשי ולא נפל בהן כל פגם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את החיזוק להודעותיו של אייל מצא בית המשפט בהאזנות סתר שבוצעו</w:t>
      </w:r>
      <w:r>
        <w:rPr>
          <w:rtl w:val="true"/>
        </w:rPr>
        <w:t xml:space="preserve">, </w:t>
      </w:r>
      <w:r>
        <w:rPr>
          <w:rtl w:val="true"/>
        </w:rPr>
        <w:t xml:space="preserve">ושזוהו בהם על ידי אנשי מקצוע </w:t>
      </w:r>
      <w:r>
        <w:rPr>
          <w:rtl w:val="true"/>
        </w:rPr>
        <w:t>(</w:t>
      </w:r>
      <w:r>
        <w:rPr>
          <w:rtl w:val="true"/>
        </w:rPr>
        <w:t>יחידת האזנות הסתר</w:t>
      </w:r>
      <w:r>
        <w:rPr>
          <w:rtl w:val="true"/>
        </w:rPr>
        <w:t xml:space="preserve">) </w:t>
      </w:r>
      <w:r>
        <w:rPr>
          <w:rtl w:val="true"/>
        </w:rPr>
        <w:t>קולותיהם של אייל</w:t>
      </w:r>
      <w:r>
        <w:rPr>
          <w:rtl w:val="true"/>
        </w:rPr>
        <w:t xml:space="preserve">, </w:t>
      </w:r>
      <w:r>
        <w:rPr>
          <w:rtl w:val="true"/>
        </w:rPr>
        <w:t>המערער ונימר</w:t>
      </w:r>
      <w:r>
        <w:rPr>
          <w:rtl w:val="true"/>
        </w:rPr>
        <w:t xml:space="preserve">. </w:t>
      </w:r>
      <w:r>
        <w:rPr>
          <w:rtl w:val="true"/>
        </w:rPr>
        <w:t>גם אייל זיהה קולות אלו במהלך חקירתו במשטרה</w:t>
      </w:r>
      <w:r>
        <w:rPr>
          <w:rtl w:val="true"/>
        </w:rPr>
        <w:t xml:space="preserve">. </w:t>
      </w:r>
      <w:r>
        <w:rPr>
          <w:rtl w:val="true"/>
        </w:rPr>
        <w:t>מהאזנות הסתר עלה קיומן של מאות שיחות טלפון בין השלושה המעידות על התקשרות חשאית הכוללת שימוש במילות קוד ותיאומים הנלווים לתכנון הברחת הסמים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בהתייחסו לגרסת המערער</w:t>
      </w:r>
      <w:r>
        <w:rPr>
          <w:rtl w:val="true"/>
        </w:rPr>
        <w:t xml:space="preserve">, </w:t>
      </w:r>
      <w:r>
        <w:rPr>
          <w:rtl w:val="true"/>
        </w:rPr>
        <w:t>אשר הכחיש את ביצוע המעשים</w:t>
      </w:r>
      <w:r>
        <w:rPr>
          <w:rtl w:val="true"/>
        </w:rPr>
        <w:t xml:space="preserve">, </w:t>
      </w:r>
      <w:r>
        <w:rPr>
          <w:rtl w:val="true"/>
        </w:rPr>
        <w:t>קבע בית המשפט כי אין לתת בה אמון</w:t>
      </w:r>
      <w:r>
        <w:rPr>
          <w:rtl w:val="true"/>
        </w:rPr>
        <w:t xml:space="preserve">. </w:t>
      </w:r>
      <w:r>
        <w:rPr>
          <w:rtl w:val="true"/>
        </w:rPr>
        <w:t>גם צוין כי המערער התחמק ממתן תשובות לשאלות שנשאל ולעתים סירב לענות כלל</w:t>
      </w:r>
      <w:r>
        <w:rPr>
          <w:rtl w:val="true"/>
        </w:rPr>
        <w:t xml:space="preserve">. </w:t>
      </w:r>
      <w:r>
        <w:rPr>
          <w:rtl w:val="true"/>
        </w:rPr>
        <w:t>כן התייחס בית המשפט לטענת המערער לפיה בינו לבין אייל שרר סכסוך בגינו אייל העליל עליו כי ביצע את העבירות המיוחסות לו בכתב האישום</w:t>
      </w:r>
      <w:r>
        <w:rPr>
          <w:rtl w:val="true"/>
        </w:rPr>
        <w:t xml:space="preserve">, </w:t>
      </w:r>
      <w:r>
        <w:rPr>
          <w:rtl w:val="true"/>
        </w:rPr>
        <w:t>וחבורתו של אייל גם נהגה בו באלימות</w:t>
      </w:r>
      <w:r>
        <w:rPr>
          <w:rtl w:val="true"/>
        </w:rPr>
        <w:t xml:space="preserve">, </w:t>
      </w:r>
      <w:r>
        <w:rPr>
          <w:rtl w:val="true"/>
        </w:rPr>
        <w:t>טענות אשר נשמעו לראשונה על דוכן העדים</w:t>
      </w:r>
      <w:r>
        <w:rPr>
          <w:rtl w:val="true"/>
        </w:rPr>
        <w:t xml:space="preserve">. </w:t>
      </w:r>
      <w:r>
        <w:rPr>
          <w:rtl w:val="true"/>
        </w:rPr>
        <w:t>בית המשפט הבהיר כי העובדה שהמערער כבש את גרסתו בנוגע לסכסוך הנטען בינו לבין אייל</w:t>
      </w:r>
      <w:r>
        <w:rPr>
          <w:rtl w:val="true"/>
        </w:rPr>
        <w:t xml:space="preserve">, </w:t>
      </w:r>
      <w:r>
        <w:rPr>
          <w:rtl w:val="true"/>
        </w:rPr>
        <w:t>מבלי ליתן כל טעם לדבר</w:t>
      </w:r>
      <w:r>
        <w:rPr>
          <w:rtl w:val="true"/>
        </w:rPr>
        <w:t xml:space="preserve">, </w:t>
      </w:r>
      <w:r>
        <w:rPr>
          <w:rtl w:val="true"/>
        </w:rPr>
        <w:t>מעידה כי מדובר בגרסה רחוקה מן המציאות</w:t>
      </w:r>
      <w:r>
        <w:rPr>
          <w:rtl w:val="true"/>
        </w:rPr>
        <w:t xml:space="preserve">. </w:t>
      </w:r>
      <w:r>
        <w:rPr>
          <w:rtl w:val="true"/>
        </w:rPr>
        <w:t>כן צוין כי גרסה זו אינה עולה בקנה אחד עם העובדה שהמערער התגורר בביתו של אייל במשך תקופה ארוכה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קבע בית המשפט ביחס למחקרי התקשורת שמהם עלה כי מכשיר הטלפון הסלולרי של המערער אוכּן במטולה</w:t>
      </w:r>
      <w:r>
        <w:rPr>
          <w:rtl w:val="true"/>
        </w:rPr>
        <w:t xml:space="preserve">, </w:t>
      </w:r>
      <w:r>
        <w:rPr>
          <w:rtl w:val="true"/>
        </w:rPr>
        <w:t xml:space="preserve">בשעה שהמערער הכחיש את שהותו שם </w:t>
      </w:r>
      <w:r>
        <w:rPr>
          <w:rtl w:val="true"/>
        </w:rPr>
        <w:t>(</w:t>
      </w:r>
      <w:r>
        <w:rPr>
          <w:rtl w:val="true"/>
        </w:rPr>
        <w:t>בעוד שבמהלך חקירתו במשטרה הודה כי שהה במטולה</w:t>
      </w:r>
      <w:r>
        <w:rPr>
          <w:rtl w:val="true"/>
        </w:rPr>
        <w:t xml:space="preserve">), </w:t>
      </w:r>
      <w:r>
        <w:rPr>
          <w:rtl w:val="true"/>
        </w:rPr>
        <w:t>שניתן ללמוד פעם נוספת על כך שאין ליתן בו אמון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הכרעת הדין אף נקבע כי אין חולק שהמערער ידע את זהותו האמיתית של נימר</w:t>
      </w:r>
      <w:r>
        <w:rPr>
          <w:rtl w:val="true"/>
        </w:rPr>
        <w:t xml:space="preserve">, </w:t>
      </w:r>
      <w:r>
        <w:rPr>
          <w:rtl w:val="true"/>
        </w:rPr>
        <w:t xml:space="preserve">על אף שבמגע עם המערער השתמש נימר בשם בדוי </w:t>
      </w:r>
      <w:r>
        <w:rPr>
          <w:rtl w:val="true"/>
        </w:rPr>
        <w:t>(</w:t>
      </w:r>
      <w:r>
        <w:rPr>
          <w:rtl w:val="true"/>
        </w:rPr>
        <w:t>אבו מחמד</w:t>
      </w:r>
      <w:r>
        <w:rPr>
          <w:rtl w:val="true"/>
        </w:rPr>
        <w:t xml:space="preserve">), </w:t>
      </w:r>
      <w:r>
        <w:rPr>
          <w:rtl w:val="true"/>
        </w:rPr>
        <w:t>וגם ידע כי נימר פועל בשירות החיזבאללה</w:t>
      </w:r>
      <w:r>
        <w:rPr>
          <w:rtl w:val="true"/>
        </w:rPr>
        <w:t xml:space="preserve">. </w:t>
      </w:r>
      <w:r>
        <w:rPr>
          <w:rtl w:val="true"/>
        </w:rPr>
        <w:t>בית המשפט עמד עוד על כך שהמערער היה מעורב בעבר בהברחת 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 xml:space="preserve">ג חומר נפץ על ידי נימר בפרשת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ולכן ברור שגם הפעם היה במעשי המערער כדי להביא לפגיעה בביטחון המדינה ומדובר היה בקשר בעל פוטנציאל הרסני לשלום הציבור ולבטחונו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יסוד כל האמור</w:t>
      </w:r>
      <w:r>
        <w:rPr>
          <w:rtl w:val="true"/>
        </w:rPr>
        <w:t xml:space="preserve">, </w:t>
      </w:r>
      <w:r>
        <w:rPr>
          <w:rtl w:val="true"/>
        </w:rPr>
        <w:t>בית המשפט מצא את המערער חייב בדינו והרשיעו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גזר הדין שניתן</w:t>
      </w:r>
      <w:r>
        <w:rPr>
          <w:rtl w:val="true"/>
        </w:rPr>
        <w:t xml:space="preserve">, </w:t>
      </w:r>
      <w:r>
        <w:rPr>
          <w:rtl w:val="true"/>
        </w:rPr>
        <w:t>עמד בית המשפט על הערכים החברתיים שנפגעו מביצוע העבירות</w:t>
      </w:r>
      <w:r>
        <w:rPr>
          <w:rtl w:val="true"/>
        </w:rPr>
        <w:t xml:space="preserve">, </w:t>
      </w:r>
      <w:r>
        <w:rPr>
          <w:rtl w:val="true"/>
        </w:rPr>
        <w:t>שהם שלום הציבור וביטחונו</w:t>
      </w:r>
      <w:r>
        <w:rPr>
          <w:rtl w:val="true"/>
        </w:rPr>
        <w:t xml:space="preserve">, </w:t>
      </w:r>
      <w:r>
        <w:rPr>
          <w:rtl w:val="true"/>
        </w:rPr>
        <w:t>על הנסיבות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ובכלל זה התכנון המוקדם והנחישות להוציא את התכנית אל הפועל</w:t>
      </w:r>
      <w:r>
        <w:rPr>
          <w:rtl w:val="true"/>
        </w:rPr>
        <w:t xml:space="preserve">, </w:t>
      </w:r>
      <w:r>
        <w:rPr>
          <w:rtl w:val="true"/>
        </w:rPr>
        <w:t>ועל חלקו של המערער בביצוע המעשים</w:t>
      </w:r>
      <w:r>
        <w:rPr>
          <w:rtl w:val="true"/>
        </w:rPr>
        <w:t xml:space="preserve">, </w:t>
      </w:r>
      <w:r>
        <w:rPr>
          <w:rtl w:val="true"/>
        </w:rPr>
        <w:t>שהיה פעיל ומהותי מאותה נקודת זמן שבה הצטרף לאייל</w:t>
      </w:r>
      <w:r>
        <w:rPr>
          <w:rtl w:val="true"/>
        </w:rPr>
        <w:t xml:space="preserve">. </w:t>
      </w:r>
      <w:r>
        <w:rPr>
          <w:rtl w:val="true"/>
        </w:rPr>
        <w:t>כמו כן נסקרה מדיניות הענישה הנוהגת ביחס לעבירות נגד בטחון המדינה ולעבירות סמים</w:t>
      </w:r>
      <w:r>
        <w:rPr>
          <w:rtl w:val="true"/>
        </w:rPr>
        <w:t xml:space="preserve">. </w:t>
      </w:r>
      <w:r>
        <w:rPr>
          <w:rtl w:val="true"/>
        </w:rPr>
        <w:t>בהתייחס לכל אלה</w:t>
      </w:r>
      <w:r>
        <w:rPr>
          <w:rtl w:val="true"/>
        </w:rPr>
        <w:t xml:space="preserve">, </w:t>
      </w:r>
      <w:r>
        <w:rPr>
          <w:rtl w:val="true"/>
        </w:rPr>
        <w:t>קבע בית המשפט כי מתחם העונש ההולם לאירוע כולו עומד על בין ארבע לשבע שנות מאסר בצירוף ענישה נלווית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מכאן פנה בית המשפט לקביעת העונש ההולם בגדרי המתחם</w:t>
      </w:r>
      <w:r>
        <w:rPr>
          <w:rtl w:val="true"/>
        </w:rPr>
        <w:t xml:space="preserve">. </w:t>
      </w:r>
      <w:r>
        <w:rPr>
          <w:rtl w:val="true"/>
        </w:rPr>
        <w:t>בית המשפט עמד על הנסיבות המצדיקות החמרה בעונשו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בכלל זה עברו הפלילי המכביד ובעיקר הרשעות קודמות בעבירות ביטחון וסמים משנת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 xml:space="preserve">ומשנת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בגינן גם ריצה שני עונשי מאסר</w:t>
      </w:r>
      <w:r>
        <w:rPr>
          <w:rtl w:val="true"/>
        </w:rPr>
        <w:t xml:space="preserve">. </w:t>
      </w:r>
      <w:r>
        <w:rPr>
          <w:rtl w:val="true"/>
        </w:rPr>
        <w:t>כן ניתן משקל משמעותי לכך שהמערער ביצע את העבירות סמוך לאחר שחרורו מתקופת המאסר השניה</w:t>
      </w:r>
      <w:r>
        <w:rPr>
          <w:rtl w:val="true"/>
        </w:rPr>
        <w:t xml:space="preserve">, </w:t>
      </w:r>
      <w:r>
        <w:rPr>
          <w:rtl w:val="true"/>
        </w:rPr>
        <w:t xml:space="preserve">ולכך שאף עונשי המאסר על תנאי שריחפו מעל ראשו </w:t>
      </w:r>
      <w:r>
        <w:rPr>
          <w:rtl w:val="true"/>
        </w:rPr>
        <w:t>(</w:t>
      </w:r>
      <w:r>
        <w:rPr>
          <w:rtl w:val="true"/>
        </w:rPr>
        <w:t xml:space="preserve">האחד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בגין עבירות סמים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והשני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בגין עבירה של קשירת קשר לפשע</w:t>
      </w:r>
      <w:r>
        <w:rPr>
          <w:rtl w:val="true"/>
        </w:rPr>
        <w:t xml:space="preserve">) </w:t>
      </w:r>
      <w:r>
        <w:rPr>
          <w:rtl w:val="true"/>
        </w:rPr>
        <w:t>לא הרתיעו אותו מלבצע את העבירות האמורות</w:t>
      </w:r>
      <w:r>
        <w:rPr>
          <w:rtl w:val="true"/>
        </w:rPr>
        <w:t xml:space="preserve">. </w:t>
      </w:r>
      <w:r>
        <w:rPr>
          <w:rtl w:val="true"/>
        </w:rPr>
        <w:t>צוין כי המערער זכה לשחרור מוקדם בכל אחת משתי תקופות המאסר</w:t>
      </w:r>
      <w:r>
        <w:rPr>
          <w:rtl w:val="true"/>
        </w:rPr>
        <w:t xml:space="preserve">, </w:t>
      </w:r>
      <w:r>
        <w:rPr>
          <w:rtl w:val="true"/>
        </w:rPr>
        <w:t>כאשר בכל פעם התנצל על מעשיו</w:t>
      </w:r>
      <w:r>
        <w:rPr>
          <w:rtl w:val="true"/>
        </w:rPr>
        <w:t xml:space="preserve">, </w:t>
      </w:r>
      <w:r>
        <w:rPr>
          <w:rtl w:val="true"/>
        </w:rPr>
        <w:t>אך כאמור</w:t>
      </w:r>
      <w:r>
        <w:rPr>
          <w:rtl w:val="true"/>
        </w:rPr>
        <w:t xml:space="preserve">, </w:t>
      </w:r>
      <w:r>
        <w:rPr>
          <w:rtl w:val="true"/>
        </w:rPr>
        <w:t>בסופו של דבר שב פעם אחר פעם לבצע מעשים דומים</w:t>
      </w:r>
      <w:r>
        <w:rPr>
          <w:rtl w:val="true"/>
        </w:rPr>
        <w:t xml:space="preserve">. </w:t>
      </w:r>
      <w:r>
        <w:rPr>
          <w:rtl w:val="true"/>
        </w:rPr>
        <w:t>באשר לנסיבות לקולא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יש להתחשב בתקופה הארוכה </w:t>
      </w:r>
      <w:r>
        <w:rPr>
          <w:rtl w:val="true"/>
        </w:rPr>
        <w:t>(</w:t>
      </w:r>
      <w:r>
        <w:rPr>
          <w:rtl w:val="true"/>
        </w:rPr>
        <w:t>למעלה מ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בה שהה המערער בתנאי מעצר שהינם קשים יותר מטבעם מתנאי 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נוכח כל אלה העמיד בית המשפט את עונשו של המערער </w:t>
      </w:r>
      <w:r>
        <w:rPr>
          <w:rtl w:val="true"/>
        </w:rPr>
        <w:t>"</w:t>
      </w:r>
      <w:r>
        <w:rPr>
          <w:rtl w:val="true"/>
        </w:rPr>
        <w:t>במרכזו</w:t>
      </w:r>
      <w:r>
        <w:rPr>
          <w:rtl w:val="true"/>
        </w:rPr>
        <w:t xml:space="preserve">" </w:t>
      </w:r>
      <w:r>
        <w:rPr>
          <w:rtl w:val="true"/>
        </w:rPr>
        <w:t>של המתחם</w:t>
      </w:r>
      <w:r>
        <w:rPr>
          <w:rtl w:val="true"/>
        </w:rPr>
        <w:t xml:space="preserve">, </w:t>
      </w:r>
      <w:r>
        <w:rPr>
          <w:rtl w:val="true"/>
        </w:rPr>
        <w:t xml:space="preserve">וגזר עליו כאמור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וחצי שנות מאסר בפועל </w:t>
      </w:r>
      <w:r>
        <w:rPr>
          <w:rtl w:val="true"/>
        </w:rPr>
        <w:t>(</w:t>
      </w:r>
      <w:r>
        <w:rPr>
          <w:rtl w:val="true"/>
        </w:rPr>
        <w:t xml:space="preserve">בניכוי ימי מעצר מיום </w:t>
      </w:r>
      <w:r>
        <w:rPr/>
        <w:t>29.7.2014</w:t>
      </w:r>
      <w:r>
        <w:rPr>
          <w:rtl w:val="true"/>
        </w:rPr>
        <w:t xml:space="preserve">), </w:t>
      </w:r>
      <w:r>
        <w:rPr>
          <w:rtl w:val="true"/>
        </w:rPr>
        <w:t xml:space="preserve">בצירוף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נוספים</w:t>
      </w:r>
      <w:r>
        <w:rPr>
          <w:rtl w:val="true"/>
        </w:rPr>
        <w:t xml:space="preserve">, </w:t>
      </w:r>
      <w:r>
        <w:rPr>
          <w:rtl w:val="true"/>
        </w:rPr>
        <w:t xml:space="preserve">בשל שתי תקופות מאסר מותנה שהוטלו על המערער </w:t>
      </w:r>
      <w:r>
        <w:rPr>
          <w:rtl w:val="true"/>
        </w:rPr>
        <w:t>(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40867-09-12</w:t>
        </w:r>
      </w:hyperlink>
      <w:r>
        <w:rPr>
          <w:rtl w:val="true"/>
        </w:rPr>
        <w:t xml:space="preserve">),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האחת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והשנייה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 המשפט קבע כי שני עונשי המאסר על תנאי ירוצו באופן חופף זה לזה</w:t>
      </w:r>
      <w:r>
        <w:rPr>
          <w:rtl w:val="true"/>
        </w:rPr>
        <w:t xml:space="preserve">, </w:t>
      </w:r>
      <w:r>
        <w:rPr>
          <w:rtl w:val="true"/>
        </w:rPr>
        <w:t xml:space="preserve">כך שלמעשה עונש המאסר על תנאי הועמד על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בלבד</w:t>
      </w:r>
      <w:r>
        <w:rPr>
          <w:rtl w:val="true"/>
        </w:rPr>
        <w:t xml:space="preserve">, </w:t>
      </w:r>
      <w:r>
        <w:rPr>
          <w:rtl w:val="true"/>
        </w:rPr>
        <w:t xml:space="preserve">כאשר נקבע כי מתוכם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יושתו באופן חופף לחודשי המאסר בפועל שנקבע כי על המערער לרצות</w:t>
      </w:r>
      <w:r>
        <w:rPr>
          <w:rtl w:val="true"/>
        </w:rPr>
        <w:t xml:space="preserve">, </w:t>
      </w:r>
      <w:r>
        <w:rPr>
          <w:rtl w:val="true"/>
        </w:rPr>
        <w:t xml:space="preserve">ורק את היתרה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ירצה המערער באופן מצטבר לעונש המאסר שהושת עליו בגין ביצוע העבירות בתיק זה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 xml:space="preserve">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לבל יעבור במשך שנתיים עבירות סמים מסוג פשע או עבירת בטחון מסוג פשע</w:t>
      </w:r>
      <w:r>
        <w:rPr>
          <w:rtl w:val="true"/>
        </w:rPr>
        <w:t xml:space="preserve">;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על תנאי שלא יעבור במשך שנתיים עבירת סמים מסוג עוון או עבירת בטחון מסוג עוון</w:t>
      </w:r>
      <w:r>
        <w:rPr>
          <w:rtl w:val="true"/>
        </w:rPr>
        <w:t xml:space="preserve">. </w:t>
      </w:r>
      <w:r>
        <w:rPr>
          <w:rtl w:val="true"/>
        </w:rPr>
        <w:t xml:space="preserve">כן נגזר על המערער קנס בסך של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עיקר טענת המערער במסגרת ערעורו על הכרעת הדין</w:t>
      </w:r>
      <w:r>
        <w:rPr>
          <w:rtl w:val="true"/>
        </w:rPr>
        <w:t xml:space="preserve">, </w:t>
      </w:r>
      <w:r>
        <w:rPr>
          <w:rtl w:val="true"/>
        </w:rPr>
        <w:t>בו הוא ייצג את עצמו</w:t>
      </w:r>
      <w:r>
        <w:rPr>
          <w:rtl w:val="true"/>
        </w:rPr>
        <w:t xml:space="preserve">, </w:t>
      </w:r>
      <w:r>
        <w:rPr>
          <w:rtl w:val="true"/>
        </w:rPr>
        <w:t>הייתה כי הופעל עליו לחץ קשה ומאסיבי על ידי אייל ובני חבורתו להשתתף בפעולת הברחת הסמים</w:t>
      </w:r>
      <w:r>
        <w:rPr>
          <w:rtl w:val="true"/>
        </w:rPr>
        <w:t xml:space="preserve">. </w:t>
      </w:r>
      <w:r>
        <w:rPr>
          <w:rtl w:val="true"/>
        </w:rPr>
        <w:t>זאת לדבריו</w:t>
      </w:r>
      <w:r>
        <w:rPr>
          <w:rtl w:val="true"/>
        </w:rPr>
        <w:t xml:space="preserve">, </w:t>
      </w:r>
      <w:r>
        <w:rPr>
          <w:rtl w:val="true"/>
        </w:rPr>
        <w:t xml:space="preserve">כנקמה על כך שהזכיר את שמותיהם במהלך חקירת פרשת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בשל סירובו לשתף פעולה עם פעולת ההברחה</w:t>
      </w:r>
      <w:r>
        <w:rPr>
          <w:rtl w:val="true"/>
        </w:rPr>
        <w:t xml:space="preserve">, </w:t>
      </w:r>
      <w:r>
        <w:rPr>
          <w:rtl w:val="true"/>
        </w:rPr>
        <w:t>אייל וחבורתו איימו עליו שוב ושוב כי יפגעו בו</w:t>
      </w:r>
      <w:r>
        <w:rPr>
          <w:rtl w:val="true"/>
        </w:rPr>
        <w:t xml:space="preserve">. </w:t>
      </w:r>
      <w:r>
        <w:rPr>
          <w:rtl w:val="true"/>
        </w:rPr>
        <w:t>פעם אחת גם פצעו אותו בפניו</w:t>
      </w:r>
      <w:r>
        <w:rPr>
          <w:rtl w:val="true"/>
        </w:rPr>
        <w:t xml:space="preserve">, </w:t>
      </w:r>
      <w:r>
        <w:rPr>
          <w:rtl w:val="true"/>
        </w:rPr>
        <w:t>בראשו ובכל חלקי גופו והוא נזקק לטיפול רפואי אך חשש לפנות לקבלת עזרה לאור האיומים על חייו ולבסוף קיבל טיפול רפואי בפיקוחו של נימר</w:t>
      </w:r>
      <w:r>
        <w:rPr>
          <w:rtl w:val="true"/>
        </w:rPr>
        <w:t xml:space="preserve">. </w:t>
      </w:r>
      <w:r>
        <w:rPr>
          <w:rtl w:val="true"/>
        </w:rPr>
        <w:t>בפעם אחרת</w:t>
      </w:r>
      <w:r>
        <w:rPr>
          <w:rtl w:val="true"/>
        </w:rPr>
        <w:t xml:space="preserve">, </w:t>
      </w:r>
      <w:r>
        <w:rPr>
          <w:rtl w:val="true"/>
        </w:rPr>
        <w:t>בני החבורה איימו עליו כי יפגעו בו באמצעות נשק וגם ירו עליו מעל ראשו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האיומים נגדו המשיכו עד ליום מעצרו</w:t>
      </w:r>
      <w:r>
        <w:rPr>
          <w:rtl w:val="true"/>
        </w:rPr>
        <w:t xml:space="preserve">. </w:t>
      </w:r>
      <w:r>
        <w:rPr>
          <w:rtl w:val="true"/>
        </w:rPr>
        <w:t xml:space="preserve">לבסוף ציין המערער בערעורו כי </w:t>
      </w:r>
      <w:r>
        <w:rPr>
          <w:rtl w:val="true"/>
        </w:rPr>
        <w:t>"</w:t>
      </w:r>
      <w:r>
        <w:rPr>
          <w:rtl w:val="true"/>
        </w:rPr>
        <w:t>העבירות לא בוצעו במחשבה תחילה ולא מתכנון ולא מרצון אלא מתוך סחיטה ואיומים ואלימות קשה לחיי מאייל והחבורה שלו</w:t>
      </w:r>
      <w:r>
        <w:rPr>
          <w:rtl w:val="true"/>
        </w:rPr>
        <w:t xml:space="preserve">...".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עוד טען המערער כי לא זכה בבית המשפט המחוזי ליצוג הולם</w:t>
      </w:r>
      <w:r>
        <w:rPr>
          <w:rtl w:val="true"/>
        </w:rPr>
        <w:t xml:space="preserve">, </w:t>
      </w:r>
      <w:r>
        <w:rPr>
          <w:rtl w:val="true"/>
        </w:rPr>
        <w:t>וכי בא</w:t>
      </w:r>
      <w:r>
        <w:rPr>
          <w:rtl w:val="true"/>
        </w:rPr>
        <w:t>-</w:t>
      </w:r>
      <w:r>
        <w:rPr>
          <w:rtl w:val="true"/>
        </w:rPr>
        <w:t>כוחו עו</w:t>
      </w:r>
      <w:r>
        <w:rPr>
          <w:rtl w:val="true"/>
        </w:rPr>
        <w:t>"</w:t>
      </w:r>
      <w:r>
        <w:rPr>
          <w:rtl w:val="true"/>
        </w:rPr>
        <w:t xml:space="preserve">ד עלאא אלדין עתאמנה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עתאמנה</w:t>
      </w:r>
      <w:r>
        <w:rPr>
          <w:rtl w:val="true"/>
        </w:rPr>
        <w:t xml:space="preserve">) </w:t>
      </w:r>
      <w:r>
        <w:rPr>
          <w:rtl w:val="true"/>
        </w:rPr>
        <w:t>פעל על דעת עצמו מבלי לשתף אותו בקו ההגנה</w:t>
      </w:r>
      <w:r>
        <w:rPr>
          <w:rtl w:val="true"/>
        </w:rPr>
        <w:t xml:space="preserve">, </w:t>
      </w:r>
      <w:r>
        <w:rPr>
          <w:rtl w:val="true"/>
        </w:rPr>
        <w:t>כשהוא גם משתף פעולה עם באת</w:t>
      </w:r>
      <w:r>
        <w:rPr>
          <w:rtl w:val="true"/>
        </w:rPr>
        <w:t>-</w:t>
      </w:r>
      <w:r>
        <w:rPr>
          <w:rtl w:val="true"/>
        </w:rPr>
        <w:t>כוחו של אייל</w:t>
      </w:r>
      <w:r>
        <w:rPr>
          <w:rtl w:val="true"/>
        </w:rPr>
        <w:t xml:space="preserve">. </w:t>
      </w:r>
      <w:r>
        <w:rPr>
          <w:rtl w:val="true"/>
        </w:rPr>
        <w:t>בניגוד לעמדתו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 xml:space="preserve">ד עתאמנה ויתר על האפשרות להעביר את מכשיר הטלפון הסלולרי שלו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המכשיר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מכשיר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הטלפון</w:t>
      </w:r>
      <w:r>
        <w:rPr>
          <w:rtl w:val="true"/>
        </w:rPr>
        <w:t xml:space="preserve">) </w:t>
      </w:r>
      <w:r>
        <w:rPr>
          <w:rtl w:val="true"/>
        </w:rPr>
        <w:t>לבדיקת מומחה</w:t>
      </w:r>
      <w:r>
        <w:rPr>
          <w:rtl w:val="true"/>
        </w:rPr>
        <w:t xml:space="preserve">, </w:t>
      </w:r>
      <w:r>
        <w:rPr>
          <w:rtl w:val="true"/>
        </w:rPr>
        <w:t>ובכך פגע בקו ההגנה שלו</w:t>
      </w:r>
      <w:r>
        <w:rPr>
          <w:rtl w:val="true"/>
        </w:rPr>
        <w:t xml:space="preserve">. </w:t>
      </w:r>
      <w:r>
        <w:rPr>
          <w:rtl w:val="true"/>
        </w:rPr>
        <w:t>עוד נטען על ידי המערער כי חקירתו התנהלה ברשלנות</w:t>
      </w:r>
      <w:r>
        <w:rPr>
          <w:rtl w:val="true"/>
        </w:rPr>
        <w:t xml:space="preserve">, </w:t>
      </w:r>
      <w:r>
        <w:rPr>
          <w:rtl w:val="true"/>
        </w:rPr>
        <w:t>כאשר חוקרי המשטרה סירבו לקיים עימות בינו לבין אייל חרף בקשתו כי יעשו כן</w:t>
      </w:r>
      <w:r>
        <w:rPr>
          <w:rtl w:val="true"/>
        </w:rPr>
        <w:t xml:space="preserve">, </w:t>
      </w:r>
      <w:r>
        <w:rPr>
          <w:rtl w:val="true"/>
        </w:rPr>
        <w:t>וגם סירבו לבקשתו לבדוק את התמונות השמורות בטלפון הסלולרי שלו המתעדות את פציעתו כתוצאה ממעשי אייל וחבורתו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לטענתו של המערער כי עו</w:t>
      </w:r>
      <w:r>
        <w:rPr>
          <w:rtl w:val="true"/>
        </w:rPr>
        <w:t>"</w:t>
      </w:r>
      <w:r>
        <w:rPr>
          <w:rtl w:val="true"/>
        </w:rPr>
        <w:t>ד עתאמנה ויתר על בדיקת מכשיר הטלפון שלו</w:t>
      </w:r>
      <w:r>
        <w:rPr>
          <w:rtl w:val="true"/>
        </w:rPr>
        <w:t xml:space="preserve">, </w:t>
      </w:r>
      <w:r>
        <w:rPr>
          <w:rtl w:val="true"/>
        </w:rPr>
        <w:t>באופן שפגע כאמור בהגנתו</w:t>
      </w:r>
      <w:r>
        <w:rPr>
          <w:rtl w:val="true"/>
        </w:rPr>
        <w:t xml:space="preserve">, </w:t>
      </w:r>
      <w:r>
        <w:rPr>
          <w:rtl w:val="true"/>
        </w:rPr>
        <w:t>הגיש המערער לפנינו בקשה להוספת ראיה חדשה</w:t>
      </w:r>
      <w:r>
        <w:rPr>
          <w:rtl w:val="true"/>
        </w:rPr>
        <w:t xml:space="preserve">, </w:t>
      </w:r>
      <w:r>
        <w:rPr>
          <w:rtl w:val="true"/>
        </w:rPr>
        <w:t>במסגרתה התבקש בית משפט זה להורות על שליחת המכשיר למעבדה לצורך שיחזור תמונות שהיו שמורות בו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בערעור על גזר הדין</w:t>
      </w:r>
      <w:r>
        <w:rPr>
          <w:rtl w:val="true"/>
        </w:rPr>
        <w:t xml:space="preserve">, </w:t>
      </w:r>
      <w:r>
        <w:rPr>
          <w:rtl w:val="true"/>
        </w:rPr>
        <w:t>נטען על ידי בא</w:t>
      </w:r>
      <w:r>
        <w:rPr>
          <w:rtl w:val="true"/>
        </w:rPr>
        <w:t>-</w:t>
      </w:r>
      <w:r>
        <w:rPr>
          <w:rtl w:val="true"/>
        </w:rPr>
        <w:t xml:space="preserve">כוח המערער מטעם הסנגוריה הציבורית </w:t>
      </w:r>
      <w:r>
        <w:rPr>
          <w:rtl w:val="true"/>
        </w:rPr>
        <w:t>(</w:t>
      </w:r>
      <w:r>
        <w:rPr>
          <w:rtl w:val="true"/>
        </w:rPr>
        <w:t>שייצגה את המערער רק לצורך הערעורים על גזר הדין</w:t>
      </w:r>
      <w:r>
        <w:rPr>
          <w:rtl w:val="true"/>
        </w:rPr>
        <w:t xml:space="preserve">) </w:t>
      </w:r>
      <w:r>
        <w:rPr>
          <w:rtl w:val="true"/>
        </w:rPr>
        <w:t xml:space="preserve">כי עונשו של המערער צריך היה להיות נמוך מזה של אייל </w:t>
      </w:r>
      <w:r>
        <w:rPr>
          <w:rtl w:val="true"/>
        </w:rPr>
        <w:t>(</w:t>
      </w:r>
      <w:r>
        <w:rPr>
          <w:rtl w:val="true"/>
        </w:rPr>
        <w:t>שנגזר עליו מאסר זהה לזה של המערער</w:t>
      </w:r>
      <w:r>
        <w:rPr>
          <w:rtl w:val="true"/>
        </w:rPr>
        <w:t xml:space="preserve">, </w:t>
      </w:r>
      <w:r>
        <w:rPr>
          <w:rtl w:val="true"/>
        </w:rPr>
        <w:t>היינו חמש שנים וחצי</w:t>
      </w:r>
      <w:r>
        <w:rPr>
          <w:rtl w:val="true"/>
        </w:rPr>
        <w:t xml:space="preserve">), </w:t>
      </w:r>
      <w:r>
        <w:rPr>
          <w:rtl w:val="true"/>
        </w:rPr>
        <w:t>זאת בשים לב לכך שחלקו של אייל בעבירות המשותפות לו ולמערער חמור בהרבה מחלקו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ובעיקר בהתחשב בעבירות הנוספות בהן הורשע אייל </w:t>
      </w:r>
      <w:r>
        <w:rPr>
          <w:rtl w:val="true"/>
        </w:rPr>
        <w:t>(</w:t>
      </w:r>
      <w:r>
        <w:rPr>
          <w:rtl w:val="true"/>
        </w:rPr>
        <w:t>קשירת קשר לביצוע פשע בעבירות נשק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 והובלת נשק וכן גניבה</w:t>
      </w:r>
      <w:r>
        <w:rPr>
          <w:rtl w:val="true"/>
        </w:rPr>
        <w:t xml:space="preserve">). </w:t>
      </w:r>
      <w:r>
        <w:rPr>
          <w:rtl w:val="true"/>
        </w:rPr>
        <w:t>כך נטען כי יש לייחס חשיבות יתרה לעיקרון אחידות הענישה במקרים בהם מדובר בנאשמים באותה פרשה או באותו כתב אישום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 המערער לדחות את מועד תשלום הקנס שהוטל עליו עד לאחר שחרורו מן המאסר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 טענה המשיבה לעניין הערעור על הכרעת הדין כי יש לדחות את גרסתו החדשה של המערער</w:t>
      </w:r>
      <w:r>
        <w:rPr>
          <w:rtl w:val="true"/>
        </w:rPr>
        <w:t xml:space="preserve">, </w:t>
      </w:r>
      <w:r>
        <w:rPr>
          <w:rtl w:val="true"/>
        </w:rPr>
        <w:t>לפיה הוא אכן ביצע את המעשים בגינם הורשע</w:t>
      </w:r>
      <w:r>
        <w:rPr>
          <w:rtl w:val="true"/>
        </w:rPr>
        <w:t xml:space="preserve">, </w:t>
      </w:r>
      <w:r>
        <w:rPr>
          <w:rtl w:val="true"/>
        </w:rPr>
        <w:t>אלא שעשה זאת תחת איומים ואלימות מצד אייל ובני חבורתו</w:t>
      </w:r>
      <w:r>
        <w:rPr>
          <w:rtl w:val="true"/>
        </w:rPr>
        <w:t xml:space="preserve">. </w:t>
      </w:r>
      <w:r>
        <w:rPr>
          <w:rtl w:val="true"/>
        </w:rPr>
        <w:t>טענת ה</w:t>
      </w:r>
      <w:r>
        <w:rPr>
          <w:rtl w:val="true"/>
        </w:rPr>
        <w:t>"</w:t>
      </w:r>
      <w:r>
        <w:rPr>
          <w:rtl w:val="true"/>
        </w:rPr>
        <w:t>כורח</w:t>
      </w:r>
      <w:r>
        <w:rPr>
          <w:rtl w:val="true"/>
        </w:rPr>
        <w:t xml:space="preserve">" </w:t>
      </w:r>
      <w:r>
        <w:rPr>
          <w:rtl w:val="true"/>
        </w:rPr>
        <w:t>שהעלה המערער נולדה בשלב מאוחר מאוד וללא הסבר סביר לכבישתה</w:t>
      </w:r>
      <w:r>
        <w:rPr>
          <w:rtl w:val="true"/>
        </w:rPr>
        <w:t xml:space="preserve">, </w:t>
      </w:r>
      <w:r>
        <w:rPr>
          <w:rtl w:val="true"/>
        </w:rPr>
        <w:t>והיא גם נעדרת בסיס עובדתי ומשפטי</w:t>
      </w:r>
      <w:r>
        <w:rPr>
          <w:rtl w:val="true"/>
        </w:rPr>
        <w:t xml:space="preserve">. </w:t>
      </w:r>
      <w:r>
        <w:rPr>
          <w:rtl w:val="true"/>
        </w:rPr>
        <w:t>גם טענת המערער בדבר ייצוג כושל נטענה בעלמא וללא כל ביסוס</w:t>
      </w:r>
      <w:r>
        <w:rPr>
          <w:rtl w:val="true"/>
        </w:rPr>
        <w:t xml:space="preserve">. </w:t>
      </w:r>
      <w:r>
        <w:rPr>
          <w:rtl w:val="true"/>
        </w:rPr>
        <w:t>באשר לבקשה להוספת ראיה חדשה שהגיש המערער</w:t>
      </w:r>
      <w:r>
        <w:rPr>
          <w:rtl w:val="true"/>
        </w:rPr>
        <w:t xml:space="preserve">, </w:t>
      </w:r>
      <w:r>
        <w:rPr>
          <w:rtl w:val="true"/>
        </w:rPr>
        <w:t>טענה המשיבה כי המערער לא הצביע על טעם כלשהו המצדיק את קבלת הבקשה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ערעורה שלה טענה המשיבה כי בית המשפט טעה בגזירת עונשו של המערער</w:t>
      </w:r>
      <w:r>
        <w:rPr>
          <w:rtl w:val="true"/>
        </w:rPr>
        <w:t xml:space="preserve">, </w:t>
      </w:r>
      <w:r>
        <w:rPr>
          <w:rtl w:val="true"/>
        </w:rPr>
        <w:t>עת קבע מתחם ענישה מקל אשר אינו נותן משקל מספק לערכים המוגנים השונים בהם פגע המערער</w:t>
      </w:r>
      <w:r>
        <w:rPr>
          <w:rtl w:val="true"/>
        </w:rPr>
        <w:t xml:space="preserve">, </w:t>
      </w:r>
      <w:r>
        <w:rPr>
          <w:rtl w:val="true"/>
        </w:rPr>
        <w:t>לנסיבות ביצוע המעשים ולסיכון הרב הטמון בהם</w:t>
      </w:r>
      <w:r>
        <w:rPr>
          <w:rtl w:val="true"/>
        </w:rPr>
        <w:t xml:space="preserve">. </w:t>
      </w:r>
      <w:r>
        <w:rPr>
          <w:rtl w:val="true"/>
        </w:rPr>
        <w:t>צוין כי על הסיכון הממשי המגולם במעשים ניתן ללמוד מעדותו של מומחה מטעם 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אליה גם התייחס בית המשפט במסגרת הכרעת הדין</w:t>
      </w:r>
      <w:r>
        <w:rPr>
          <w:rtl w:val="true"/>
        </w:rPr>
        <w:t xml:space="preserve">, </w:t>
      </w:r>
      <w:r>
        <w:rPr>
          <w:rtl w:val="true"/>
        </w:rPr>
        <w:t>ממנה עולה כי ארגון חיזבאללה עושה שימוש במבריחי סמים ישראליים על מנת להשיג מודיעין ולהבריח אמצעי לחימה לישראל באמצעותם</w:t>
      </w:r>
      <w:r>
        <w:rPr>
          <w:rtl w:val="true"/>
        </w:rPr>
        <w:t xml:space="preserve">. </w:t>
      </w:r>
      <w:r>
        <w:rPr>
          <w:rtl w:val="true"/>
        </w:rPr>
        <w:t>כן הדגישה המשיבה כי המערער נטל חלק משמעותי בביצוע המעשים ומנקודת הזמן בה הסכים להצטרף לקשר</w:t>
      </w:r>
      <w:r>
        <w:rPr>
          <w:rtl w:val="true"/>
        </w:rPr>
        <w:t xml:space="preserve">, </w:t>
      </w:r>
      <w:r>
        <w:rPr>
          <w:rtl w:val="true"/>
        </w:rPr>
        <w:t>קשה להבחין בין חלקו שלו לבין חלקו של אייל בביצוע העבירות</w:t>
      </w:r>
      <w:r>
        <w:rPr>
          <w:rtl w:val="true"/>
        </w:rPr>
        <w:t xml:space="preserve">. </w:t>
      </w:r>
      <w:r>
        <w:rPr>
          <w:rtl w:val="true"/>
        </w:rPr>
        <w:t>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נוכח הרשעתו בעבר פעמיים בפרשות קודמות בגינן גם ריצה עונשי מאסר ממושכים</w:t>
      </w:r>
      <w:r>
        <w:rPr>
          <w:rtl w:val="true"/>
        </w:rPr>
        <w:t xml:space="preserve">, </w:t>
      </w:r>
      <w:r>
        <w:rPr>
          <w:rtl w:val="true"/>
        </w:rPr>
        <w:t>מצדיקות אף הן חריגה לחומרה ממתחם העונש ההולם מטעמים של הגנה על שלום הציבור</w:t>
      </w:r>
      <w:r>
        <w:rPr>
          <w:rtl w:val="true"/>
        </w:rPr>
        <w:t xml:space="preserve">. </w:t>
      </w:r>
      <w:r>
        <w:rPr>
          <w:rtl w:val="true"/>
        </w:rPr>
        <w:t>בית המשפט גזר את עונשו של המערער באמצע המתחם שקבע</w:t>
      </w:r>
      <w:r>
        <w:rPr>
          <w:rtl w:val="true"/>
        </w:rPr>
        <w:t xml:space="preserve">, </w:t>
      </w:r>
      <w:r>
        <w:rPr>
          <w:rtl w:val="true"/>
        </w:rPr>
        <w:t>מבלי להצביע על נסיבות משמעותיות לקולא המצדיקות זאת</w:t>
      </w:r>
      <w:r>
        <w:rPr>
          <w:rtl w:val="true"/>
        </w:rPr>
        <w:t xml:space="preserve">. </w:t>
      </w:r>
      <w:r>
        <w:rPr>
          <w:rtl w:val="true"/>
        </w:rPr>
        <w:t>זאת בעוד שקיימים נימוקים כבדי משקל להחמרה בעונשו</w:t>
      </w:r>
      <w:r>
        <w:rPr>
          <w:rtl w:val="true"/>
        </w:rPr>
        <w:t xml:space="preserve">, </w:t>
      </w:r>
      <w:r>
        <w:rPr>
          <w:rtl w:val="true"/>
        </w:rPr>
        <w:t>וביניהם עברו הפלילי</w:t>
      </w:r>
      <w:r>
        <w:rPr>
          <w:rtl w:val="true"/>
        </w:rPr>
        <w:t xml:space="preserve">, </w:t>
      </w:r>
      <w:r>
        <w:rPr>
          <w:rtl w:val="true"/>
        </w:rPr>
        <w:t>העובדה שהמערער לא לקח אחריות על מעשיו ושיקולי הרתעת הרבים והיחיד המצדיקים מיקום העונש ברף העליון של המתחם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כן טענה המשיבה כי שגה בית המשפט המחוזי כאשר קבע כי המערער ירצה את עונש המאסר על תנאי שהושת עליו במסגרת פרשת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שהופעל בחפיפה חלקית</w:t>
      </w:r>
      <w:r>
        <w:rPr>
          <w:rtl w:val="true"/>
        </w:rPr>
        <w:t xml:space="preserve">, </w:t>
      </w:r>
      <w:r>
        <w:rPr>
          <w:rtl w:val="true"/>
        </w:rPr>
        <w:t xml:space="preserve">כך שיתווספו לעונש שהושת עליו עוד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בלבד</w:t>
      </w:r>
      <w:r>
        <w:rPr>
          <w:rtl w:val="true"/>
        </w:rPr>
        <w:t xml:space="preserve">. </w:t>
      </w:r>
      <w:r>
        <w:rPr>
          <w:rtl w:val="true"/>
        </w:rPr>
        <w:t>בית המשפט לא נימק מדוע יוטל עונש המאסר על תנאי באופן חופף</w:t>
      </w:r>
      <w:r>
        <w:rPr>
          <w:rtl w:val="true"/>
        </w:rPr>
        <w:t xml:space="preserve">, </w:t>
      </w:r>
      <w:r>
        <w:rPr>
          <w:rtl w:val="true"/>
        </w:rPr>
        <w:t xml:space="preserve">וזאת בניגוד להוראת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מכל מקום לא הייתה כל הצדקה לקבוע כי תקופות המאסר ירוצו באופן חופף זו לזו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ולקבל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הערעור על הכרעת הדין מתמקד בטענת המערער כי היה נתון לאיומים</w:t>
      </w:r>
      <w:r>
        <w:rPr>
          <w:rtl w:val="true"/>
        </w:rPr>
        <w:t xml:space="preserve">, </w:t>
      </w:r>
      <w:r>
        <w:rPr>
          <w:rtl w:val="true"/>
        </w:rPr>
        <w:t>ללחץ ולמעשי אלימות מצד אייל ובני חבורתו</w:t>
      </w:r>
      <w:r>
        <w:rPr>
          <w:rtl w:val="true"/>
        </w:rPr>
        <w:t xml:space="preserve">, </w:t>
      </w:r>
      <w:r>
        <w:rPr>
          <w:rtl w:val="true"/>
        </w:rPr>
        <w:t>איתם היה בסכסוך</w:t>
      </w:r>
      <w:r>
        <w:rPr>
          <w:rtl w:val="true"/>
        </w:rPr>
        <w:t xml:space="preserve">. </w:t>
      </w:r>
      <w:r>
        <w:rPr>
          <w:rtl w:val="true"/>
        </w:rPr>
        <w:t xml:space="preserve">טענה זו הועלתה לראשונה על ידו על דוכן העדים לפני בית המשפט המחוזי </w:t>
      </w:r>
      <w:r>
        <w:rPr>
          <w:rtl w:val="true"/>
        </w:rPr>
        <w:t>(</w:t>
      </w:r>
      <w:r>
        <w:rPr>
          <w:rtl w:val="true"/>
        </w:rPr>
        <w:t>לאחר שלא בא זכרה במסגרת הודעותיו של המערער במשטרה</w:t>
      </w:r>
      <w:r>
        <w:rPr>
          <w:rtl w:val="true"/>
        </w:rPr>
        <w:t xml:space="preserve">), </w:t>
      </w:r>
      <w:r>
        <w:rPr>
          <w:rtl w:val="true"/>
        </w:rPr>
        <w:t>אך באותו זמן לא נטען על ידי המערער כי בשל אותו לחץ הוא אכן ביצע את אותם מעשים</w:t>
      </w:r>
      <w:r>
        <w:rPr>
          <w:rtl w:val="true"/>
        </w:rPr>
        <w:t xml:space="preserve">. </w:t>
      </w:r>
      <w:r>
        <w:rPr>
          <w:rtl w:val="true"/>
        </w:rPr>
        <w:t>ההיפך הוא הנכון</w:t>
      </w:r>
      <w:r>
        <w:rPr>
          <w:rtl w:val="true"/>
        </w:rPr>
        <w:t xml:space="preserve">, </w:t>
      </w:r>
      <w:r>
        <w:rPr>
          <w:rtl w:val="true"/>
        </w:rPr>
        <w:t>הן במסגרת ההודעות שמסר המערער במשטרה והן על דוכן העדים</w:t>
      </w:r>
      <w:r>
        <w:rPr>
          <w:rtl w:val="true"/>
        </w:rPr>
        <w:t xml:space="preserve">, </w:t>
      </w:r>
      <w:r>
        <w:rPr>
          <w:rtl w:val="true"/>
        </w:rPr>
        <w:t>הוא הכחיש באופן גורף ונחרץ את ביצוע המעשים שיוחסו לו</w:t>
      </w:r>
      <w:r>
        <w:rPr>
          <w:rtl w:val="true"/>
        </w:rPr>
        <w:t xml:space="preserve">. </w:t>
      </w:r>
      <w:r>
        <w:rPr>
          <w:rtl w:val="true"/>
        </w:rPr>
        <w:t xml:space="preserve">לראשונה אפוא טוען המערער בערעור מעין טענת </w:t>
      </w:r>
      <w:r>
        <w:rPr>
          <w:rtl w:val="true"/>
        </w:rPr>
        <w:t>"</w:t>
      </w:r>
      <w:r>
        <w:rPr>
          <w:rtl w:val="true"/>
        </w:rPr>
        <w:t>כורח</w:t>
      </w:r>
      <w:r>
        <w:rPr>
          <w:rtl w:val="true"/>
        </w:rPr>
        <w:t xml:space="preserve">", </w:t>
      </w:r>
      <w:r>
        <w:rPr>
          <w:rtl w:val="true"/>
        </w:rPr>
        <w:t>לפיה בשל אותו לחץ ואותם איומים שהופעלו עליו הוא גם נאלץ לבצע את העבירות האמורות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יצוין כי טענות המערער בדבר קיומו של סכסוך עם אייל ואלימות שהופעלה עליו נדחתה על ידי בית המשפט המחוזי</w:t>
      </w:r>
      <w:r>
        <w:rPr>
          <w:rtl w:val="true"/>
        </w:rPr>
        <w:t xml:space="preserve">. </w:t>
      </w:r>
      <w:r>
        <w:rPr>
          <w:rtl w:val="true"/>
        </w:rPr>
        <w:t>נקבע כממצא עובדתי</w:t>
      </w:r>
      <w:r>
        <w:rPr>
          <w:rtl w:val="true"/>
        </w:rPr>
        <w:t xml:space="preserve">, </w:t>
      </w:r>
      <w:r>
        <w:rPr>
          <w:rtl w:val="true"/>
        </w:rPr>
        <w:t>כי אין ליתן אמון בגרסה זו והמדובר בגרסה רחוקה מהמציאות אשר נולדה אך לצורך המשפט</w:t>
      </w:r>
      <w:r>
        <w:rPr>
          <w:rtl w:val="true"/>
        </w:rPr>
        <w:t xml:space="preserve">, </w:t>
      </w:r>
      <w:r>
        <w:rPr>
          <w:rtl w:val="true"/>
        </w:rPr>
        <w:t xml:space="preserve">זאת שעה שהמערער </w:t>
      </w:r>
      <w:r>
        <w:rPr>
          <w:rtl w:val="true"/>
        </w:rPr>
        <w:t>(</w:t>
      </w:r>
      <w:r>
        <w:rPr>
          <w:rtl w:val="true"/>
        </w:rPr>
        <w:t>אשר במהלך חקירתו במשטרה עמד על כך שאין כל סכסוך בינו לבין אייל</w:t>
      </w:r>
      <w:r>
        <w:rPr>
          <w:rtl w:val="true"/>
        </w:rPr>
        <w:t xml:space="preserve">) </w:t>
      </w:r>
      <w:r>
        <w:rPr>
          <w:rtl w:val="true"/>
        </w:rPr>
        <w:t>כבש את גרסתו מבלי ליתן טעם לכך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ערכאת הערעור תימנע מלהתערב בדרך כלל בקביעות הערכאה הדיונית שעניינן בעובדות ובהערכת מהימנות של עדים נוכח היתרון השמור לערכאה הדיונית בשל התרשמותה מן העדים באופן ישיר ובלתי אמצעי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6890/04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בלאוסוב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(</w:t>
      </w:r>
      <w:r>
        <w:rPr/>
        <w:t>13.9.2005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1258/03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625</w:t>
      </w:r>
      <w:r>
        <w:rPr>
          <w:rtl w:val="true"/>
        </w:rPr>
        <w:t xml:space="preserve">, </w:t>
      </w:r>
      <w:r>
        <w:rPr/>
        <w:t>632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בדארנה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(</w:t>
      </w:r>
      <w:r>
        <w:rPr/>
        <w:t>22.1.2017</w:t>
      </w:r>
      <w:r>
        <w:rPr>
          <w:rtl w:val="true"/>
        </w:rPr>
        <w:t xml:space="preserve">)) </w:t>
      </w:r>
      <w:r>
        <w:rPr>
          <w:rtl w:val="true"/>
        </w:rPr>
        <w:t xml:space="preserve">והמערער לא הציג טעם משכנע מדוע לסטות מן הכלל האמור בנסיבות העניין </w:t>
      </w:r>
      <w:r>
        <w:rPr>
          <w:rtl w:val="true"/>
        </w:rPr>
        <w:t>(</w:t>
      </w:r>
      <w:r>
        <w:rPr>
          <w:rtl w:val="true"/>
        </w:rPr>
        <w:t>גם בהתחשב בכך שהגיש בקשה להוספת ראיה חדשה</w:t>
      </w:r>
      <w:r>
        <w:rPr>
          <w:rtl w:val="true"/>
        </w:rPr>
        <w:t xml:space="preserve">, </w:t>
      </w:r>
      <w:r>
        <w:rPr>
          <w:rtl w:val="true"/>
        </w:rPr>
        <w:t>אשר לטענתו יש בה חומר המבסס את גרסתו</w:t>
      </w:r>
      <w:r>
        <w:rPr>
          <w:rtl w:val="true"/>
        </w:rPr>
        <w:t xml:space="preserve">, </w:t>
      </w:r>
      <w:r>
        <w:rPr>
          <w:rtl w:val="true"/>
        </w:rPr>
        <w:t>אך גם דינהּ להידחות כפי שיובהר בהמשך</w:t>
      </w:r>
      <w:r>
        <w:rPr>
          <w:rtl w:val="true"/>
        </w:rPr>
        <w:t xml:space="preserve">). </w:t>
      </w:r>
      <w:r>
        <w:rPr>
          <w:rtl w:val="true"/>
        </w:rPr>
        <w:t>קביעתו של בית המשפט התבססה על בחינה מבוררת ועל התרשמות בלתי אמצעית מהעדויות והראיות שנפרשו לפניו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עמד בית המשפט על הפער הקיים בעניין זה בין הודעותיו של המערער במשטרה</w:t>
      </w:r>
      <w:r>
        <w:rPr>
          <w:rtl w:val="true"/>
        </w:rPr>
        <w:t xml:space="preserve">, </w:t>
      </w:r>
      <w:r>
        <w:rPr>
          <w:rtl w:val="true"/>
        </w:rPr>
        <w:t>במסגרתן טען כי אין כל סכסוך בינו לבין אייל</w:t>
      </w:r>
      <w:r>
        <w:rPr>
          <w:rtl w:val="true"/>
        </w:rPr>
        <w:t xml:space="preserve">, </w:t>
      </w:r>
      <w:r>
        <w:rPr>
          <w:rtl w:val="true"/>
        </w:rPr>
        <w:t>לבין טענתו על דוכן העדים</w:t>
      </w:r>
      <w:r>
        <w:rPr>
          <w:rtl w:val="true"/>
        </w:rPr>
        <w:t xml:space="preserve">, </w:t>
      </w:r>
      <w:r>
        <w:rPr>
          <w:rtl w:val="true"/>
        </w:rPr>
        <w:t>וגם על כך שהמערער לא הגיב באופן ענייני</w:t>
      </w:r>
      <w:r>
        <w:rPr>
          <w:rtl w:val="true"/>
        </w:rPr>
        <w:t xml:space="preserve">, </w:t>
      </w:r>
      <w:r>
        <w:rPr>
          <w:rtl w:val="true"/>
        </w:rPr>
        <w:t>כאשר עומת עם הסתירה בין גרסאותיו על דוכן העדים</w:t>
      </w:r>
      <w:r>
        <w:rPr>
          <w:rtl w:val="true"/>
        </w:rPr>
        <w:t xml:space="preserve">. </w:t>
      </w:r>
      <w:r>
        <w:rPr>
          <w:rtl w:val="true"/>
        </w:rPr>
        <w:t>כן עמד בית המשפט על מאפיינים נוספים המצביעים על היעדר אמינות בעדות המערער ובגרסה שמסר</w:t>
      </w:r>
      <w:r>
        <w:rPr>
          <w:rtl w:val="true"/>
        </w:rPr>
        <w:t xml:space="preserve">. </w:t>
      </w:r>
      <w:r>
        <w:rPr>
          <w:rtl w:val="true"/>
        </w:rPr>
        <w:t>מכאן כי לא נמצא כל טעם של ממש להתערב בממצאי העובדה ומהימנות שנקבעו בבית המשפט המחוזי בעניין 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נוכח דחיית גרסת המערער בדבר איומים שהושמעו נגדו ואלימות שהופעלה כלפיו</w:t>
      </w:r>
      <w:r>
        <w:rPr>
          <w:rtl w:val="true"/>
        </w:rPr>
        <w:t xml:space="preserve">, </w:t>
      </w:r>
      <w:r>
        <w:rPr>
          <w:rtl w:val="true"/>
        </w:rPr>
        <w:t>לכאורה מתייתרת בחינת הגרסה החלופית שהעלה המערער לראשונה בערעורו</w:t>
      </w:r>
      <w:r>
        <w:rPr>
          <w:rtl w:val="true"/>
        </w:rPr>
        <w:t xml:space="preserve">, </w:t>
      </w:r>
      <w:r>
        <w:rPr>
          <w:rtl w:val="true"/>
        </w:rPr>
        <w:t>לפיה בשל אותם איומים ומעשי אלימות הוא גם נאלץ לבצע את המעשים בגינם הורשע</w:t>
      </w:r>
      <w:r>
        <w:rPr>
          <w:rtl w:val="true"/>
        </w:rPr>
        <w:t xml:space="preserve">. </w:t>
      </w:r>
      <w:r>
        <w:rPr>
          <w:rtl w:val="true"/>
        </w:rPr>
        <w:t>ויודגש כי גרסה זו לפיה הופעלו עליו לחצים שגרמו לו לבצע את המעשים בגינם הורשע</w:t>
      </w:r>
      <w:r>
        <w:rPr>
          <w:rtl w:val="true"/>
        </w:rPr>
        <w:t xml:space="preserve">, </w:t>
      </w:r>
      <w:r>
        <w:rPr>
          <w:rtl w:val="true"/>
        </w:rPr>
        <w:t>סותרת כל גרסה אחרת שנמסרה על ידו במשטרה ועל דוכן העדים</w:t>
      </w:r>
      <w:r>
        <w:rPr>
          <w:rtl w:val="true"/>
        </w:rPr>
        <w:t xml:space="preserve">, </w:t>
      </w:r>
      <w:r>
        <w:rPr>
          <w:rtl w:val="true"/>
        </w:rPr>
        <w:t>בהן עמד המערער על כך שלא ביצע דבר מהמיוחס לו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בנסיבות העניין לא ניתן להידרש לגרסה חדשה זו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בפסיקת בית משפט זה הובעו גישות שונות באשר לשאלה האם ובאיזו מידה ניתן להידרש לגרסה עובדתית חלופית שנטענה לראשונה בשלב הערעור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6952/07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רפאילוב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28.6.2010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רפאילוב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5041/04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11.10.2005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8005/04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אברוטין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29.3.2007</w:t>
      </w:r>
      <w:r>
        <w:rPr>
          <w:rtl w:val="true"/>
        </w:rPr>
        <w:t xml:space="preserve">)). </w:t>
      </w:r>
      <w:r>
        <w:rPr>
          <w:rtl w:val="true"/>
        </w:rPr>
        <w:t>אך העיקרון המשותף לגישות השונות הוא</w:t>
      </w:r>
      <w:r>
        <w:rPr>
          <w:rtl w:val="true"/>
        </w:rPr>
        <w:t xml:space="preserve">, </w:t>
      </w:r>
      <w:r>
        <w:rPr>
          <w:rtl w:val="true"/>
        </w:rPr>
        <w:t xml:space="preserve">כי קו ההגנה החלופי צריך להיות סביר ומעוגן בראיות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רפאילוב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170</w:t>
      </w:r>
      <w:r>
        <w:rPr>
          <w:rtl w:val="true"/>
        </w:rPr>
        <w:t xml:space="preserve"> (</w:t>
      </w:r>
      <w:r>
        <w:rPr/>
        <w:t>10.11.2011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5964/13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1.6.2015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2550/15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שאפא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7.4.2017</w:t>
      </w:r>
      <w:r>
        <w:rPr>
          <w:rtl w:val="true"/>
        </w:rPr>
        <w:t xml:space="preserve">)).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אף אם ננקוט בגישה המקלה לפיה ניתן לבחון גרסה עובדתית חלופית בשלב הערעור</w:t>
      </w:r>
      <w:r>
        <w:rPr>
          <w:rtl w:val="true"/>
        </w:rPr>
        <w:t xml:space="preserve">, </w:t>
      </w:r>
      <w:r>
        <w:rPr>
          <w:rtl w:val="true"/>
        </w:rPr>
        <w:t>נוכח העובדה שגרסתו החלופית של המערער אינה מעוגנת כלל בחומר הראיות</w:t>
      </w:r>
      <w:r>
        <w:rPr>
          <w:rtl w:val="true"/>
        </w:rPr>
        <w:t xml:space="preserve">, </w:t>
      </w:r>
      <w:r>
        <w:rPr>
          <w:rtl w:val="true"/>
        </w:rPr>
        <w:t>לכל הדעות די בכך כדי לדחותה</w:t>
      </w:r>
      <w:r>
        <w:rPr>
          <w:rtl w:val="true"/>
        </w:rPr>
        <w:t xml:space="preserve">. </w:t>
      </w:r>
      <w:r>
        <w:rPr>
          <w:rtl w:val="true"/>
        </w:rPr>
        <w:t>המדובר בגרסה השונה בתכלית מגרסאות המערער כפי שנמסרו עד כה</w:t>
      </w:r>
      <w:r>
        <w:rPr>
          <w:rtl w:val="true"/>
        </w:rPr>
        <w:t xml:space="preserve">, </w:t>
      </w:r>
      <w:r>
        <w:rPr>
          <w:rtl w:val="true"/>
        </w:rPr>
        <w:t>שעה שבמסגרת ההליך שהתנהל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 עמד על כך כאמור שלא ביצע כלל את המעשים המיוחסים לו</w:t>
      </w:r>
      <w:r>
        <w:rPr>
          <w:rtl w:val="true"/>
        </w:rPr>
        <w:t xml:space="preserve">, </w:t>
      </w:r>
      <w:r>
        <w:rPr>
          <w:rtl w:val="true"/>
        </w:rPr>
        <w:t xml:space="preserve">ואף טען כי לא שהה כלל במטולה </w:t>
      </w:r>
      <w:r>
        <w:rPr>
          <w:rtl w:val="true"/>
        </w:rPr>
        <w:t>(</w:t>
      </w:r>
      <w:r>
        <w:rPr>
          <w:rtl w:val="true"/>
        </w:rPr>
        <w:t>חרף איכון מכשיר הטלפון הסלולרי שלו שהצביע על מיקומו שם</w:t>
      </w:r>
      <w:r>
        <w:rPr>
          <w:rtl w:val="true"/>
        </w:rPr>
        <w:t xml:space="preserve">), </w:t>
      </w:r>
      <w:r>
        <w:rPr>
          <w:rtl w:val="true"/>
        </w:rPr>
        <w:t>ואילו עתה טוען כי אכן ביצע את המעשים המיוחסים לו</w:t>
      </w:r>
      <w:r>
        <w:rPr>
          <w:rtl w:val="true"/>
        </w:rPr>
        <w:t xml:space="preserve">, </w:t>
      </w:r>
      <w:r>
        <w:rPr>
          <w:rtl w:val="true"/>
        </w:rPr>
        <w:t>אבל עשה כן מפאת כורח ואילוץ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המערער אשר מודה כיום ולוּ בחצי פה כי שיקר לכל אורך הדרך בדיונים שנערכו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מוטל נטל כבד להראות כי הפעם דבריו דברי אמת</w:t>
      </w:r>
      <w:r>
        <w:rPr>
          <w:rtl w:val="true"/>
        </w:rPr>
        <w:t xml:space="preserve">, </w:t>
      </w:r>
      <w:r>
        <w:rPr>
          <w:rtl w:val="true"/>
        </w:rPr>
        <w:t>נטל שאינו עומד בו</w:t>
      </w:r>
      <w:r>
        <w:rPr>
          <w:rtl w:val="true"/>
        </w:rPr>
        <w:t xml:space="preserve">. </w:t>
      </w:r>
      <w:r>
        <w:rPr>
          <w:rtl w:val="true"/>
        </w:rPr>
        <w:t>טענתו של המערער הסתכמה בכך שטען</w:t>
      </w:r>
      <w:r>
        <w:rPr>
          <w:rtl w:val="true"/>
        </w:rPr>
        <w:t xml:space="preserve">, </w:t>
      </w:r>
      <w:r>
        <w:rPr>
          <w:rtl w:val="true"/>
        </w:rPr>
        <w:t>בלקוניות ובקצרה</w:t>
      </w:r>
      <w:r>
        <w:rPr>
          <w:rtl w:val="true"/>
        </w:rPr>
        <w:t xml:space="preserve">, </w:t>
      </w:r>
      <w:r>
        <w:rPr>
          <w:rtl w:val="true"/>
        </w:rPr>
        <w:t>כי אכן ביצע את העבירות המיוחסות לו</w:t>
      </w:r>
      <w:r>
        <w:rPr>
          <w:rtl w:val="true"/>
        </w:rPr>
        <w:t xml:space="preserve">, </w:t>
      </w:r>
      <w:r>
        <w:rPr>
          <w:rtl w:val="true"/>
        </w:rPr>
        <w:t>אולם רק בשל הלחץ והאיומים שהופעלו עליו</w:t>
      </w:r>
      <w:r>
        <w:rPr>
          <w:rtl w:val="true"/>
        </w:rPr>
        <w:t xml:space="preserve">. </w:t>
      </w:r>
      <w:r>
        <w:rPr>
          <w:rtl w:val="true"/>
        </w:rPr>
        <w:t>המערער גם לא סיפק כל הסבר סביר לכבישת גרסה זו</w:t>
      </w:r>
      <w:r>
        <w:rPr>
          <w:rtl w:val="true"/>
        </w:rPr>
        <w:t xml:space="preserve">, </w:t>
      </w:r>
      <w:r>
        <w:rPr>
          <w:rtl w:val="true"/>
        </w:rPr>
        <w:t>על אחת כמה וכמה שגם במסגרת הגרסה המתפתחת שמסר בעדותו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טען כי היה בסכסוך עם אייל ובני חבורתו גם איימו עליו</w:t>
      </w:r>
      <w:r>
        <w:rPr>
          <w:rtl w:val="true"/>
        </w:rPr>
        <w:t xml:space="preserve">, </w:t>
      </w:r>
      <w:r>
        <w:rPr>
          <w:rtl w:val="true"/>
        </w:rPr>
        <w:t>אך לא טען כאמור כי מדובר במסכת איומי</w:t>
      </w:r>
      <w:r>
        <w:rPr>
          <w:rFonts w:ascii="Century" w:hAnsi="Century" w:cs="Century"/>
          <w:sz w:val="22"/>
          <w:sz w:val="22"/>
          <w:rtl w:val="true"/>
        </w:rPr>
        <w:t>ם אשר הובילה לביצוע העבירות</w:t>
      </w:r>
      <w:r>
        <w:rPr>
          <w:rtl w:val="true"/>
        </w:rPr>
        <w:t xml:space="preserve"> בהן הואשם</w:t>
      </w:r>
      <w:r>
        <w:rPr>
          <w:rtl w:val="true"/>
        </w:rPr>
        <w:t xml:space="preserve">. </w:t>
      </w:r>
      <w:r>
        <w:rPr>
          <w:rtl w:val="true"/>
        </w:rPr>
        <w:t>שינוי גרסת המערער בעת הזו מייצרת את הרושם כי מדובר בגרסה מתעתעת נוספת בה מבקש המערער לאחוז</w:t>
      </w:r>
      <w:r>
        <w:rPr>
          <w:rtl w:val="true"/>
        </w:rPr>
        <w:t xml:space="preserve">, </w:t>
      </w:r>
      <w:r>
        <w:rPr>
          <w:rtl w:val="true"/>
        </w:rPr>
        <w:t>נוסף על גרסתו המתפתחת שהועלתה לפני בית המשפט המחוזי ונדחתה על ידו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ראיה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הגיש כאמור בקשה להוספת ראיה בשלב הערעור</w:t>
      </w:r>
      <w:r>
        <w:rPr>
          <w:rtl w:val="true"/>
        </w:rPr>
        <w:t xml:space="preserve">, </w:t>
      </w:r>
      <w:r>
        <w:rPr>
          <w:rtl w:val="true"/>
        </w:rPr>
        <w:t>במסגרתה התבקש בית המשפט להורות על בדיקת מכשיר הטלפון במעבדה</w:t>
      </w:r>
      <w:r>
        <w:rPr>
          <w:rtl w:val="true"/>
        </w:rPr>
        <w:t xml:space="preserve">, </w:t>
      </w:r>
      <w:r>
        <w:rPr>
          <w:rtl w:val="true"/>
        </w:rPr>
        <w:t>על מנת לחשוף תמונות השמורות בו</w:t>
      </w:r>
      <w:r>
        <w:rPr>
          <w:rtl w:val="true"/>
        </w:rPr>
        <w:t xml:space="preserve">, </w:t>
      </w:r>
      <w:r>
        <w:rPr>
          <w:rtl w:val="true"/>
        </w:rPr>
        <w:t>אשר יש בהן לטענתו כדי לחזק את גרסתו בדבר האלימות שננקטה כלפיו</w:t>
      </w:r>
      <w:r>
        <w:rPr>
          <w:rtl w:val="true"/>
        </w:rPr>
        <w:t xml:space="preserve">. </w:t>
      </w:r>
      <w:r>
        <w:rPr>
          <w:rtl w:val="true"/>
        </w:rPr>
        <w:t>אלא שהגשת ראיות חדשות בשלב הערעור היא בגדר החריג לכלל</w:t>
      </w:r>
      <w:r>
        <w:rPr>
          <w:rtl w:val="true"/>
        </w:rPr>
        <w:t xml:space="preserve">, </w:t>
      </w:r>
      <w:r>
        <w:rPr>
          <w:rtl w:val="true"/>
        </w:rPr>
        <w:t xml:space="preserve">אשר יתאפשר רק כאשר סוברת ערכאת הערעור כי הגשת הראיות נדרשת </w:t>
      </w:r>
      <w:r>
        <w:rPr>
          <w:rtl w:val="true"/>
        </w:rPr>
        <w:t>"</w:t>
      </w:r>
      <w:r>
        <w:rPr>
          <w:rtl w:val="true"/>
        </w:rPr>
        <w:t>לעשיית צדק</w:t>
      </w:r>
      <w:r>
        <w:rPr>
          <w:rtl w:val="true"/>
        </w:rPr>
        <w:t>" (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). </w:t>
      </w:r>
      <w:r>
        <w:rPr>
          <w:rtl w:val="true"/>
        </w:rPr>
        <w:t>בחינת בקשת המערער בראי השיקולים שהותוו בפסיקה מעלה כי אין לקבל את הבקשה</w:t>
      </w:r>
      <w:r>
        <w:rPr>
          <w:rtl w:val="true"/>
        </w:rPr>
        <w:t xml:space="preserve">. </w:t>
      </w:r>
      <w:r>
        <w:rPr>
          <w:rtl w:val="true"/>
        </w:rPr>
        <w:t>בעת בחינת בקשה מסוג זה</w:t>
      </w:r>
      <w:r>
        <w:rPr>
          <w:rtl w:val="true"/>
        </w:rPr>
        <w:t xml:space="preserve">, </w:t>
      </w:r>
      <w:r>
        <w:rPr>
          <w:rtl w:val="true"/>
        </w:rPr>
        <w:t>על בית המשפט לשקול האם הראיות לא הוצגו בערכאה הדיונית מסיבה מוצדקת שאינה תלויה במבקש</w:t>
      </w:r>
      <w:r>
        <w:rPr>
          <w:rtl w:val="true"/>
        </w:rPr>
        <w:t xml:space="preserve">; </w:t>
      </w:r>
      <w:r>
        <w:rPr>
          <w:rtl w:val="true"/>
        </w:rPr>
        <w:t>את האינטרס בדבר סופיות הדיון</w:t>
      </w:r>
      <w:r>
        <w:rPr>
          <w:rtl w:val="true"/>
        </w:rPr>
        <w:t xml:space="preserve">; </w:t>
      </w:r>
      <w:r>
        <w:rPr>
          <w:rtl w:val="true"/>
        </w:rPr>
        <w:t xml:space="preserve">את טיבן של הראיות הנוספות וההסתברות או הסיכוי שבהגשתן אכן יהיה כדי לשנות את התוצאה אליה הגיעה הערכאה הדיונית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1742/91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פופר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295-296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5874/00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לזרובסקי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249</w:t>
      </w:r>
      <w:r>
        <w:rPr>
          <w:rtl w:val="true"/>
        </w:rPr>
        <w:t xml:space="preserve">, </w:t>
      </w:r>
      <w:r>
        <w:rPr/>
        <w:t>257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3.8.2011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קחסאי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(</w:t>
      </w:r>
      <w:r>
        <w:rPr/>
        <w:t>11.7.2017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4.7.2017</w:t>
      </w:r>
      <w:r>
        <w:rPr>
          <w:rtl w:val="true"/>
        </w:rPr>
        <w:t xml:space="preserve">)).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החלטה בבקשה להגשת ראיות חדשות נשענת על שקילת כל השיקולים הרלוונטיים לעניין</w:t>
      </w:r>
      <w:r>
        <w:rPr>
          <w:rtl w:val="true"/>
        </w:rPr>
        <w:t xml:space="preserve">, </w:t>
      </w:r>
      <w:r>
        <w:rPr>
          <w:rtl w:val="true"/>
        </w:rPr>
        <w:t>תוך איזון ביניהם כאשר על המבקש להצביע מדוע נוטה הכף</w:t>
      </w:r>
      <w:r>
        <w:rPr>
          <w:rtl w:val="true"/>
        </w:rPr>
        <w:t xml:space="preserve">, </w:t>
      </w:r>
      <w:r>
        <w:rPr>
          <w:rtl w:val="true"/>
        </w:rPr>
        <w:t>באיזון בין השיקולים</w:t>
      </w:r>
      <w:r>
        <w:rPr>
          <w:rtl w:val="true"/>
        </w:rPr>
        <w:t xml:space="preserve">, </w:t>
      </w:r>
      <w:r>
        <w:rPr>
          <w:rtl w:val="true"/>
        </w:rPr>
        <w:t xml:space="preserve">לטובת קבלת הבקשה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9447/12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(</w:t>
      </w:r>
      <w:r>
        <w:rPr/>
        <w:t>2.2.2014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לשיקול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tl w:val="true"/>
        </w:rPr>
        <w:t xml:space="preserve"> </w:t>
      </w: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יכ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להשיג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שהתקיים</w:t>
      </w:r>
      <w:r>
        <w:rPr>
          <w:rtl w:val="true"/>
        </w:rPr>
        <w:t xml:space="preserve"> </w:t>
      </w:r>
      <w:r>
        <w:rPr>
          <w:rtl w:val="true"/>
        </w:rPr>
        <w:t>בערכאה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להציג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, </w:t>
      </w:r>
      <w:r>
        <w:rPr>
          <w:rtl w:val="true"/>
        </w:rPr>
        <w:t>וליתר</w:t>
      </w:r>
      <w:r>
        <w:rPr>
          <w:rtl w:val="true"/>
        </w:rPr>
        <w:t xml:space="preserve"> </w:t>
      </w:r>
      <w:r>
        <w:rPr>
          <w:rtl w:val="true"/>
        </w:rPr>
        <w:t>דיוק</w:t>
      </w:r>
      <w:r>
        <w:rPr>
          <w:rtl w:val="true"/>
        </w:rPr>
        <w:t xml:space="preserve"> </w:t>
      </w:r>
      <w:r>
        <w:rPr>
          <w:rtl w:val="true"/>
        </w:rPr>
        <w:t>להעביר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המכשיר</w:t>
      </w:r>
      <w:r>
        <w:rPr>
          <w:rtl w:val="true"/>
        </w:rPr>
        <w:t xml:space="preserve"> </w:t>
      </w:r>
      <w:r>
        <w:rPr>
          <w:rtl w:val="true"/>
        </w:rPr>
        <w:t>לבדיקת</w:t>
      </w:r>
      <w:r>
        <w:rPr>
          <w:rtl w:val="true"/>
        </w:rPr>
        <w:t xml:space="preserve"> </w:t>
      </w:r>
      <w:r>
        <w:rPr>
          <w:rtl w:val="true"/>
        </w:rPr>
        <w:t>מעבדה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</w:t>
      </w:r>
      <w:r>
        <w:rPr>
          <w:rtl w:val="true"/>
        </w:rPr>
        <w:t>יצוג</w:t>
      </w:r>
      <w:r>
        <w:rPr>
          <w:rtl w:val="true"/>
        </w:rPr>
        <w:t xml:space="preserve"> </w:t>
      </w:r>
      <w:r>
        <w:rPr>
          <w:rtl w:val="true"/>
        </w:rPr>
        <w:t>הכושל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טענת </w:t>
      </w:r>
      <w:r>
        <w:rPr>
          <w:rtl w:val="true"/>
        </w:rPr>
        <w:t>"</w:t>
      </w:r>
      <w:r>
        <w:rPr>
          <w:rtl w:val="true"/>
        </w:rPr>
        <w:t>הייצוג הכושל</w:t>
      </w:r>
      <w:r>
        <w:rPr>
          <w:rtl w:val="true"/>
        </w:rPr>
        <w:t xml:space="preserve">" </w:t>
      </w:r>
      <w:r>
        <w:rPr>
          <w:rtl w:val="true"/>
        </w:rPr>
        <w:t>לא נטענה במילים אלה ממש</w:t>
      </w:r>
      <w:r>
        <w:rPr>
          <w:rtl w:val="true"/>
        </w:rPr>
        <w:t xml:space="preserve">, </w:t>
      </w:r>
      <w:r>
        <w:rPr>
          <w:rtl w:val="true"/>
        </w:rPr>
        <w:t>אך כך משתמע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להרחיב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כשל</w:t>
      </w:r>
      <w:r>
        <w:rPr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 כאמור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 </w:t>
      </w:r>
      <w:r>
        <w:rPr>
          <w:rtl w:val="true"/>
        </w:rPr>
        <w:t>שנוהלו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הובא</w:t>
      </w:r>
      <w:r>
        <w:rPr>
          <w:rtl w:val="true"/>
        </w:rPr>
        <w:t xml:space="preserve"> </w:t>
      </w:r>
      <w:r>
        <w:rPr>
          <w:rtl w:val="true"/>
        </w:rPr>
        <w:t>מכשיר</w:t>
      </w:r>
      <w:r>
        <w:rPr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 </w:t>
      </w:r>
      <w:r>
        <w:rPr>
          <w:rtl w:val="true"/>
        </w:rPr>
        <w:t>כמוצג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לאולם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הטלפון הובא </w:t>
      </w:r>
      <w:r>
        <w:rPr>
          <w:rtl w:val="true"/>
        </w:rPr>
        <w:t>לבקשת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במכשיר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גבי</w:t>
      </w:r>
      <w:r>
        <w:rPr>
          <w:rtl w:val="true"/>
        </w:rPr>
        <w:t xml:space="preserve"> </w:t>
      </w:r>
      <w:r>
        <w:rPr>
          <w:rtl w:val="true"/>
        </w:rPr>
        <w:t>כרטיס</w:t>
      </w:r>
      <w:r>
        <w:rPr>
          <w:rtl w:val="true"/>
        </w:rPr>
        <w:t xml:space="preserve"> </w:t>
      </w:r>
      <w:r>
        <w:rPr>
          <w:rtl w:val="true"/>
        </w:rPr>
        <w:t>הזיכרון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 </w:t>
      </w:r>
      <w:r>
        <w:rPr>
          <w:rtl w:val="true"/>
        </w:rPr>
        <w:t>מצויות</w:t>
      </w:r>
      <w:r>
        <w:rPr>
          <w:rtl w:val="true"/>
        </w:rPr>
        <w:t xml:space="preserve"> </w:t>
      </w:r>
      <w:r>
        <w:rPr>
          <w:rtl w:val="true"/>
        </w:rPr>
        <w:t>תמונות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סבל</w:t>
      </w:r>
      <w:r>
        <w:rPr>
          <w:rtl w:val="true"/>
        </w:rPr>
        <w:t xml:space="preserve"> </w:t>
      </w:r>
      <w:r>
        <w:rPr>
          <w:rtl w:val="true"/>
        </w:rPr>
        <w:t>מפציעות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 </w:t>
      </w:r>
      <w:r>
        <w:rPr>
          <w:rtl w:val="true"/>
        </w:rPr>
        <w:t>ידני</w:t>
      </w:r>
      <w:r>
        <w:rPr>
          <w:rtl w:val="true"/>
        </w:rPr>
        <w:t xml:space="preserve"> </w:t>
      </w:r>
      <w:r>
        <w:rPr>
          <w:rtl w:val="true"/>
        </w:rPr>
        <w:t>במכשיר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איתר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מכשיר</w:t>
      </w:r>
      <w:r>
        <w:rPr>
          <w:rtl w:val="true"/>
        </w:rPr>
        <w:t xml:space="preserve"> </w:t>
      </w:r>
      <w:r>
        <w:rPr>
          <w:rtl w:val="true"/>
        </w:rPr>
        <w:t>יועבר ל</w:t>
      </w:r>
      <w:r>
        <w:rPr>
          <w:rtl w:val="true"/>
        </w:rPr>
        <w:t>בדיקה</w:t>
      </w:r>
      <w:r>
        <w:rPr>
          <w:rtl w:val="true"/>
        </w:rPr>
        <w:t xml:space="preserve"> </w:t>
      </w:r>
      <w:r>
        <w:rPr>
          <w:rtl w:val="true"/>
        </w:rPr>
        <w:t>מעמיקה</w:t>
      </w:r>
      <w:r>
        <w:rPr>
          <w:rtl w:val="true"/>
        </w:rPr>
        <w:t xml:space="preserve"> </w:t>
      </w:r>
      <w:r>
        <w:rPr>
          <w:rtl w:val="true"/>
        </w:rPr>
        <w:t>במעבדה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14.10.2015</w:t>
      </w:r>
      <w:r>
        <w:rPr>
          <w:rtl w:val="true"/>
        </w:rPr>
        <w:t xml:space="preserve"> </w:t>
      </w:r>
      <w:r>
        <w:rPr>
          <w:rtl w:val="true"/>
        </w:rPr>
        <w:t>להעביר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המכשיר</w:t>
      </w:r>
      <w:r>
        <w:rPr>
          <w:rtl w:val="true"/>
        </w:rPr>
        <w:t xml:space="preserve"> </w:t>
      </w:r>
      <w:r>
        <w:rPr>
          <w:rtl w:val="true"/>
        </w:rPr>
        <w:t>לבדיקת</w:t>
      </w:r>
      <w:r>
        <w:rPr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 </w:t>
      </w:r>
      <w:r>
        <w:rPr>
          <w:rtl w:val="true"/>
        </w:rPr>
        <w:t>בליווי</w:t>
      </w:r>
      <w:r>
        <w:rPr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  <w:r>
        <w:rPr>
          <w:rtl w:val="true"/>
        </w:rPr>
        <w:t>אלא ש</w:t>
      </w:r>
      <w:r>
        <w:rPr>
          <w:rtl w:val="true"/>
        </w:rPr>
        <w:t>המכשיר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הועבר</w:t>
      </w:r>
      <w:r>
        <w:rPr>
          <w:rtl w:val="true"/>
        </w:rPr>
        <w:t xml:space="preserve"> </w:t>
      </w:r>
      <w:r>
        <w:rPr>
          <w:rtl w:val="true"/>
        </w:rPr>
        <w:t>למעבדה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שביום</w:t>
      </w:r>
      <w:r>
        <w:rPr>
          <w:rtl w:val="true"/>
        </w:rPr>
        <w:t xml:space="preserve"> </w:t>
      </w:r>
      <w:r>
        <w:rPr/>
        <w:t>29.10.2015</w:t>
      </w:r>
      <w:r>
        <w:rPr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עתאמנה</w:t>
      </w:r>
      <w:r>
        <w:rPr>
          <w:rtl w:val="true"/>
        </w:rPr>
        <w:t xml:space="preserve"> </w:t>
      </w:r>
      <w:r>
        <w:rPr>
          <w:rtl w:val="true"/>
        </w:rPr>
        <w:t xml:space="preserve">שייצג את המערער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הסנגוריה</w:t>
      </w:r>
      <w:r>
        <w:rPr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 </w:t>
      </w:r>
      <w:r>
        <w:rPr>
          <w:rtl w:val="true"/>
        </w:rPr>
        <w:t>החליטה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הת</w:t>
      </w:r>
      <w:r>
        <w:rPr>
          <w:rtl w:val="true"/>
        </w:rPr>
        <w:t>י</w:t>
      </w:r>
      <w:r>
        <w:rPr>
          <w:rtl w:val="true"/>
        </w:rPr>
        <w:t>יעצויות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מתכוונת</w:t>
      </w:r>
      <w:r>
        <w:rPr>
          <w:rtl w:val="true"/>
        </w:rPr>
        <w:t xml:space="preserve"> </w:t>
      </w:r>
      <w:r>
        <w:rPr>
          <w:rtl w:val="true"/>
        </w:rPr>
        <w:t>למנות</w:t>
      </w:r>
      <w:r>
        <w:rPr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 </w:t>
      </w:r>
      <w:r>
        <w:rPr>
          <w:rtl w:val="true"/>
        </w:rPr>
        <w:t>שיבדוק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מכשיר</w:t>
      </w:r>
      <w:r>
        <w:rPr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 xml:space="preserve">המערער </w:t>
      </w:r>
      <w:r>
        <w:rPr>
          <w:rtl w:val="true"/>
        </w:rPr>
        <w:t>"</w:t>
      </w:r>
      <w:r>
        <w:rPr>
          <w:rtl w:val="true"/>
        </w:rPr>
        <w:t>מכיוון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להועיל</w:t>
      </w:r>
      <w:r>
        <w:rPr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עתאמנה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עדכן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 xml:space="preserve">המערער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עתאמנה</w:t>
      </w:r>
      <w:r>
        <w:rPr>
          <w:rtl w:val="true"/>
        </w:rPr>
        <w:t xml:space="preserve">, </w:t>
      </w:r>
      <w:r>
        <w:rPr>
          <w:rtl w:val="true"/>
        </w:rPr>
        <w:t>שמונה</w:t>
      </w:r>
      <w:r>
        <w:rPr>
          <w:rtl w:val="true"/>
        </w:rPr>
        <w:t xml:space="preserve"> </w:t>
      </w:r>
      <w:r>
        <w:rPr>
          <w:rtl w:val="true"/>
        </w:rPr>
        <w:t xml:space="preserve">כאמור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הסנגוריה</w:t>
      </w:r>
      <w:r>
        <w:rPr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ויתר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העברת</w:t>
      </w:r>
      <w:r>
        <w:rPr>
          <w:rtl w:val="true"/>
        </w:rPr>
        <w:t xml:space="preserve"> </w:t>
      </w:r>
      <w:r>
        <w:rPr>
          <w:rtl w:val="true"/>
        </w:rPr>
        <w:t>המכשיר</w:t>
      </w:r>
      <w:r>
        <w:rPr>
          <w:rtl w:val="true"/>
        </w:rPr>
        <w:t xml:space="preserve"> </w:t>
      </w:r>
      <w:r>
        <w:rPr>
          <w:rtl w:val="true"/>
        </w:rPr>
        <w:t>למומחה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בהגנתו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שטענה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מעין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ייצוג</w:t>
      </w:r>
      <w:r>
        <w:rPr>
          <w:rtl w:val="true"/>
        </w:rPr>
        <w:t xml:space="preserve"> </w:t>
      </w:r>
      <w:r>
        <w:rPr>
          <w:rtl w:val="true"/>
        </w:rPr>
        <w:t>כושל</w:t>
      </w:r>
      <w:r>
        <w:rPr>
          <w:rtl w:val="true"/>
        </w:rPr>
        <w:t xml:space="preserve">" </w:t>
      </w:r>
      <w:r>
        <w:rPr>
          <w:rtl w:val="true"/>
        </w:rPr>
        <w:t>נבחנת</w:t>
      </w:r>
      <w:r>
        <w:rPr>
          <w:rtl w:val="true"/>
        </w:rPr>
        <w:t xml:space="preserve"> </w:t>
      </w:r>
      <w:r>
        <w:rPr>
          <w:rtl w:val="true"/>
        </w:rPr>
        <w:t>בזהירות</w:t>
      </w:r>
      <w:r>
        <w:rPr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tl w:val="true"/>
        </w:rPr>
        <w:t xml:space="preserve"> </w:t>
      </w:r>
      <w:r>
        <w:rPr>
          <w:rtl w:val="true"/>
        </w:rPr>
        <w:t>תתקבל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עיוות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בהעלאת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(</w:t>
      </w:r>
      <w:r>
        <w:rPr/>
        <w:t>23.8.2012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2921/13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רייטבורג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(</w:t>
      </w:r>
      <w:r>
        <w:rPr/>
        <w:t>1.1.2015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הטוען</w:t>
      </w:r>
      <w:r>
        <w:rPr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אלמלא</w:t>
      </w:r>
      <w:r>
        <w:rPr>
          <w:rtl w:val="true"/>
        </w:rPr>
        <w:t xml:space="preserve"> </w:t>
      </w:r>
      <w:r>
        <w:rPr>
          <w:rtl w:val="true"/>
        </w:rPr>
        <w:t>הייצוג</w:t>
      </w:r>
      <w:r>
        <w:rPr>
          <w:rtl w:val="true"/>
        </w:rPr>
        <w:t xml:space="preserve"> </w:t>
      </w:r>
      <w:r>
        <w:rPr>
          <w:rtl w:val="true"/>
        </w:rPr>
        <w:t>הכושל</w:t>
      </w:r>
      <w:r>
        <w:rPr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מגיע</w:t>
      </w:r>
      <w:r>
        <w:rPr>
          <w:rtl w:val="true"/>
        </w:rPr>
        <w:t xml:space="preserve"> </w:t>
      </w:r>
      <w:r>
        <w:rPr>
          <w:rtl w:val="true"/>
        </w:rPr>
        <w:t>לתוצאה</w:t>
      </w:r>
      <w:r>
        <w:rPr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1057/96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אמסלו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160</w:t>
      </w:r>
      <w:r>
        <w:rPr>
          <w:rtl w:val="true"/>
        </w:rPr>
        <w:t xml:space="preserve">, </w:t>
      </w:r>
      <w:r>
        <w:rPr/>
        <w:t>165-166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1998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22.3.2007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במקרה זה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שוכנעתי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בכוחה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הגשת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 </w:t>
      </w:r>
      <w:r>
        <w:rPr>
          <w:rtl w:val="true"/>
        </w:rPr>
        <w:t>תוצאות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לוּ בשל הטעם הזה אין לקבל את הטענה בדבר ייצוג כושל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שעה שאף אם היו נמצאות במכשיר תמונות המעידות על פציעתו של המערער</w:t>
      </w:r>
      <w:r>
        <w:rPr>
          <w:rtl w:val="true"/>
        </w:rPr>
        <w:t xml:space="preserve">, </w:t>
      </w:r>
      <w:r>
        <w:rPr>
          <w:rtl w:val="true"/>
        </w:rPr>
        <w:t>על פני הדברים אין המדובר בראיה שהיה בכוחה להביא לשינוי בהכרעת הדין</w:t>
      </w:r>
      <w:r>
        <w:rPr>
          <w:rtl w:val="true"/>
        </w:rPr>
        <w:t xml:space="preserve">. </w:t>
      </w:r>
      <w:r>
        <w:rPr>
          <w:rtl w:val="true"/>
        </w:rPr>
        <w:t>המערער לא פירט בעניין זה דבר מלבד הטענה הכללית לפיה קיימות במכשיר תמונות שיש בהן כדי להוכיח את גרסתו</w:t>
      </w:r>
      <w:r>
        <w:rPr>
          <w:rtl w:val="true"/>
        </w:rPr>
        <w:t xml:space="preserve">. </w:t>
      </w:r>
      <w:r>
        <w:rPr>
          <w:rtl w:val="true"/>
        </w:rPr>
        <w:t>אלא שהמערער אינו טוען לקיומן של תמונות המתעדות מעשי אלימות או איומים כלפיו</w:t>
      </w:r>
      <w:r>
        <w:rPr>
          <w:rtl w:val="true"/>
        </w:rPr>
        <w:t xml:space="preserve">, </w:t>
      </w:r>
      <w:r>
        <w:rPr>
          <w:rtl w:val="true"/>
        </w:rPr>
        <w:t>אלא אך את הפציעות שנגרמו לו כתוצאה מאירוע אלים כלשהו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אף אם אכן היו מוצגות תמונות המצביעות על כך שהמערער נפצע בדרך כלשהי</w:t>
      </w:r>
      <w:r>
        <w:rPr>
          <w:rtl w:val="true"/>
        </w:rPr>
        <w:t xml:space="preserve">, </w:t>
      </w:r>
      <w:r>
        <w:rPr>
          <w:rtl w:val="true"/>
        </w:rPr>
        <w:t>לא הובהר כיצד מדובר בראיה שיכולה הייתה לבסס באופן ממשי את גרסתו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 xml:space="preserve">ד עתאמנה </w:t>
      </w:r>
      <w:r>
        <w:rPr>
          <w:rtl w:val="true"/>
        </w:rPr>
        <w:t>הבהיר</w:t>
      </w:r>
      <w:r>
        <w:rPr>
          <w:rtl w:val="true"/>
        </w:rPr>
        <w:t xml:space="preserve"> </w:t>
      </w:r>
      <w:r>
        <w:rPr>
          <w:rtl w:val="true"/>
        </w:rPr>
        <w:t xml:space="preserve">כאמור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 xml:space="preserve">הדיון בבית המשפט המחוזי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בראיה</w:t>
      </w:r>
      <w:r>
        <w:rPr>
          <w:rtl w:val="true"/>
        </w:rPr>
        <w:t xml:space="preserve"> –</w:t>
      </w:r>
      <w:r>
        <w:rPr>
          <w:rtl w:val="true"/>
        </w:rPr>
        <w:t xml:space="preserve"> שעשויה להיווצר כתוצאה מבדיקת המכשיר במעבדה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להועיל</w:t>
      </w:r>
      <w:r>
        <w:rPr>
          <w:rtl w:val="true"/>
        </w:rPr>
        <w:t xml:space="preserve"> </w:t>
      </w:r>
      <w:r>
        <w:rPr>
          <w:rtl w:val="true"/>
        </w:rPr>
        <w:t>להגנת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בהודעה</w:t>
      </w:r>
      <w:r>
        <w:rPr>
          <w:rtl w:val="true"/>
        </w:rPr>
        <w:t xml:space="preserve"> </w:t>
      </w:r>
      <w:r>
        <w:rPr>
          <w:rtl w:val="true"/>
        </w:rPr>
        <w:t>מעדכנת</w:t>
      </w:r>
      <w:r>
        <w:rPr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14.6.2017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הסניגוריה</w:t>
      </w:r>
      <w:r>
        <w:rPr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 </w:t>
      </w:r>
      <w:r>
        <w:rPr>
          <w:rtl w:val="true"/>
        </w:rPr>
        <w:t>ומטעם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עתאמנה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 </w:t>
      </w:r>
      <w:r>
        <w:rPr>
          <w:rtl w:val="true"/>
        </w:rPr>
        <w:t>בבדיקת</w:t>
      </w:r>
      <w:r>
        <w:rPr>
          <w:rtl w:val="true"/>
        </w:rPr>
        <w:t xml:space="preserve"> </w:t>
      </w:r>
      <w:r>
        <w:rPr>
          <w:rtl w:val="true"/>
        </w:rPr>
        <w:t>המכשיר</w:t>
      </w:r>
      <w:r>
        <w:rPr>
          <w:rtl w:val="true"/>
        </w:rPr>
        <w:t xml:space="preserve"> </w:t>
      </w:r>
      <w:r>
        <w:rPr>
          <w:rtl w:val="true"/>
        </w:rPr>
        <w:t>במעבדה</w:t>
      </w:r>
      <w:r>
        <w:rPr>
          <w:rtl w:val="true"/>
        </w:rPr>
        <w:t xml:space="preserve"> </w:t>
      </w:r>
      <w:r>
        <w:rPr>
          <w:rtl w:val="true"/>
        </w:rPr>
        <w:t>נדונה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 </w:t>
      </w:r>
      <w:r>
        <w:rPr>
          <w:rtl w:val="true"/>
        </w:rPr>
        <w:t>הבכיר</w:t>
      </w:r>
      <w:r>
        <w:rPr>
          <w:rtl w:val="true"/>
        </w:rPr>
        <w:t xml:space="preserve"> </w:t>
      </w:r>
      <w:r>
        <w:rPr>
          <w:rtl w:val="true"/>
        </w:rPr>
        <w:t>במחוז</w:t>
      </w:r>
      <w:r>
        <w:rPr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הסנגוריה</w:t>
      </w:r>
      <w:r>
        <w:rPr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התייעצות</w:t>
      </w:r>
      <w:r>
        <w:rPr>
          <w:rtl w:val="true"/>
        </w:rPr>
        <w:t xml:space="preserve"> </w:t>
      </w:r>
      <w:r>
        <w:rPr>
          <w:rtl w:val="true"/>
        </w:rPr>
        <w:t>הוחלט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tl w:val="true"/>
        </w:rPr>
        <w:t xml:space="preserve"> </w:t>
      </w:r>
      <w:r>
        <w:rPr>
          <w:rtl w:val="true"/>
        </w:rPr>
        <w:t>למומחה</w:t>
      </w:r>
      <w:r>
        <w:rPr>
          <w:rtl w:val="true"/>
        </w:rPr>
        <w:t xml:space="preserve"> </w:t>
      </w:r>
      <w:r>
        <w:rPr>
          <w:rtl w:val="true"/>
        </w:rPr>
        <w:t>לבדיקת</w:t>
      </w:r>
      <w:r>
        <w:rPr>
          <w:rtl w:val="true"/>
        </w:rPr>
        <w:t xml:space="preserve"> </w:t>
      </w:r>
      <w:r>
        <w:rPr>
          <w:rtl w:val="true"/>
        </w:rPr>
        <w:t>המכשיר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מהטעם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להועיל</w:t>
      </w:r>
      <w:r>
        <w:rPr>
          <w:rtl w:val="true"/>
        </w:rPr>
        <w:t xml:space="preserve"> </w:t>
      </w:r>
      <w:r>
        <w:rPr>
          <w:rtl w:val="true"/>
        </w:rPr>
        <w:t>להגנת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ברף</w:t>
      </w:r>
      <w:r>
        <w:rPr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בראיה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 </w:t>
      </w:r>
      <w:r>
        <w:rPr>
          <w:rtl w:val="true"/>
        </w:rPr>
        <w:t>תוצאות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ייצוג</w:t>
      </w:r>
      <w:r>
        <w:rPr>
          <w:rtl w:val="true"/>
        </w:rPr>
        <w:t xml:space="preserve"> </w:t>
      </w:r>
      <w:r>
        <w:rPr>
          <w:rtl w:val="true"/>
        </w:rPr>
        <w:t>כושל</w:t>
      </w:r>
      <w:r>
        <w:rPr>
          <w:rtl w:val="true"/>
        </w:rPr>
        <w:t xml:space="preserve"> </w:t>
      </w:r>
      <w:r>
        <w:rPr>
          <w:rtl w:val="true"/>
        </w:rPr>
        <w:t>נטענו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 xml:space="preserve">ביסוס וללא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ללמד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עיוות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גם שני השיקולים הנוספים בעניין בחינת בקשה לקבלת ראיה חדשה</w:t>
      </w:r>
      <w:r>
        <w:rPr>
          <w:rtl w:val="true"/>
        </w:rPr>
        <w:t xml:space="preserve">, </w:t>
      </w:r>
      <w:r>
        <w:rPr>
          <w:rtl w:val="true"/>
        </w:rPr>
        <w:t>אינם מטים את הכף לטובת המערער</w:t>
      </w:r>
      <w:r>
        <w:rPr>
          <w:rtl w:val="true"/>
        </w:rPr>
        <w:t xml:space="preserve">, </w:t>
      </w:r>
      <w:r>
        <w:rPr>
          <w:rtl w:val="true"/>
        </w:rPr>
        <w:t>ואף פועלים לרעתו</w:t>
      </w:r>
      <w:r>
        <w:rPr>
          <w:rtl w:val="true"/>
        </w:rPr>
        <w:t xml:space="preserve">. </w:t>
      </w:r>
      <w:r>
        <w:rPr>
          <w:rtl w:val="true"/>
        </w:rPr>
        <w:t>כך לגבי השיקול שעניינו סופיות הדיון</w:t>
      </w:r>
      <w:r>
        <w:rPr>
          <w:rtl w:val="true"/>
        </w:rPr>
        <w:t xml:space="preserve">, </w:t>
      </w:r>
      <w:r>
        <w:rPr>
          <w:rtl w:val="true"/>
        </w:rPr>
        <w:t>זאת שעה שבענייננו מדובר בראיה שנועדה לבסס קו הגנה שחלקו חדש והועלה לראשונה בערעור</w:t>
      </w:r>
      <w:r>
        <w:rPr>
          <w:rtl w:val="true"/>
        </w:rPr>
        <w:t xml:space="preserve">, </w:t>
      </w:r>
      <w:r>
        <w:rPr>
          <w:rtl w:val="true"/>
        </w:rPr>
        <w:t>היינו שהמערער נתון היה לאלימות ועל כן ביצע את המעשים המיוחסים לו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הטענה למעשי אלימות נטענה זה מכבר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אך במסגרת קו ההגנה החלופי החדש שנקט המערער</w:t>
      </w:r>
      <w:r>
        <w:rPr>
          <w:rtl w:val="true"/>
        </w:rPr>
        <w:t xml:space="preserve">, </w:t>
      </w:r>
      <w:r>
        <w:rPr>
          <w:rtl w:val="true"/>
        </w:rPr>
        <w:t>היא קיבלה משנה תוקף ועל כן גם ניתן עליה דגש על ידי המערער בערעורו</w:t>
      </w:r>
      <w:r>
        <w:rPr>
          <w:rtl w:val="true"/>
        </w:rPr>
        <w:t xml:space="preserve">. </w:t>
      </w:r>
      <w:r>
        <w:rPr>
          <w:rtl w:val="true"/>
        </w:rPr>
        <w:t xml:space="preserve">אלא שהלכה היא שבקשה לראיות נוספות לא נועדה לשנות את קו ההגנה של המערער תוך הרחבת גדר המחלוקת ופתיחת המשפט מחדש תוך פגיעה בעיקרון סופיות הדיון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טומבק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11.11.2014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קחסאי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(</w:t>
      </w:r>
      <w:r>
        <w:rPr/>
        <w:t>11.7.2017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גם בעניין השיקול השלישי באשר לסיכויי הראיה להביא לתוצאות ההליך</w:t>
      </w:r>
      <w:r>
        <w:rPr>
          <w:rtl w:val="true"/>
        </w:rPr>
        <w:t xml:space="preserve">, </w:t>
      </w:r>
      <w:r>
        <w:rPr>
          <w:rtl w:val="true"/>
        </w:rPr>
        <w:t>הרי שכאמור אף אם אכן היו מתקבלות תמונות המצביעות על כך שהמערער נפצע בדרך כלשהי כתוצאה מבדיקת המכשיר במעבדה</w:t>
      </w:r>
      <w:r>
        <w:rPr>
          <w:rtl w:val="true"/>
        </w:rPr>
        <w:t xml:space="preserve">, </w:t>
      </w:r>
      <w:r>
        <w:rPr>
          <w:rtl w:val="true"/>
        </w:rPr>
        <w:t>לא הובהר כאמור כיצד מדובר בראיה היכולה לבסס באופן ממשי את גרסתו</w:t>
      </w:r>
      <w:r>
        <w:rPr>
          <w:rtl w:val="true"/>
        </w:rPr>
        <w:t xml:space="preserve">, </w:t>
      </w:r>
      <w:r>
        <w:rPr>
          <w:rtl w:val="true"/>
        </w:rPr>
        <w:t>משאין חולק כי אין בידיו תיעוד של האופן בו הוא נפצע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וכפי שגם הובהר</w:t>
      </w:r>
      <w:r>
        <w:rPr>
          <w:rtl w:val="true"/>
        </w:rPr>
        <w:t xml:space="preserve">, </w:t>
      </w:r>
      <w:r>
        <w:rPr>
          <w:rtl w:val="true"/>
        </w:rPr>
        <w:t>הסיכוי כאמור שמדובר בסוג של ראיה אשר יביא לשינוי תוצאות המשפט</w:t>
      </w:r>
      <w:r>
        <w:rPr>
          <w:rtl w:val="true"/>
        </w:rPr>
        <w:t xml:space="preserve">, </w:t>
      </w:r>
      <w:r>
        <w:rPr>
          <w:rtl w:val="true"/>
        </w:rPr>
        <w:t>הוא קלוש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ובאשר לגזר הדין</w:t>
      </w:r>
      <w:r>
        <w:rPr>
          <w:rtl w:val="true"/>
        </w:rPr>
        <w:t xml:space="preserve">. </w:t>
      </w:r>
      <w:r>
        <w:rPr>
          <w:rtl w:val="true"/>
        </w:rPr>
        <w:t xml:space="preserve">הן המערער והן המשיבה טענו כי היה על בית המשפט לקבוע עונש שונה </w:t>
      </w:r>
      <w:r>
        <w:rPr>
          <w:rtl w:val="true"/>
        </w:rPr>
        <w:t>–</w:t>
      </w:r>
      <w:r>
        <w:rPr>
          <w:rtl w:val="true"/>
        </w:rPr>
        <w:t xml:space="preserve"> זה לקולא וזו לחומרה </w:t>
      </w:r>
      <w:r>
        <w:rPr>
          <w:rtl w:val="true"/>
        </w:rPr>
        <w:t>–</w:t>
      </w:r>
      <w:r>
        <w:rPr>
          <w:rtl w:val="true"/>
        </w:rPr>
        <w:t xml:space="preserve"> וזאת בהשוואה לעונש שהושת על אייל</w:t>
      </w:r>
      <w:r>
        <w:rPr>
          <w:rtl w:val="true"/>
        </w:rPr>
        <w:t xml:space="preserve">, </w:t>
      </w:r>
      <w:r>
        <w:rPr>
          <w:rtl w:val="true"/>
        </w:rPr>
        <w:t>עונש שהועמד אף הוא על חמש שנים וחצי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טען כי בהתחשב בעבירות הנוספות בהן הורשע אייל </w:t>
      </w:r>
      <w:r>
        <w:rPr>
          <w:rtl w:val="true"/>
        </w:rPr>
        <w:t>(</w:t>
      </w:r>
      <w:r>
        <w:rPr>
          <w:rtl w:val="true"/>
        </w:rPr>
        <w:t>עבירות בנשק וגניבה</w:t>
      </w:r>
      <w:r>
        <w:rPr>
          <w:rtl w:val="true"/>
        </w:rPr>
        <w:t xml:space="preserve">) </w:t>
      </w:r>
      <w:r>
        <w:rPr>
          <w:rtl w:val="true"/>
        </w:rPr>
        <w:t>ובהתחשב בחלקו של אייל בביצוע המעשים</w:t>
      </w:r>
      <w:r>
        <w:rPr>
          <w:rtl w:val="true"/>
        </w:rPr>
        <w:t xml:space="preserve">, </w:t>
      </w:r>
      <w:r>
        <w:rPr>
          <w:rtl w:val="true"/>
        </w:rPr>
        <w:t>עונשו שלו צריך היה להיות נמוך מאייל באופן משמעותי</w:t>
      </w:r>
      <w:r>
        <w:rPr>
          <w:rtl w:val="true"/>
        </w:rPr>
        <w:t xml:space="preserve">. </w:t>
      </w:r>
      <w:r>
        <w:rPr>
          <w:rtl w:val="true"/>
        </w:rPr>
        <w:t>מנגד טענה המשיבה</w:t>
      </w:r>
      <w:r>
        <w:rPr>
          <w:rtl w:val="true"/>
        </w:rPr>
        <w:t xml:space="preserve">, </w:t>
      </w:r>
      <w:r>
        <w:rPr>
          <w:rtl w:val="true"/>
        </w:rPr>
        <w:t>כי בהתחשב בנסיבותיו האישיות של המערער ונוכח עברו הפלילי</w:t>
      </w:r>
      <w:r>
        <w:rPr>
          <w:rtl w:val="true"/>
        </w:rPr>
        <w:t xml:space="preserve">, </w:t>
      </w:r>
      <w:r>
        <w:rPr>
          <w:rtl w:val="true"/>
        </w:rPr>
        <w:t>מוצדק היה להחמיר בעונשו ביחס לעונש שהושת על אייל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 זה מדרכה של ערכאת הערעור להתערב בעונש שהוטל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למעט במצבים חריגים בהם נפלה בגזר הדין טעות מהותית או שהעונש שנגזר על הנאשם חורג באופן קיצוני מן העונשים המוטלים בדרך כלל בנסיבות דומות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נתנוב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1.7.2014</w:t>
      </w:r>
      <w:r>
        <w:rPr>
          <w:rtl w:val="true"/>
        </w:rPr>
        <w:t xml:space="preserve">); </w:t>
      </w:r>
      <w:hyperlink r:id="rId4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29.1.2009</w:t>
      </w:r>
      <w:r>
        <w:rPr>
          <w:rtl w:val="true"/>
        </w:rPr>
        <w:t xml:space="preserve">)).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לא נמצא כי מתחם הענישה שנקבע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חורג ממתחם הענישה המקובל והראוי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 את מתחם הענישה לאחר שעמד על מכלול נסיבות ביצוע העבירות ובכלל זה מידת הפגיעה בערכים החברתיים</w:t>
      </w:r>
      <w:r>
        <w:rPr>
          <w:rtl w:val="true"/>
        </w:rPr>
        <w:t xml:space="preserve">, </w:t>
      </w:r>
      <w:r>
        <w:rPr>
          <w:rtl w:val="true"/>
        </w:rPr>
        <w:t>חומרת מעשי המערער</w:t>
      </w:r>
      <w:r>
        <w:rPr>
          <w:rtl w:val="true"/>
        </w:rPr>
        <w:t xml:space="preserve">, </w:t>
      </w:r>
      <w:r>
        <w:rPr>
          <w:rtl w:val="true"/>
        </w:rPr>
        <w:t>הנזקים שצפויים היו להיגרם והנזקים שנגרמו כתוצאה מאותם מעשים ומדיניות הענישה לרבות סקירה מפורטת הכוללת התייחסות גם לפסקי הדין אליהם הפנו באי</w:t>
      </w:r>
      <w:r>
        <w:rPr>
          <w:rtl w:val="true"/>
        </w:rPr>
        <w:t>-</w:t>
      </w:r>
      <w:r>
        <w:rPr>
          <w:rtl w:val="true"/>
        </w:rPr>
        <w:t>כוח הצדדים</w:t>
      </w:r>
      <w:r>
        <w:rPr>
          <w:rtl w:val="true"/>
        </w:rPr>
        <w:t xml:space="preserve">. </w:t>
      </w:r>
      <w:r>
        <w:rPr>
          <w:rtl w:val="true"/>
        </w:rPr>
        <w:t>בית המשפט המחוזי שקל כדבעי את מכלול השיקולים הרלוונטים ועל בסיסם נקבע מתחם העונש הראוי</w:t>
      </w:r>
      <w:r>
        <w:rPr>
          <w:rtl w:val="true"/>
        </w:rPr>
        <w:t xml:space="preserve">, </w:t>
      </w:r>
      <w:r>
        <w:rPr>
          <w:rtl w:val="true"/>
        </w:rPr>
        <w:t>ולא נמצאה כל עילה להתערב בו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אין לקבל את טענת המערער כי בית המשפט צריך היה לקבוע מתחם ענישה מתון יותר מזה שנקבע לאייל</w:t>
      </w:r>
      <w:r>
        <w:rPr>
          <w:rtl w:val="true"/>
        </w:rPr>
        <w:t xml:space="preserve">, </w:t>
      </w:r>
      <w:r>
        <w:rPr>
          <w:rtl w:val="true"/>
        </w:rPr>
        <w:t>נוכח מעורבותו המשמעותית יותר של אייל בביצוע המעשים ונוכח עבירות נוספות חמורות יותר בהן הורשע אייל</w:t>
      </w:r>
      <w:r>
        <w:rPr>
          <w:rtl w:val="true"/>
        </w:rPr>
        <w:t xml:space="preserve">. </w:t>
      </w:r>
      <w:r>
        <w:rPr>
          <w:rtl w:val="true"/>
        </w:rPr>
        <w:t>במידה רבה של צדק טענה המשיבה כי נסיבות ביצוע העבירה בעניינו של המערער אינן בהכרח קלות יותר מאשר אלו של אייל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למערער הייתה היכרות מוקדמת עם נימר והוא יכל להניח ברמת מודעות גבוהה יותר מהי משמעות ההתקשרות עמו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כפי שקבע בית המשפט</w:t>
      </w:r>
      <w:r>
        <w:rPr>
          <w:rtl w:val="true"/>
        </w:rPr>
        <w:t xml:space="preserve">, </w:t>
      </w:r>
      <w:r>
        <w:rPr>
          <w:rtl w:val="true"/>
        </w:rPr>
        <w:t>מאותה נקודת זמן שבה הצטרף המערער לאייל</w:t>
      </w:r>
      <w:r>
        <w:rPr>
          <w:rtl w:val="true"/>
        </w:rPr>
        <w:t xml:space="preserve">, </w:t>
      </w:r>
      <w:r>
        <w:rPr>
          <w:rtl w:val="true"/>
        </w:rPr>
        <w:t>חלקו של המערער היה פעיל ומהותי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גם באשר לעונש שנקבע בתוך המתחם</w:t>
      </w:r>
      <w:r>
        <w:rPr>
          <w:rtl w:val="true"/>
        </w:rPr>
        <w:t xml:space="preserve">, </w:t>
      </w:r>
      <w:r>
        <w:rPr>
          <w:rtl w:val="true"/>
        </w:rPr>
        <w:t>לא נמצא כי נפל כל פגם במשקל שניתן על ידי בית המשפט לעברו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לכך שהמערער חזר לסורו זמן קצר לאחר שהשתחרר מעונש המאסר שהוטל עליו בגין הרשעתו בביצוע עבירות דומות בשנת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 xml:space="preserve">וזאת לאחר שהורשע פעם נוספת בעבירות דומות עוד קודם לכן בשנת </w:t>
      </w:r>
      <w:r>
        <w:rPr/>
        <w:t>2007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נוכח עברו המכביד של המערער</w:t>
      </w:r>
      <w:r>
        <w:rPr>
          <w:rtl w:val="true"/>
        </w:rPr>
        <w:t xml:space="preserve">, </w:t>
      </w:r>
      <w:r>
        <w:rPr>
          <w:rtl w:val="true"/>
        </w:rPr>
        <w:t>יתכן כי אף בתוך המתחם שנקבע היה ניתן לגזור עליו בגין המעשים בהם הורשע עונש העולה על זה שנגזר עליו</w:t>
      </w:r>
      <w:r>
        <w:rPr>
          <w:rtl w:val="true"/>
        </w:rPr>
        <w:t xml:space="preserve">, </w:t>
      </w:r>
      <w:r>
        <w:rPr>
          <w:rtl w:val="true"/>
        </w:rPr>
        <w:t xml:space="preserve">בעוד שהעונש שנקבע לו הועמד על </w:t>
      </w:r>
      <w:r>
        <w:rPr>
          <w:rtl w:val="true"/>
        </w:rPr>
        <w:t>"</w:t>
      </w:r>
      <w:r>
        <w:rPr>
          <w:rtl w:val="true"/>
        </w:rPr>
        <w:t>מרכזו</w:t>
      </w:r>
      <w:r>
        <w:rPr>
          <w:rtl w:val="true"/>
        </w:rPr>
        <w:t xml:space="preserve">" </w:t>
      </w:r>
      <w:r>
        <w:rPr>
          <w:rtl w:val="true"/>
        </w:rPr>
        <w:t>של המתחם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לא נראה נכון לעשות כן נוכח הכלל לפיו אין ערכאת הערעור נוהגת למצות את הדין עם נאשם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סויסה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52</w:t>
      </w:r>
      <w:r>
        <w:rPr>
          <w:rtl w:val="true"/>
        </w:rPr>
        <w:t xml:space="preserve"> (</w:t>
      </w:r>
      <w:r>
        <w:rPr/>
        <w:t>25.10.2012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בנקודה אחת</w:t>
      </w:r>
      <w:r>
        <w:rPr>
          <w:rtl w:val="true"/>
        </w:rPr>
        <w:t xml:space="preserve">, </w:t>
      </w:r>
      <w:r>
        <w:rPr>
          <w:rtl w:val="true"/>
        </w:rPr>
        <w:t>וחרף הכלל האמור בדבר אי מיצוי הדין במסגרת ערכאת הערעור</w:t>
      </w:r>
      <w:r>
        <w:rPr>
          <w:rtl w:val="true"/>
        </w:rPr>
        <w:t xml:space="preserve">, </w:t>
      </w:r>
      <w:r>
        <w:rPr>
          <w:rtl w:val="true"/>
        </w:rPr>
        <w:t>נראה כי יש לקבל את טענת המשיבה בערעורה שכנגד</w:t>
      </w:r>
      <w:r>
        <w:rPr>
          <w:rtl w:val="true"/>
        </w:rPr>
        <w:t xml:space="preserve">, </w:t>
      </w:r>
      <w:r>
        <w:rPr>
          <w:rtl w:val="true"/>
        </w:rPr>
        <w:t xml:space="preserve">והיא כי יש להורות על ריצוי המאסרים המותנים שהוטלו על המערער במסגרת הרשעתו בפרשת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באופן מצטבר זה עם זה ובמצטבר עם הטלת עונש המאסר במקרה זה</w:t>
      </w:r>
      <w:r>
        <w:rPr>
          <w:rtl w:val="true"/>
        </w:rPr>
        <w:t xml:space="preserve">, </w:t>
      </w:r>
      <w:r>
        <w:rPr>
          <w:rtl w:val="true"/>
        </w:rPr>
        <w:t>ולא באופן חופף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נוכח הוראת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 פיה ככלל</w:t>
      </w:r>
      <w:r>
        <w:rPr>
          <w:rtl w:val="true"/>
        </w:rPr>
        <w:t xml:space="preserve">, </w:t>
      </w:r>
      <w:r>
        <w:rPr>
          <w:rtl w:val="true"/>
        </w:rPr>
        <w:t>תקופת מאסר על תנאי תרוצה באופן מצטבר על פני התקופה שנקבעה לעונש מאסר בפועל</w:t>
      </w:r>
      <w:r>
        <w:rPr>
          <w:rtl w:val="true"/>
        </w:rPr>
        <w:t xml:space="preserve">, </w:t>
      </w:r>
      <w:r>
        <w:rPr>
          <w:rtl w:val="true"/>
        </w:rPr>
        <w:t>כאשר בית המשפט רשאי לסטות מכלל זה אך מטעמים שיירשמו</w:t>
      </w:r>
      <w:r>
        <w:rPr>
          <w:rtl w:val="true"/>
        </w:rPr>
        <w:t xml:space="preserve">. </w:t>
      </w: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>ככל שגדלה מידת הזיקה בין העבירה הנוכחית לבין העבירה שבגינה הוטל עונש המאסר המותנה</w:t>
      </w:r>
      <w:r>
        <w:rPr>
          <w:rtl w:val="true"/>
        </w:rPr>
        <w:t xml:space="preserve">, </w:t>
      </w:r>
      <w:r>
        <w:rPr>
          <w:rtl w:val="true"/>
        </w:rPr>
        <w:t xml:space="preserve">כך תיטה הכף לטובת החלת ברירת המחדל של צבירת עונשים על פני החלתם בחופף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12-14</w:t>
      </w:r>
      <w:r>
        <w:rPr>
          <w:rtl w:val="true"/>
        </w:rPr>
        <w:t xml:space="preserve"> (</w:t>
      </w:r>
      <w:r>
        <w:rPr/>
        <w:t>16.1.2014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8265/13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מלכיאל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 נ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/>
        <w:t>10.3.2016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נמצאו טעמים המצדיקים השתת העונשים באופן חופף</w:t>
      </w:r>
      <w:r>
        <w:rPr>
          <w:rtl w:val="true"/>
        </w:rPr>
        <w:t xml:space="preserve">, </w:t>
      </w:r>
      <w:r>
        <w:rPr>
          <w:rtl w:val="true"/>
        </w:rPr>
        <w:t>כחריג לכלל של הצטברות עונשים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נוכח עברו הפלילי של המערער והעובדה שלא בחל מלשוב לסורו בחלוף זמן מועט ביותר</w:t>
      </w:r>
      <w:r>
        <w:rPr>
          <w:rtl w:val="true"/>
        </w:rPr>
        <w:t xml:space="preserve">, </w:t>
      </w:r>
      <w:r>
        <w:rPr>
          <w:rtl w:val="true"/>
        </w:rPr>
        <w:t>חרף המאסרים המותנים אשר הוטלו עליו בגין ביצוע מעשים דומים בעבר אשר כשלו מלהרתיעו</w:t>
      </w:r>
      <w:r>
        <w:rPr>
          <w:rtl w:val="true"/>
        </w:rPr>
        <w:t xml:space="preserve">, </w:t>
      </w:r>
      <w:r>
        <w:rPr>
          <w:rtl w:val="true"/>
        </w:rPr>
        <w:t xml:space="preserve">נוטה הכף בבירור לכיוון ברירת המחדל של צבירת עונשים על פני החלתם באופן חופף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19.11.2014</w:t>
      </w:r>
      <w:r>
        <w:rPr>
          <w:rtl w:val="true"/>
        </w:rPr>
        <w:t xml:space="preserve">)). </w:t>
      </w:r>
      <w:r>
        <w:rPr>
          <w:rtl w:val="true"/>
        </w:rPr>
        <w:t>זאת גם נוכח העובדה שעונש המאסר על תנאי שנגזר על המערער לא מילא</w:t>
      </w:r>
      <w:r>
        <w:rPr>
          <w:rtl w:val="true"/>
        </w:rPr>
        <w:t xml:space="preserve">, </w:t>
      </w:r>
      <w:r>
        <w:rPr>
          <w:rtl w:val="true"/>
        </w:rPr>
        <w:t>וזאת בלשון המעטה</w:t>
      </w:r>
      <w:r>
        <w:rPr>
          <w:rtl w:val="true"/>
        </w:rPr>
        <w:t xml:space="preserve">, </w:t>
      </w:r>
      <w:r>
        <w:rPr>
          <w:rtl w:val="true"/>
        </w:rPr>
        <w:t xml:space="preserve">את תכליתו ההרתעתית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4716/12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דטסה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21-22</w:t>
      </w:r>
      <w:r>
        <w:rPr>
          <w:rtl w:val="true"/>
        </w:rPr>
        <w:t xml:space="preserve"> (</w:t>
      </w:r>
      <w:r>
        <w:rPr/>
        <w:t>6.6.2013</w:t>
      </w:r>
      <w:r>
        <w:rPr>
          <w:rtl w:val="true"/>
        </w:rPr>
        <w:t xml:space="preserve">)). </w:t>
      </w:r>
      <w:r>
        <w:rPr>
          <w:rtl w:val="true"/>
        </w:rPr>
        <w:t>אשר על כן ובצירוף נסיבות העבירה הנוכחית</w:t>
      </w:r>
      <w:r>
        <w:rPr>
          <w:rtl w:val="true"/>
        </w:rPr>
        <w:t xml:space="preserve">, </w:t>
      </w:r>
      <w:r>
        <w:rPr>
          <w:rtl w:val="true"/>
        </w:rPr>
        <w:t xml:space="preserve">קיימים טעמים כבדי משקל להפעיל את עונשי המאסר על תנאי באופן מצטבר </w:t>
      </w:r>
      <w:r>
        <w:rPr>
          <w:rtl w:val="true"/>
        </w:rPr>
        <w:t>–</w:t>
      </w:r>
      <w:r>
        <w:rPr>
          <w:rtl w:val="true"/>
        </w:rPr>
        <w:t xml:space="preserve"> הן לגבי היחס בין שתי תקופות המאסר על תנאי שהוטלו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האחת 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והשניה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והן לגבי הצטרפותן לעונש המאסר בפועל שנקבע בתיק 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ובשולי הדברים</w:t>
      </w:r>
      <w:r>
        <w:rPr>
          <w:rtl w:val="true"/>
        </w:rPr>
        <w:t xml:space="preserve">, </w:t>
      </w:r>
      <w:r>
        <w:rPr>
          <w:rtl w:val="true"/>
        </w:rPr>
        <w:t>יוער כי המערער ציין במסגרת בקשה לתיקון הודעת הערעור</w:t>
      </w:r>
      <w:r>
        <w:rPr>
          <w:rtl w:val="true"/>
        </w:rPr>
        <w:t xml:space="preserve">, </w:t>
      </w:r>
      <w:r>
        <w:rPr>
          <w:rtl w:val="true"/>
        </w:rPr>
        <w:t>אשר התקבלה</w:t>
      </w:r>
      <w:r>
        <w:rPr>
          <w:rtl w:val="true"/>
        </w:rPr>
        <w:t xml:space="preserve">, </w:t>
      </w:r>
      <w:r>
        <w:rPr>
          <w:rtl w:val="true"/>
        </w:rPr>
        <w:t>כי במהלך הערעור יתבקש בית המשפט להורות גם על דחיית מועד תשלום הקנס שהוטל עליו</w:t>
      </w:r>
      <w:r>
        <w:rPr>
          <w:rtl w:val="true"/>
        </w:rPr>
        <w:t xml:space="preserve">, </w:t>
      </w:r>
      <w:r>
        <w:rPr>
          <w:rtl w:val="true"/>
        </w:rPr>
        <w:t xml:space="preserve">בסך של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עד לאחר שחרורו מן המאסר</w:t>
      </w:r>
      <w:r>
        <w:rPr>
          <w:rtl w:val="true"/>
        </w:rPr>
        <w:t xml:space="preserve">. </w:t>
      </w:r>
      <w:r>
        <w:rPr>
          <w:rtl w:val="true"/>
        </w:rPr>
        <w:t>הבקשה לא לוותה בנימוקים כלשהם והמערער גם לא הלין על גובה הקנס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המסגרת המתאימה לבחינת בקשה לדחיית מועד תשלום קנס</w:t>
      </w:r>
      <w:r>
        <w:rPr>
          <w:rtl w:val="true"/>
        </w:rPr>
        <w:t xml:space="preserve">, </w:t>
      </w:r>
      <w:r>
        <w:rPr>
          <w:rtl w:val="true"/>
        </w:rPr>
        <w:t>או לבחינת בקשה בדבר קושי לעמוד בתשלומי הקנס שהוטל</w:t>
      </w:r>
      <w:r>
        <w:rPr>
          <w:rtl w:val="true"/>
        </w:rPr>
        <w:t xml:space="preserve">, </w:t>
      </w:r>
      <w:r>
        <w:rPr>
          <w:rtl w:val="true"/>
        </w:rPr>
        <w:t>היא המרכז לגביית קנסות</w:t>
      </w:r>
      <w:r>
        <w:rPr>
          <w:rtl w:val="true"/>
        </w:rPr>
        <w:t xml:space="preserve">, </w:t>
      </w:r>
      <w:r>
        <w:rPr>
          <w:rtl w:val="true"/>
        </w:rPr>
        <w:t>הגוף המוסמך לפרוס או לדחות תשלומו של חוב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5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המרכז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לגביית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קנסות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אגרות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והוצאות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1995</w:t>
      </w:r>
      <w:r>
        <w:rPr>
          <w:rtl w:val="true"/>
        </w:rPr>
        <w:t xml:space="preserve"> 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21.8.2013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אמליץ לחבריי לדחות את ערעור המערער על שני חלקיו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אמליץ לקבל את הערעור שכנגד מטעם המשיבה בחלקו במובן זה שעונשי המאסר בפועל שנגזרו על המערער על תנאי במסגרת </w:t>
      </w:r>
      <w:hyperlink r:id="rId5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40867-09-12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והועמדו על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וכן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נוספים</w:t>
      </w:r>
      <w:r>
        <w:rPr>
          <w:rtl w:val="true"/>
        </w:rPr>
        <w:t xml:space="preserve">, </w:t>
      </w:r>
      <w:r>
        <w:rPr>
          <w:rtl w:val="true"/>
        </w:rPr>
        <w:t xml:space="preserve">ירוצו במצטבר </w:t>
      </w:r>
      <w:r>
        <w:rPr>
          <w:rtl w:val="true"/>
        </w:rPr>
        <w:t>(</w:t>
      </w:r>
      <w:r>
        <w:rPr>
          <w:rtl w:val="true"/>
        </w:rPr>
        <w:t>ולא באופן חופף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 המאסר בפועל שהושתו על המערער במסגרת תיק זה</w:t>
      </w:r>
      <w:r>
        <w:rPr>
          <w:rtl w:val="true"/>
        </w:rPr>
        <w:t xml:space="preserve">, </w:t>
      </w:r>
      <w:r>
        <w:rPr>
          <w:rtl w:val="true"/>
        </w:rPr>
        <w:t xml:space="preserve">כך שבסופו של דבר המערער ירצה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>
          <w:rtl w:val="true"/>
        </w:rPr>
        <w:t xml:space="preserve">בניכוי ימי מעצרו מיום </w:t>
      </w:r>
      <w:r>
        <w:rPr/>
        <w:t>29.7.2014</w:t>
      </w:r>
      <w:r>
        <w:rPr>
          <w:rtl w:val="true"/>
        </w:rPr>
        <w:t xml:space="preserve">, </w:t>
      </w:r>
      <w:r>
        <w:rPr>
          <w:rtl w:val="true"/>
        </w:rPr>
        <w:t>כאמור בגזר הדין</w:t>
      </w:r>
      <w:r>
        <w:rPr>
          <w:rtl w:val="true"/>
        </w:rPr>
        <w:t xml:space="preserve">). </w:t>
      </w:r>
      <w:r>
        <w:rPr>
          <w:rtl w:val="true"/>
        </w:rPr>
        <w:t>יתר חלקי גזר הדין יעמדו על מכונם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end"/>
        <w:rPr/>
      </w:pP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ab/>
        <w:tab/>
        <w:tab/>
        <w:tab/>
        <w:tab/>
        <w:tab/>
        <w:tab/>
        <w:t xml:space="preserve">      </w:t>
        <w:tab/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31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31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31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31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 xml:space="preserve">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מינץ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14.12.2017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16023360</w:t>
      </w:r>
      <w:r>
        <w:rPr>
          <w:sz w:val="16"/>
          <w:rtl w:val="true"/>
        </w:rPr>
        <w:t>_</w:t>
      </w:r>
      <w:r>
        <w:rPr>
          <w:sz w:val="16"/>
        </w:rPr>
        <w:t>N16.doc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cs="David;David" w:ascii="David;David" w:hAnsi="David;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ascii="David;David" w:hAnsi="David;David"/>
          <w:color w:val="000000"/>
          <w:szCs w:val="22"/>
          <w:rtl w:val="true"/>
        </w:rPr>
        <w:t>י</w:t>
      </w:r>
      <w:r>
        <w:rPr>
          <w:rFonts w:cs="David;David" w:ascii="David;David" w:hAnsi="David;David"/>
          <w:color w:val="000000"/>
          <w:szCs w:val="22"/>
          <w:rtl w:val="true"/>
        </w:rPr>
        <w:t xml:space="preserve">' </w:t>
      </w:r>
      <w:r>
        <w:rPr>
          <w:rFonts w:ascii="David;David" w:hAnsi="David;David"/>
          <w:color w:val="000000"/>
          <w:szCs w:val="22"/>
          <w:rtl w:val="true"/>
        </w:rPr>
        <w:t xml:space="preserve">עמית </w:t>
      </w:r>
      <w:r>
        <w:rPr>
          <w:rFonts w:cs="David;David" w:ascii="David;David" w:hAnsi="David;David"/>
          <w:color w:val="000000"/>
          <w:szCs w:val="22"/>
        </w:rPr>
        <w:t>54678313-2336/16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עפ </w:t>
    </w:r>
    <w:r>
      <w:rPr>
        <w:rFonts w:cs="David;David" w:ascii="David;David" w:hAnsi="David;David"/>
        <w:color w:val="000000"/>
        <w:sz w:val="22"/>
        <w:szCs w:val="22"/>
      </w:rPr>
      <w:t>2336/16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ריאד מזראיב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lang w:val="en-US" w:bidi="he-IL"/>
      </w:r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WW8Num12z0">
    <w:name w:val="WW8Num12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12z1">
    <w:name w:val="WW8Num12z1"/>
    <w:qFormat/>
    <w:rPr>
      <w:rFonts w:ascii="Arial TUR;Arial" w:hAnsi="Arial TUR;Arial" w:eastAsia="Times New Roman" w:cs="FrankRuehl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4">
    <w:name w:val=" Char Char4"/>
    <w:qFormat/>
    <w:rPr>
      <w:rFonts w:cs="David;David"/>
      <w:szCs w:val="24"/>
    </w:rPr>
  </w:style>
  <w:style w:type="character" w:styleId="CharChar3">
    <w:name w:val=" Char Char3"/>
    <w:qFormat/>
    <w:rPr>
      <w:rFonts w:cs="David;David"/>
      <w:szCs w:val="24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a0">
    <w:name w:val="a0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Century" w:hAnsi="Century" w:cs="FrankRuehl"/>
      <w:spacing w:val="10"/>
    </w:rPr>
  </w:style>
  <w:style w:type="character" w:styleId="CharChar1">
    <w:name w:val=" Char Char1"/>
    <w:qFormat/>
    <w:rPr>
      <w:rFonts w:ascii="Century" w:hAnsi="Century" w:cs="FrankRuehl"/>
      <w:b/>
      <w:bCs/>
      <w:spacing w:val="10"/>
    </w:rPr>
  </w:style>
  <w:style w:type="character" w:styleId="CharChar">
    <w:name w:val=" Char Char"/>
    <w:qFormat/>
    <w:rPr>
      <w:rFonts w:ascii="Tahoma" w:hAnsi="Tahoma" w:cs="Tahoma"/>
      <w:spacing w:val="10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988535" TargetMode="External"/><Relationship Id="rId3" Type="http://schemas.openxmlformats.org/officeDocument/2006/relationships/hyperlink" Target="http://www.nevo.co.il/law/98569" TargetMode="External"/><Relationship Id="rId4" Type="http://schemas.openxmlformats.org/officeDocument/2006/relationships/hyperlink" Target="http://www.nevo.co.il/law/98569/10a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58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211" TargetMode="External"/><Relationship Id="rId9" Type="http://schemas.openxmlformats.org/officeDocument/2006/relationships/hyperlink" Target="http://www.nevo.co.il/law/75003" TargetMode="External"/><Relationship Id="rId10" Type="http://schemas.openxmlformats.org/officeDocument/2006/relationships/hyperlink" Target="http://www.nevo.co.il/law/75003/5b" TargetMode="External"/><Relationship Id="rId11" Type="http://schemas.openxmlformats.org/officeDocument/2006/relationships/hyperlink" Target="http://www.nevo.co.il/law/70301/58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1053257" TargetMode="External"/><Relationship Id="rId14" Type="http://schemas.openxmlformats.org/officeDocument/2006/relationships/hyperlink" Target="http://www.nevo.co.il/law/70301/58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3943064" TargetMode="External"/><Relationship Id="rId17" Type="http://schemas.openxmlformats.org/officeDocument/2006/relationships/hyperlink" Target="http://www.nevo.co.il/case/17988535" TargetMode="External"/><Relationship Id="rId18" Type="http://schemas.openxmlformats.org/officeDocument/2006/relationships/hyperlink" Target="http://www.nevo.co.il/law/98569/10a.c" TargetMode="External"/><Relationship Id="rId19" Type="http://schemas.openxmlformats.org/officeDocument/2006/relationships/hyperlink" Target="http://www.nevo.co.il/law/98569" TargetMode="External"/><Relationship Id="rId20" Type="http://schemas.openxmlformats.org/officeDocument/2006/relationships/hyperlink" Target="http://www.nevo.co.il/case/3943064" TargetMode="External"/><Relationship Id="rId21" Type="http://schemas.openxmlformats.org/officeDocument/2006/relationships/hyperlink" Target="http://www.nevo.co.il/law/70301/5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6088001" TargetMode="External"/><Relationship Id="rId24" Type="http://schemas.openxmlformats.org/officeDocument/2006/relationships/hyperlink" Target="http://www.nevo.co.il/case/6198659" TargetMode="External"/><Relationship Id="rId25" Type="http://schemas.openxmlformats.org/officeDocument/2006/relationships/hyperlink" Target="http://www.nevo.co.il/case/20911380" TargetMode="External"/><Relationship Id="rId26" Type="http://schemas.openxmlformats.org/officeDocument/2006/relationships/hyperlink" Target="http://www.nevo.co.il/case/6091490" TargetMode="External"/><Relationship Id="rId27" Type="http://schemas.openxmlformats.org/officeDocument/2006/relationships/hyperlink" Target="http://www.nevo.co.il/case/5798933" TargetMode="External"/><Relationship Id="rId28" Type="http://schemas.openxmlformats.org/officeDocument/2006/relationships/hyperlink" Target="http://www.nevo.co.il/case/5995049" TargetMode="External"/><Relationship Id="rId29" Type="http://schemas.openxmlformats.org/officeDocument/2006/relationships/hyperlink" Target="http://www.nevo.co.il/case/5573732" TargetMode="External"/><Relationship Id="rId30" Type="http://schemas.openxmlformats.org/officeDocument/2006/relationships/hyperlink" Target="http://www.nevo.co.il/case/7980158" TargetMode="External"/><Relationship Id="rId31" Type="http://schemas.openxmlformats.org/officeDocument/2006/relationships/hyperlink" Target="http://www.nevo.co.il/case/20188577" TargetMode="External"/><Relationship Id="rId32" Type="http://schemas.openxmlformats.org/officeDocument/2006/relationships/hyperlink" Target="http://www.nevo.co.il/law/74903/211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case/5788915" TargetMode="External"/><Relationship Id="rId35" Type="http://schemas.openxmlformats.org/officeDocument/2006/relationships/hyperlink" Target="http://www.nevo.co.il/case/6037102" TargetMode="External"/><Relationship Id="rId36" Type="http://schemas.openxmlformats.org/officeDocument/2006/relationships/hyperlink" Target="http://www.nevo.co.il/case/5691848" TargetMode="External"/><Relationship Id="rId37" Type="http://schemas.openxmlformats.org/officeDocument/2006/relationships/hyperlink" Target="http://www.nevo.co.il/case/17948085" TargetMode="External"/><Relationship Id="rId38" Type="http://schemas.openxmlformats.org/officeDocument/2006/relationships/hyperlink" Target="http://www.nevo.co.il/case/20911393" TargetMode="External"/><Relationship Id="rId39" Type="http://schemas.openxmlformats.org/officeDocument/2006/relationships/hyperlink" Target="http://www.nevo.co.il/case/6249168" TargetMode="External"/><Relationship Id="rId40" Type="http://schemas.openxmlformats.org/officeDocument/2006/relationships/hyperlink" Target="http://www.nevo.co.il/case/5596268" TargetMode="External"/><Relationship Id="rId41" Type="http://schemas.openxmlformats.org/officeDocument/2006/relationships/hyperlink" Target="http://www.nevo.co.il/case/16999418" TargetMode="External"/><Relationship Id="rId42" Type="http://schemas.openxmlformats.org/officeDocument/2006/relationships/hyperlink" Target="http://www.nevo.co.il/case/5743651" TargetMode="External"/><Relationship Id="rId43" Type="http://schemas.openxmlformats.org/officeDocument/2006/relationships/hyperlink" Target="http://www.nevo.co.il/case/6193858" TargetMode="External"/><Relationship Id="rId44" Type="http://schemas.openxmlformats.org/officeDocument/2006/relationships/hyperlink" Target="http://www.nevo.co.il/case/5678724" TargetMode="External"/><Relationship Id="rId45" Type="http://schemas.openxmlformats.org/officeDocument/2006/relationships/hyperlink" Target="http://www.nevo.co.il/case/17948085" TargetMode="External"/><Relationship Id="rId46" Type="http://schemas.openxmlformats.org/officeDocument/2006/relationships/hyperlink" Target="http://www.nevo.co.il/case/17015784" TargetMode="External"/><Relationship Id="rId47" Type="http://schemas.openxmlformats.org/officeDocument/2006/relationships/hyperlink" Target="http://www.nevo.co.il/case/5875466" TargetMode="External"/><Relationship Id="rId48" Type="http://schemas.openxmlformats.org/officeDocument/2006/relationships/hyperlink" Target="http://www.nevo.co.il/case/5573589" TargetMode="External"/><Relationship Id="rId49" Type="http://schemas.openxmlformats.org/officeDocument/2006/relationships/hyperlink" Target="http://www.nevo.co.il/law/70301/58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7980181" TargetMode="External"/><Relationship Id="rId52" Type="http://schemas.openxmlformats.org/officeDocument/2006/relationships/hyperlink" Target="http://www.nevo.co.il/case/10496454" TargetMode="External"/><Relationship Id="rId53" Type="http://schemas.openxmlformats.org/officeDocument/2006/relationships/hyperlink" Target="http://www.nevo.co.il/case/18653904" TargetMode="External"/><Relationship Id="rId54" Type="http://schemas.openxmlformats.org/officeDocument/2006/relationships/hyperlink" Target="http://www.nevo.co.il/case/5576705" TargetMode="External"/><Relationship Id="rId55" Type="http://schemas.openxmlformats.org/officeDocument/2006/relationships/hyperlink" Target="http://www.nevo.co.il/law/75003/5b" TargetMode="External"/><Relationship Id="rId56" Type="http://schemas.openxmlformats.org/officeDocument/2006/relationships/hyperlink" Target="http://www.nevo.co.il/law/75003" TargetMode="External"/><Relationship Id="rId57" Type="http://schemas.openxmlformats.org/officeDocument/2006/relationships/hyperlink" Target="http://www.nevo.co.il/case/7965117" TargetMode="External"/><Relationship Id="rId58" Type="http://schemas.openxmlformats.org/officeDocument/2006/relationships/hyperlink" Target="http://www.nevo.co.il/case/3943064" TargetMode="External"/><Relationship Id="rId59" Type="http://schemas.openxmlformats.org/officeDocument/2006/relationships/hyperlink" Target="http://www.court.gov.il/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2017-12-18T09:31:00Z</dcterms:created>
  <dc:creator> </dc:creator>
  <dc:description/>
  <cp:keywords/>
  <dc:language>en-IL</dc:language>
  <cp:lastModifiedBy>orly</cp:lastModifiedBy>
  <cp:lastPrinted>2017-12-04T15:13:00Z</cp:lastPrinted>
  <dcterms:modified xsi:type="dcterms:W3CDTF">2017-12-18T09:31:00Z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ריאד מזראיב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17988535:2;3943064:2;6088001;6198659;20911380;6091490;5798933;5995049;5573732;7980158;20188577;5788915;6037102;5691848;17948085:2;20911393;6249168;5596268;16999418;5743651;6193858;5678724;17015784;5875466;5573589;7980181;10496454;18653904;5576705</vt:lpwstr>
  </property>
  <property fmtid="{D5CDD505-2E9C-101B-9397-08002B2CF9AE}" pid="9" name="CASESLISTTMP2">
    <vt:lpwstr>7965117</vt:lpwstr>
  </property>
  <property fmtid="{D5CDD505-2E9C-101B-9397-08002B2CF9AE}" pid="10" name="CITY">
    <vt:lpwstr/>
  </property>
  <property fmtid="{D5CDD505-2E9C-101B-9397-08002B2CF9AE}" pid="11" name="DATE">
    <vt:lpwstr>20171214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עמית;מ' מזוז;ד' מינץ</vt:lpwstr>
  </property>
  <property fmtid="{D5CDD505-2E9C-101B-9397-08002B2CF9AE}" pid="15" name="LAWLISTTMP1">
    <vt:lpwstr>98569/010a.c</vt:lpwstr>
  </property>
  <property fmtid="{D5CDD505-2E9C-101B-9397-08002B2CF9AE}" pid="16" name="LAWLISTTMP2">
    <vt:lpwstr>70301/058:2</vt:lpwstr>
  </property>
  <property fmtid="{D5CDD505-2E9C-101B-9397-08002B2CF9AE}" pid="17" name="LAWLISTTMP3">
    <vt:lpwstr>74903/211</vt:lpwstr>
  </property>
  <property fmtid="{D5CDD505-2E9C-101B-9397-08002B2CF9AE}" pid="18" name="LAWLISTTMP4">
    <vt:lpwstr>75003/005b</vt:lpwstr>
  </property>
  <property fmtid="{D5CDD505-2E9C-101B-9397-08002B2CF9AE}" pid="19" name="LAWYER">
    <vt:lpwstr>יגאל בלפור;ארז בן ארויה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נעה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דיון פלילי</vt:lpwstr>
  </property>
  <property fmtid="{D5CDD505-2E9C-101B-9397-08002B2CF9AE}" pid="31" name="NOSE110">
    <vt:lpwstr/>
  </property>
  <property fmtid="{D5CDD505-2E9C-101B-9397-08002B2CF9AE}" pid="32" name="NOSE12">
    <vt:lpwstr>ראיות</vt:lpwstr>
  </property>
  <property fmtid="{D5CDD505-2E9C-101B-9397-08002B2CF9AE}" pid="33" name="NOSE13">
    <vt:lpwstr>עונשין</vt:lpwstr>
  </property>
  <property fmtid="{D5CDD505-2E9C-101B-9397-08002B2CF9AE}" pid="34" name="NOSE14">
    <vt:lpwstr>דיון פלילי</vt:lpwstr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18;89;77;18</vt:lpwstr>
  </property>
  <property fmtid="{D5CDD505-2E9C-101B-9397-08002B2CF9AE}" pid="41" name="NOSE21">
    <vt:lpwstr>בירור האשמה</vt:lpwstr>
  </property>
  <property fmtid="{D5CDD505-2E9C-101B-9397-08002B2CF9AE}" pid="42" name="NOSE210">
    <vt:lpwstr/>
  </property>
  <property fmtid="{D5CDD505-2E9C-101B-9397-08002B2CF9AE}" pid="43" name="NOSE22">
    <vt:lpwstr>ערעור</vt:lpwstr>
  </property>
  <property fmtid="{D5CDD505-2E9C-101B-9397-08002B2CF9AE}" pid="44" name="NOSE23">
    <vt:lpwstr>ענישה</vt:lpwstr>
  </property>
  <property fmtid="{D5CDD505-2E9C-101B-9397-08002B2CF9AE}" pid="45" name="NOSE24">
    <vt:lpwstr>ערעור</vt:lpwstr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449;1656;1446;504</vt:lpwstr>
  </property>
  <property fmtid="{D5CDD505-2E9C-101B-9397-08002B2CF9AE}" pid="52" name="NOSE31">
    <vt:lpwstr>גירסאות עובדתיות חלופיות במשפט פלילי</vt:lpwstr>
  </property>
  <property fmtid="{D5CDD505-2E9C-101B-9397-08002B2CF9AE}" pid="53" name="NOSE310">
    <vt:lpwstr/>
  </property>
  <property fmtid="{D5CDD505-2E9C-101B-9397-08002B2CF9AE}" pid="54" name="NOSE32">
    <vt:lpwstr>הגשת ראיה נוספת בערעור</vt:lpwstr>
  </property>
  <property fmtid="{D5CDD505-2E9C-101B-9397-08002B2CF9AE}" pid="55" name="NOSE33">
    <vt:lpwstr>הפעלת מאסר על תנאי</vt:lpwstr>
  </property>
  <property fmtid="{D5CDD505-2E9C-101B-9397-08002B2CF9AE}" pid="56" name="NOSE34">
    <vt:lpwstr>אי-התערבות בממצאים עובדתיים</vt:lpwstr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12862;10460;8977;3849</vt:lpwstr>
  </property>
  <property fmtid="{D5CDD505-2E9C-101B-9397-08002B2CF9AE}" pid="63" name="PADIDATE">
    <vt:lpwstr>20171218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עפ;עפ</vt:lpwstr>
  </property>
  <property fmtid="{D5CDD505-2E9C-101B-9397-08002B2CF9AE}" pid="68" name="PROCNUM">
    <vt:lpwstr>2336;2410</vt:lpwstr>
  </property>
  <property fmtid="{D5CDD505-2E9C-101B-9397-08002B2CF9AE}" pid="69" name="PROCYEAR">
    <vt:lpwstr>16;16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410120171214</vt:lpwstr>
  </property>
  <property fmtid="{D5CDD505-2E9C-101B-9397-08002B2CF9AE}" pid="73" name="TYPE_N_DATE">
    <vt:lpwstr>41020171214</vt:lpwstr>
  </property>
  <property fmtid="{D5CDD505-2E9C-101B-9397-08002B2CF9AE}" pid="74" name="VOLUME">
    <vt:lpwstr/>
  </property>
  <property fmtid="{D5CDD505-2E9C-101B-9397-08002B2CF9AE}" pid="75" name="WORDNUMPAGES">
    <vt:lpwstr>18</vt:lpwstr>
  </property>
</Properties>
</file>