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2336/24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דוד מינץ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יוסף אלרון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גילה כנפי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שטייניץ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אבידן גאלי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David" w:hAnsi="David"/>
                <w:rtl w:val="true"/>
              </w:rPr>
              <w:t xml:space="preserve">ערעור על גזר דינו של בית המשפט המחוזי בבאר שבע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>השופט י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ליבדרו</w:t>
            </w:r>
            <w:r>
              <w:rPr>
                <w:rFonts w:cs="David" w:ascii="David" w:hAnsi="David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מיום </w:t>
            </w:r>
            <w:r>
              <w:rPr>
                <w:rFonts w:cs="David" w:ascii="David" w:hAnsi="David"/>
              </w:rPr>
              <w:t>5.2.2024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12494-05-20</w:t>
              </w:r>
            </w:hyperlink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hyperlink r:id="rId3">
              <w:r>
                <w:rPr>
                  <w:rFonts w:eastAsia="David" w:cs="David" w:ascii="David" w:hAnsi="David"/>
                  <w:rtl w:val="true"/>
                </w:rPr>
                <w:t xml:space="preserve"> </w:t>
              </w:r>
            </w:hyperlink>
            <w:r>
              <w:rPr>
                <w:rFonts w:cs="David" w:ascii="David" w:hAnsi="David"/>
                <w:rtl w:val="true"/>
              </w:rPr>
              <w:t>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>]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תאריך הישיבה</w:t>
            </w:r>
            <w:r>
              <w:rPr>
                <w:rFonts w:cs="David" w:ascii="David" w:hAnsi="David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כ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ו בחשוון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ה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27.11.2024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פנינת ינאי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ורד חלאוה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נפגע העבירה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יעקוב בורובסקי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שירות המבחן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ס סיון קוריס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bookmarkStart w:id="4" w:name="LawTable_End"/>
      <w:bookmarkEnd w:id="4"/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5" w:name="ABSTRACT_START"/>
      <w:bookmarkStart w:id="6" w:name="_Hlk184020100"/>
      <w:bookmarkEnd w:id="5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הנדון לא נופל לגדרם של המקרים החריגים המצדיקים התערבות בחומרת העונש שנגזר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אשר נגזר על המערער בגין הרשעתו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חבלה בכוונה מחמירה אינו חמור כלל ועיקר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הלך כברת דרך משמעותית לעבר המערער תוך התחשבות בכלל השיקולים הצריכים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נמצא טעם המצדיק 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עבירה – חבלה בכוונה מחמירה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בו הושתו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לצד עונשים נלווים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הודאתו בעבירה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מקום להטיל עליו עונש מאסר שירוצה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 אין זו דרכה של ערכאת הערעור להתערב בחומרת העונש שנגזר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שבהם נפלה טעות מהותית בגזר הדין או כאשר העונש שנגזר חורג באופן ניכר וממשי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דנן </w:t>
      </w:r>
      <w:bookmarkStart w:id="7" w:name="_Hlk184020334"/>
      <w:r>
        <w:rPr>
          <w:rFonts w:ascii="Times New Roman" w:hAnsi="Times New Roman" w:cs="Times New Roman"/>
          <w:spacing w:val="0"/>
          <w:szCs w:val="26"/>
          <w:rtl w:val="true"/>
        </w:rPr>
        <w:t>לא נופל לגדרם של המקרים החריגים המצדיקים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כי מעשיו של המערער חמורים עד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להקל בכך ראש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עשה שימוש בחפץ חד ומסוכן לצורך דקירת המתלונן חזור ושנה במקומות שונים בגופו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לאחר שהמתלונן ניסה לברוח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חדל אלא המשיך ורדף אחריו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שהמתלונן נפל על הקרקע המערער המשיך לדקור אותו בראשו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בידיו וברגליו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זאת תוך שהוא מטיח כלפיו איומים ותוך שזה מנסה להתגונן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לאחר שהרחיקו את המערער מהמתלונן הוא ניסה להתקרב אליו שוב תוך שהוא אוחז את החפץ החד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 המערער טענה כי מעשי המערער נעשו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תנועות מרוסנות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בכדי הם הסתיימו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שריטות קלות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אך טענות אלה רחוקות מאוד מהמציאות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מסרטון המתעד את האירוע ניכר בבירור כי מדובר במעשים אלימים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שבלתי אפשרי לייחס להם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ריסון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מהתמונות המתעדות את הפציעות שנגרמו למתלונן גם ניכר כי הוא נזקק לטיפול רפואי ולתפרים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שרק במזל לא נגרם לו נזק חמור בהרבה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לכך יש להוסיף את הטלטלה שחווה המתלונן בחייו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שבאים הדברים לביטוי בתסקיר 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המערער לא נולדו בחלל ריק וניתן להניח כי הוא איבד את עשתונותיו בשל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התעלם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העובדה שהדברים לא קיבלו ביטוי מלא בכתב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ונתן לכך משקל משמעותי בגזר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אף נתן משקל משמעותי לשיקולי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 בשים לב לתסקירי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לעברו הנקי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לגילו ול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התנהלותו הנורמטיבית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החיובית והתורמת לחברה משך כל 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ניתן משקל לחלוף הזמן מאז 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כן נקבע כי יש לחרוג באופן ניכר ממתחם העונש שנקבע ולהשית על המערער עונש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כל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בצדק טענה המשיבה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הלך כברת דרך משמעותית לעבר המערער תוך התחשבות בכלל השיקולים הצריכים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נמצא טעם המצדיק 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יצוין כי לא נמצא שנפל פגם באופן שבו נתן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משקל להסתייגויות השונות שהובעו בתסקיר המשלים של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ליתר טענות המערער בנוגע למחדלים שונים בהתנהלות התביעה ולקרבה לסייגים לאחריות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שאלה לא קיבלו ביטוי בטיעוניו לעונש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נראה כי יש בהן כדי להצדיק הקלה נוספת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בוחנת את התוצאה העונשית הסופית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המערער אינו חמור כלל ועיקר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bookmarkEnd w:id="6"/>
    </w:p>
    <w:p>
      <w:pPr>
        <w:pStyle w:val="Normal"/>
        <w:suppressLineNumbers/>
        <w:ind w:end="0"/>
        <w:jc w:val="start"/>
        <w:rPr>
          <w:rFonts w:ascii="David" w:hAnsi="David" w:cs="David"/>
          <w:spacing w:val="0"/>
          <w:szCs w:val="26"/>
        </w:rPr>
      </w:pPr>
      <w:r>
        <w:rPr>
          <w:rFonts w:cs="David" w:ascii="David" w:hAnsi="David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1" w:name="NGCSBookmark"/>
      <w:bookmarkStart w:id="12" w:name="NGCSBookmark"/>
      <w:bookmarkEnd w:id="12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דוד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מינץ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spacing w:val="10"/>
          <w:sz w:val="28"/>
          <w:szCs w:val="28"/>
          <w:u w:val="single"/>
        </w:rPr>
      </w:pPr>
      <w:r>
        <w:rPr>
          <w:rFonts w:cs="FrankRuehl" w:ascii="FrankRuehl" w:hAnsi="FrankRuehl"/>
          <w:b/>
          <w:spacing w:val="10"/>
          <w:sz w:val="28"/>
          <w:szCs w:val="28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ליבדרו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5.2.2024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12494-05-20</w:t>
        </w:r>
      </w:hyperlink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15.2.2023</w:t>
      </w:r>
      <w:r>
        <w:rPr>
          <w:rtl w:val="true"/>
        </w:rPr>
        <w:t xml:space="preserve"> </w:t>
      </w:r>
      <w:r>
        <w:rPr>
          <w:rtl w:val="true"/>
        </w:rPr>
        <w:t xml:space="preserve">הורשע המערער על פי הודאתו במסגרת הסדר טיעון בעובדות כתב אישום מתוקן המייחס לו עבירה של חבלה בכוונה מחמירה 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על פי המפורט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בין המערער למתלונן הייתה היכרות מוקדמת על רקע היותם מתגוררים במושב בדרום הארץ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המושב</w:t>
      </w:r>
      <w:r>
        <w:rPr>
          <w:rtl w:val="true"/>
        </w:rPr>
        <w:t xml:space="preserve">). </w:t>
      </w:r>
      <w:r>
        <w:rPr>
          <w:rtl w:val="true"/>
        </w:rPr>
        <w:t>במועד הרלוונטי לכתב האישום</w:t>
      </w:r>
      <w:r>
        <w:rPr>
          <w:rtl w:val="true"/>
        </w:rPr>
        <w:t xml:space="preserve">, </w:t>
      </w:r>
      <w:r>
        <w:rPr>
          <w:rtl w:val="true"/>
        </w:rPr>
        <w:t>השכיר המערער יחידת דיור במושב לאדם אחר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18.3.2020</w:t>
      </w:r>
      <w:r>
        <w:rPr>
          <w:rtl w:val="true"/>
        </w:rPr>
        <w:t xml:space="preserve"> </w:t>
      </w:r>
      <w:r>
        <w:rPr>
          <w:rtl w:val="true"/>
        </w:rPr>
        <w:t>שוחח המתלונן עם השוכר וביקש ממנו כי יימנע מלנסוע בשבת במושב בטרקטורונים</w:t>
      </w:r>
      <w:r>
        <w:rPr>
          <w:rtl w:val="true"/>
        </w:rPr>
        <w:t xml:space="preserve">, </w:t>
      </w:r>
      <w:r>
        <w:rPr>
          <w:rtl w:val="true"/>
        </w:rPr>
        <w:t>ובעקבות שיחה זו עזב השוכר את המושב</w:t>
      </w:r>
      <w:r>
        <w:rPr>
          <w:rtl w:val="true"/>
        </w:rPr>
        <w:t xml:space="preserve">. </w:t>
      </w:r>
      <w:r>
        <w:rPr>
          <w:rtl w:val="true"/>
        </w:rPr>
        <w:t xml:space="preserve">למחרת בשעות הערב הגיעו לביתו של המתלונן האחים שרון ועודד פריניאן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האחים</w:t>
      </w:r>
      <w:r>
        <w:rPr>
          <w:rtl w:val="true"/>
        </w:rPr>
        <w:t xml:space="preserve">), </w:t>
      </w:r>
      <w:r>
        <w:rPr>
          <w:rtl w:val="true"/>
        </w:rPr>
        <w:t>ובמהלך מפגשם עם המתלונן טלפן אחד מהם למערער והנחה אותו להגיע למקום</w:t>
      </w:r>
      <w:r>
        <w:rPr>
          <w:rtl w:val="true"/>
        </w:rPr>
        <w:t xml:space="preserve">. </w:t>
      </w:r>
      <w:r>
        <w:rPr>
          <w:rtl w:val="true"/>
        </w:rPr>
        <w:t>כעבור מספר דקות הגיע המערער ברכבו וצפר מחוץ לביתו של המתלונן</w:t>
      </w:r>
      <w:r>
        <w:rPr>
          <w:rtl w:val="true"/>
        </w:rPr>
        <w:t xml:space="preserve">. </w:t>
      </w:r>
      <w:r>
        <w:rPr>
          <w:rtl w:val="true"/>
        </w:rPr>
        <w:t>המתלונן יצא מביתו והתקרב לעבר דלת הנהג של רכבו של המערער על מנת לשוחח עמו</w:t>
      </w:r>
      <w:r>
        <w:rPr>
          <w:rtl w:val="true"/>
        </w:rPr>
        <w:t xml:space="preserve">. </w:t>
      </w:r>
      <w:r>
        <w:rPr>
          <w:rtl w:val="true"/>
        </w:rPr>
        <w:t>המערער יצא מרכבו כשהוא מצויד בחפץ חד ואיים על המתלונן כי יפגע בגופו</w:t>
      </w:r>
      <w:r>
        <w:rPr>
          <w:rtl w:val="true"/>
        </w:rPr>
        <w:t xml:space="preserve">, </w:t>
      </w:r>
      <w:r>
        <w:rPr>
          <w:rtl w:val="true"/>
        </w:rPr>
        <w:t>ואחז בחולצתו</w:t>
      </w:r>
      <w:r>
        <w:rPr>
          <w:rtl w:val="true"/>
        </w:rPr>
        <w:t xml:space="preserve">. </w:t>
      </w:r>
      <w:r>
        <w:rPr>
          <w:rtl w:val="true"/>
        </w:rPr>
        <w:t>המתלונן ניסה להדוף את המערער ממנו אך המערער החל לדקור אותו בצווארו</w:t>
      </w:r>
      <w:r>
        <w:rPr>
          <w:rtl w:val="true"/>
        </w:rPr>
        <w:t xml:space="preserve">. </w:t>
      </w:r>
      <w:r>
        <w:rPr>
          <w:rtl w:val="true"/>
        </w:rPr>
        <w:t>המתלונן ניסה להימלט מהמערער אך המערער לא הניח לו ורדף אחריו עד אשר המתלונן נפל על הקרקע</w:t>
      </w:r>
      <w:r>
        <w:rPr>
          <w:rtl w:val="true"/>
        </w:rPr>
        <w:t xml:space="preserve">. </w:t>
      </w:r>
      <w:r>
        <w:rPr>
          <w:rtl w:val="true"/>
        </w:rPr>
        <w:t>גם אז המערער לא חדל ממעשיו והמשיך לדקור את המתלונן בראשו</w:t>
      </w:r>
      <w:r>
        <w:rPr>
          <w:rtl w:val="true"/>
        </w:rPr>
        <w:t xml:space="preserve">, </w:t>
      </w:r>
      <w:r>
        <w:rPr>
          <w:rtl w:val="true"/>
        </w:rPr>
        <w:t>בידיו וברגליו תוך שהוא מאיים על המתלונן כי יפגע בו</w:t>
      </w:r>
      <w:r>
        <w:rPr>
          <w:rtl w:val="true"/>
        </w:rPr>
        <w:t xml:space="preserve">, </w:t>
      </w:r>
      <w:r>
        <w:rPr>
          <w:rtl w:val="true"/>
        </w:rPr>
        <w:t>והמתלונן מנסה להתגונן מפניו</w:t>
      </w:r>
      <w:r>
        <w:rPr>
          <w:rtl w:val="true"/>
        </w:rPr>
        <w:t xml:space="preserve">. </w:t>
      </w:r>
      <w:r>
        <w:rPr>
          <w:rtl w:val="true"/>
        </w:rPr>
        <w:t>בעקבות האירוע יצאו בני משפחתו של המתלונן מביתם ויחד עם האחים הרחיקו את המערער מהמתלונן</w:t>
      </w:r>
      <w:r>
        <w:rPr>
          <w:rtl w:val="true"/>
        </w:rPr>
        <w:t xml:space="preserve">. </w:t>
      </w:r>
      <w:r>
        <w:rPr>
          <w:rtl w:val="true"/>
        </w:rPr>
        <w:t>אלא שהמערער לא נואש וניסה להתקרב בשנית אל המתלונן כשהוא ממשיך ואוחז את החפץ החד בידו</w:t>
      </w:r>
      <w:r>
        <w:rPr>
          <w:rtl w:val="true"/>
        </w:rPr>
        <w:t xml:space="preserve">. </w:t>
      </w:r>
      <w:r>
        <w:rPr>
          <w:rtl w:val="true"/>
        </w:rPr>
        <w:t>גם הפעם הורחק המערער מהמתלונן ועזב לבסוף את המקום כשהמתלונן נותר מוטל על הקרקע פצוע ושותת דם</w:t>
      </w:r>
      <w:r>
        <w:rPr>
          <w:rtl w:val="true"/>
        </w:rPr>
        <w:t xml:space="preserve">. </w:t>
      </w:r>
      <w:r>
        <w:rPr>
          <w:rtl w:val="true"/>
        </w:rPr>
        <w:t>כתוצאה מהמעשים נגרמו למתלונן פצעי דקירה בראשו</w:t>
      </w:r>
      <w:r>
        <w:rPr>
          <w:rtl w:val="true"/>
        </w:rPr>
        <w:t xml:space="preserve">,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ברגלו ובידו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עובר למתן גזר הדין הוגשו לבית המשפט שני תסקירי שירות מבחן בעניינו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בתסקיר הראשון מיום </w:t>
      </w:r>
      <w:r>
        <w:rPr/>
        <w:t>13.8.2023</w:t>
      </w:r>
      <w:r>
        <w:rPr>
          <w:rtl w:val="true"/>
        </w:rPr>
        <w:t xml:space="preserve"> </w:t>
      </w:r>
      <w:r>
        <w:rPr>
          <w:rtl w:val="true"/>
        </w:rPr>
        <w:t>תואר הרקע לביצוע המעשים מפיו של המערער</w:t>
      </w:r>
      <w:r>
        <w:rPr>
          <w:rtl w:val="true"/>
        </w:rPr>
        <w:t xml:space="preserve">. </w:t>
      </w:r>
      <w:r>
        <w:rPr>
          <w:rtl w:val="true"/>
        </w:rPr>
        <w:t>בעניין זה סיפר המערער כי רכש משק חקלאי במושב ממיטב כספו לצורך מגורי משפחתו</w:t>
      </w:r>
      <w:r>
        <w:rPr>
          <w:rtl w:val="true"/>
        </w:rPr>
        <w:t xml:space="preserve">, </w:t>
      </w:r>
      <w:r>
        <w:rPr>
          <w:rtl w:val="true"/>
        </w:rPr>
        <w:t>אולם עם המעבר לאותו משק</w:t>
      </w:r>
      <w:r>
        <w:rPr>
          <w:rtl w:val="true"/>
        </w:rPr>
        <w:t xml:space="preserve">, </w:t>
      </w:r>
      <w:r>
        <w:rPr>
          <w:rtl w:val="true"/>
        </w:rPr>
        <w:t>המתלונן פעל נגדו במטרה לגרום לו לוותר על חלקים משמעותיים ממנו</w:t>
      </w:r>
      <w:r>
        <w:rPr>
          <w:rtl w:val="true"/>
        </w:rPr>
        <w:t xml:space="preserve">. </w:t>
      </w:r>
      <w:r>
        <w:rPr>
          <w:rtl w:val="true"/>
        </w:rPr>
        <w:t>המערער תיאר מסכת נידוי ופגיעה בו ובבני משפחתו</w:t>
      </w:r>
      <w:r>
        <w:rPr>
          <w:rtl w:val="true"/>
        </w:rPr>
        <w:t xml:space="preserve">, </w:t>
      </w:r>
      <w:r>
        <w:rPr>
          <w:rtl w:val="true"/>
        </w:rPr>
        <w:t>לרבות איומים ומעורבות גורמים שונים לשם הרתעתו</w:t>
      </w:r>
      <w:r>
        <w:rPr>
          <w:rtl w:val="true"/>
        </w:rPr>
        <w:t xml:space="preserve">. </w:t>
      </w:r>
      <w:r>
        <w:rPr>
          <w:rtl w:val="true"/>
        </w:rPr>
        <w:t>בשל איומי המתלונן כלפי השוכר הוא חש תסכול וכעס</w:t>
      </w:r>
      <w:r>
        <w:rPr>
          <w:rtl w:val="true"/>
        </w:rPr>
        <w:t xml:space="preserve">, </w:t>
      </w:r>
      <w:r>
        <w:rPr>
          <w:rtl w:val="true"/>
        </w:rPr>
        <w:t>ובעקבות זאת הגיע לביתו של המתלונן לאחר תיאום שנעשה באמצעות מכרים שלו</w:t>
      </w:r>
      <w:r>
        <w:rPr>
          <w:rtl w:val="true"/>
        </w:rPr>
        <w:t xml:space="preserve">. </w:t>
      </w:r>
      <w:r>
        <w:rPr>
          <w:rtl w:val="true"/>
        </w:rPr>
        <w:t>כאשר הוא יצא מרכבו</w:t>
      </w:r>
      <w:r>
        <w:rPr>
          <w:rtl w:val="true"/>
        </w:rPr>
        <w:t xml:space="preserve">, </w:t>
      </w:r>
      <w:r>
        <w:rPr>
          <w:rtl w:val="true"/>
        </w:rPr>
        <w:t>המתלונן אחז בו תוך שחנק אותו וגרר אותו לכיוון הכניסה לביתו</w:t>
      </w:r>
      <w:r>
        <w:rPr>
          <w:rtl w:val="true"/>
        </w:rPr>
        <w:t xml:space="preserve">, </w:t>
      </w:r>
      <w:r>
        <w:rPr>
          <w:rtl w:val="true"/>
        </w:rPr>
        <w:t>ובעקבות זאת שלף המערער מברג שהיה בכיסו ודקר את המתלונן</w:t>
      </w:r>
      <w:r>
        <w:rPr>
          <w:rtl w:val="true"/>
        </w:rPr>
        <w:t xml:space="preserve">. </w:t>
      </w:r>
      <w:r>
        <w:rPr>
          <w:rtl w:val="true"/>
        </w:rPr>
        <w:t>התרשמות שירות המבחן כפי שבאה לידי ביטוי בתסקיר האמור</w:t>
      </w:r>
      <w:r>
        <w:rPr>
          <w:rtl w:val="true"/>
        </w:rPr>
        <w:t xml:space="preserve">, </w:t>
      </w:r>
      <w:r>
        <w:rPr>
          <w:rtl w:val="true"/>
        </w:rPr>
        <w:t>הייתה כי המערער התנהל באירוע מתוך תחושת איום על חייו לאחר שהתמודד עם לחץ נפשי לאורך תקופה ממושכת במהלכה חש אחריות על הפגיעה שספגו בני משפחתו</w:t>
      </w:r>
      <w:r>
        <w:rPr>
          <w:rtl w:val="true"/>
        </w:rPr>
        <w:t xml:space="preserve">. </w:t>
      </w:r>
      <w:r>
        <w:rPr>
          <w:rtl w:val="true"/>
        </w:rPr>
        <w:t>על אף שהמערער התנהל על פי נורמות עברייניות באירוע</w:t>
      </w:r>
      <w:r>
        <w:rPr>
          <w:rtl w:val="true"/>
        </w:rPr>
        <w:t xml:space="preserve">, </w:t>
      </w:r>
      <w:r>
        <w:rPr>
          <w:rtl w:val="true"/>
        </w:rPr>
        <w:t>התנהלותו הכללית לא מאופיינת בדפוסים אלימים</w:t>
      </w:r>
      <w:r>
        <w:rPr>
          <w:rtl w:val="true"/>
        </w:rPr>
        <w:t xml:space="preserve">, </w:t>
      </w:r>
      <w:r>
        <w:rPr>
          <w:rtl w:val="true"/>
        </w:rPr>
        <w:t>הוא מתנהל בדרך נורמטיבית ומבטא רצון לשפר את דרכיו</w:t>
      </w:r>
      <w:r>
        <w:rPr>
          <w:rtl w:val="true"/>
        </w:rPr>
        <w:t xml:space="preserve">. </w:t>
      </w:r>
      <w:r>
        <w:rPr>
          <w:rtl w:val="true"/>
        </w:rPr>
        <w:t>על כן שירות המבחן העריך רמת סיכון נמוכה למעורבות אלימה בעתיד</w:t>
      </w:r>
      <w:r>
        <w:rPr>
          <w:rtl w:val="true"/>
        </w:rPr>
        <w:t xml:space="preserve">, </w:t>
      </w:r>
      <w:r>
        <w:rPr>
          <w:rtl w:val="true"/>
        </w:rPr>
        <w:t>והמליץ על הטלת עונש מאסר בדרך של עבודות שירות לצד צו מבחן למשך שנה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בשל הפער בין תיאור הדברים על ידי המערער לבין עובדות כתב האישום</w:t>
      </w:r>
      <w:r>
        <w:rPr>
          <w:rtl w:val="true"/>
        </w:rPr>
        <w:t xml:space="preserve">, </w:t>
      </w:r>
      <w:r>
        <w:rPr>
          <w:rtl w:val="true"/>
        </w:rPr>
        <w:t>התבקש שירות המבחן לערוך תסקיר משלים</w:t>
      </w:r>
      <w:r>
        <w:rPr>
          <w:rtl w:val="true"/>
        </w:rPr>
        <w:t xml:space="preserve">. </w:t>
      </w:r>
      <w:r>
        <w:rPr>
          <w:rtl w:val="true"/>
        </w:rPr>
        <w:t xml:space="preserve">בתסקיר מיום </w:t>
      </w:r>
      <w:r>
        <w:rPr/>
        <w:t>19.12.2023</w:t>
      </w:r>
      <w:r>
        <w:rPr>
          <w:rtl w:val="true"/>
        </w:rPr>
        <w:t xml:space="preserve"> </w:t>
      </w:r>
      <w:r>
        <w:rPr>
          <w:rtl w:val="true"/>
        </w:rPr>
        <w:t>צוין כי המערער רואה עצמו קורבן של נסיבות האירוע</w:t>
      </w:r>
      <w:r>
        <w:rPr>
          <w:rtl w:val="true"/>
        </w:rPr>
        <w:t xml:space="preserve">, </w:t>
      </w:r>
      <w:r>
        <w:rPr>
          <w:rtl w:val="true"/>
        </w:rPr>
        <w:t>מתקשה להבין את התנהגותו השולית</w:t>
      </w:r>
      <w:r>
        <w:rPr>
          <w:rtl w:val="true"/>
        </w:rPr>
        <w:t xml:space="preserve">, </w:t>
      </w:r>
      <w:r>
        <w:rPr>
          <w:rtl w:val="true"/>
        </w:rPr>
        <w:t>נוטל אחריות חלקית על מעשיו ורואה עצמו כמי שהגן על עצמו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התחדדה התרשמות שירות המבחן כי למערער קשרים שוליים</w:t>
      </w:r>
      <w:r>
        <w:rPr>
          <w:rtl w:val="true"/>
        </w:rPr>
        <w:t xml:space="preserve">, </w:t>
      </w:r>
      <w:r>
        <w:rPr>
          <w:rtl w:val="true"/>
        </w:rPr>
        <w:t>וכי הוא ממשיך בהתנהלות שמעמידה אותו במצבי סיכון</w:t>
      </w:r>
      <w:r>
        <w:rPr>
          <w:rtl w:val="true"/>
        </w:rPr>
        <w:t xml:space="preserve">. </w:t>
      </w:r>
      <w:r>
        <w:rPr>
          <w:rtl w:val="true"/>
        </w:rPr>
        <w:t>על רקע זה סבר שירות המבחן כי יש לשלב את המערער בקבוצה טיפולית</w:t>
      </w:r>
      <w:r>
        <w:rPr>
          <w:rtl w:val="true"/>
        </w:rPr>
        <w:t xml:space="preserve">, </w:t>
      </w:r>
      <w:r>
        <w:rPr>
          <w:rtl w:val="true"/>
        </w:rPr>
        <w:t>אולם חזר על המלצתו לעניין העונש שיש להשית 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5.2.2024</w:t>
      </w:r>
      <w:r>
        <w:rPr>
          <w:rtl w:val="true"/>
        </w:rPr>
        <w:t xml:space="preserve"> </w:t>
      </w:r>
      <w:r>
        <w:rPr>
          <w:rtl w:val="true"/>
        </w:rPr>
        <w:t>עמד בית המשפט על הערכים המוגנים שנפגעו כתוצאה ממעשי המערער ועל הפגיעה הממשית בהם</w:t>
      </w:r>
      <w:r>
        <w:rPr>
          <w:rtl w:val="true"/>
        </w:rPr>
        <w:t xml:space="preserve">. </w:t>
      </w:r>
      <w:r>
        <w:rPr>
          <w:rtl w:val="true"/>
        </w:rPr>
        <w:t>כן התייחס בית המשפט לנסיבות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ובכללן לכך שמדובר בשימוש בחפץ חד לצורך פתרון סכסוך</w:t>
      </w:r>
      <w:r>
        <w:rPr>
          <w:rtl w:val="true"/>
        </w:rPr>
        <w:t xml:space="preserve">, </w:t>
      </w:r>
      <w:r>
        <w:rPr>
          <w:rtl w:val="true"/>
        </w:rPr>
        <w:t>לנזק שנגרם למתלונן</w:t>
      </w:r>
      <w:r>
        <w:rPr>
          <w:rtl w:val="true"/>
        </w:rPr>
        <w:t xml:space="preserve">, </w:t>
      </w:r>
      <w:r>
        <w:rPr>
          <w:rtl w:val="true"/>
        </w:rPr>
        <w:t>לנזק הקטלני שהיה עלול להיגרם</w:t>
      </w:r>
      <w:r>
        <w:rPr>
          <w:rtl w:val="true"/>
        </w:rPr>
        <w:t xml:space="preserve">, </w:t>
      </w:r>
      <w:r>
        <w:rPr>
          <w:rtl w:val="true"/>
        </w:rPr>
        <w:t>להמשך המעשים חרף העובדה שהמתלונן ניסה לברוח מהמקום</w:t>
      </w:r>
      <w:r>
        <w:rPr>
          <w:rtl w:val="true"/>
        </w:rPr>
        <w:t xml:space="preserve">, </w:t>
      </w:r>
      <w:r>
        <w:rPr>
          <w:rtl w:val="true"/>
        </w:rPr>
        <w:t>ולכך שהמערער ניסה להתקרב פעם נוספת אל המתלונן גם לאחר שהורחק ממנו</w:t>
      </w:r>
      <w:r>
        <w:rPr>
          <w:rtl w:val="true"/>
        </w:rPr>
        <w:t xml:space="preserve">. </w:t>
      </w:r>
      <w:r>
        <w:rPr>
          <w:rtl w:val="true"/>
        </w:rPr>
        <w:t>לצד זאת ניתן משקל לכך שתוצאות מעשיו של המערער אינן מן החמורות</w:t>
      </w:r>
      <w:r>
        <w:rPr>
          <w:rtl w:val="true"/>
        </w:rPr>
        <w:t xml:space="preserve">, </w:t>
      </w:r>
      <w:r>
        <w:rPr>
          <w:rtl w:val="true"/>
        </w:rPr>
        <w:t>הן מבחינת הפגיעה הפיזית במתלונן והן מבחינת העובדה שהמתלונן נותר להתגורר במושב חרף חששו מהמערער</w:t>
      </w:r>
      <w:r>
        <w:rPr>
          <w:rtl w:val="true"/>
        </w:rPr>
        <w:t xml:space="preserve">. </w:t>
      </w:r>
      <w:r>
        <w:rPr>
          <w:rtl w:val="true"/>
        </w:rPr>
        <w:t>כן צוין כי בכתב האישום המתוקן לא נאמר במפורש שמדובר בתקיפה מתוכננת</w:t>
      </w:r>
      <w:r>
        <w:rPr>
          <w:rtl w:val="true"/>
        </w:rPr>
        <w:t xml:space="preserve">. </w:t>
      </w:r>
      <w:r>
        <w:rPr>
          <w:rtl w:val="true"/>
        </w:rPr>
        <w:t>באשר לסיבה שהביאה את המערער לביצוע המעשים על פי טענתו</w:t>
      </w:r>
      <w:r>
        <w:rPr>
          <w:rtl w:val="true"/>
        </w:rPr>
        <w:t xml:space="preserve">, </w:t>
      </w:r>
      <w:r>
        <w:rPr>
          <w:rtl w:val="true"/>
        </w:rPr>
        <w:t>ציין בית המשפט כי הגם שהדבר לא 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והגם שבהתאם להוראות החוק</w:t>
      </w:r>
      <w:r>
        <w:rPr>
          <w:rtl w:val="true"/>
        </w:rPr>
        <w:t xml:space="preserve">, </w:t>
      </w:r>
      <w:r>
        <w:rPr>
          <w:rtl w:val="true"/>
        </w:rPr>
        <w:t>במסגרת כתב אישום בהסדר טיעון יש לכלול את כל 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ישנו צוהר שדרכו ניתן להתחשב בעניין זה</w:t>
      </w:r>
      <w:r>
        <w:rPr>
          <w:rtl w:val="true"/>
        </w:rPr>
        <w:t xml:space="preserve">. </w:t>
      </w:r>
      <w:r>
        <w:rPr>
          <w:rtl w:val="true"/>
        </w:rPr>
        <w:t>בהקשר זה צוין כי בכתב האישום נזכרת העובדה שהמערער חש שהופעל עליו לחץ למכור את ביתו</w:t>
      </w:r>
      <w:r>
        <w:rPr>
          <w:rtl w:val="true"/>
        </w:rPr>
        <w:t xml:space="preserve">; </w:t>
      </w:r>
      <w:r>
        <w:rPr>
          <w:rtl w:val="true"/>
        </w:rPr>
        <w:t>כי הסדר הטיעון הושג בשלב מאוחר מאוד בהליך</w:t>
      </w:r>
      <w:r>
        <w:rPr>
          <w:rtl w:val="true"/>
        </w:rPr>
        <w:t xml:space="preserve">, </w:t>
      </w:r>
      <w:r>
        <w:rPr>
          <w:rtl w:val="true"/>
        </w:rPr>
        <w:t>באופן המאפשר לבית המשפט לקבוע שתחושת הלחץ שחש המערער אינה תחושה בעלמא בלתי מבוססת</w:t>
      </w:r>
      <w:r>
        <w:rPr>
          <w:rtl w:val="true"/>
        </w:rPr>
        <w:t xml:space="preserve">; </w:t>
      </w:r>
      <w:r>
        <w:rPr>
          <w:rtl w:val="true"/>
        </w:rPr>
        <w:t>וכי בתסקירי שירות המבחן נזכר רקע זה לביצוע העבירה</w:t>
      </w:r>
      <w:r>
        <w:rPr>
          <w:rtl w:val="true"/>
        </w:rPr>
        <w:t xml:space="preserve">. </w:t>
      </w:r>
      <w:r>
        <w:rPr>
          <w:rtl w:val="true"/>
        </w:rPr>
        <w:t>נוכח כל אלה</w:t>
      </w:r>
      <w:r>
        <w:rPr>
          <w:rtl w:val="true"/>
        </w:rPr>
        <w:t xml:space="preserve">, </w:t>
      </w:r>
      <w:r>
        <w:rPr>
          <w:rtl w:val="true"/>
        </w:rPr>
        <w:t>בית המשפט היה מוכן להניח שהסיבה שהביאה את המערער לתקוף את המתלונן הייתה אותה תחושת לחץ</w:t>
      </w:r>
      <w:r>
        <w:rPr>
          <w:rtl w:val="true"/>
        </w:rPr>
        <w:t xml:space="preserve">, </w:t>
      </w:r>
      <w:r>
        <w:rPr>
          <w:rtl w:val="true"/>
        </w:rPr>
        <w:t>ואף הוסיף כי יש להתחשב בכך לצורך קביעת המתחם</w:t>
      </w:r>
      <w:r>
        <w:rPr>
          <w:rtl w:val="true"/>
        </w:rPr>
        <w:t xml:space="preserve">. </w:t>
      </w:r>
      <w:r>
        <w:rPr>
          <w:rtl w:val="true"/>
        </w:rPr>
        <w:t>בהמשך לכך עמד בית המשפט על הענישה הנוהגת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ובהתחשב בכל האמור קבע כי מתחם העונש ההולם בעניינו נע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נקבע כי יש מקום לחרוג ממתחם העונש ההולם מטעמי שיקום</w:t>
      </w:r>
      <w:r>
        <w:rPr>
          <w:rtl w:val="true"/>
        </w:rPr>
        <w:t xml:space="preserve">. </w:t>
      </w:r>
      <w:r>
        <w:rPr>
          <w:rtl w:val="true"/>
        </w:rPr>
        <w:t>זאת נוכח המפורט בתסקירי שירות המבחן</w:t>
      </w:r>
      <w:r>
        <w:rPr>
          <w:rtl w:val="true"/>
        </w:rPr>
        <w:t xml:space="preserve">, </w:t>
      </w:r>
      <w:r>
        <w:rPr>
          <w:rtl w:val="true"/>
        </w:rPr>
        <w:t>גילו של המערער שאינו צעיר</w:t>
      </w:r>
      <w:r>
        <w:rPr>
          <w:rtl w:val="true"/>
        </w:rPr>
        <w:t xml:space="preserve">, </w:t>
      </w:r>
      <w:r>
        <w:rPr>
          <w:rtl w:val="true"/>
        </w:rPr>
        <w:t>העובדה שהוא נעדר עבר פלילי</w:t>
      </w:r>
      <w:r>
        <w:rPr>
          <w:rtl w:val="true"/>
        </w:rPr>
        <w:t xml:space="preserve">, </w:t>
      </w:r>
      <w:r>
        <w:rPr>
          <w:rtl w:val="true"/>
        </w:rPr>
        <w:t>לקיחת האחריות והבעת הצער מצדו</w:t>
      </w:r>
      <w:r>
        <w:rPr>
          <w:rtl w:val="true"/>
        </w:rPr>
        <w:t xml:space="preserve">, </w:t>
      </w:r>
      <w:r>
        <w:rPr>
          <w:rtl w:val="true"/>
        </w:rPr>
        <w:t>התנהלותו הנורמטיבית וחלוף הזמן מאז נעברה העבירה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נמצא שאין מקום להשית עליו עונש של מאסר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זאת הן בשל חומרת העבירה והן מהטעם שבתסקיר המשלים עלו נקודות בעייתיות המקשות על היכולת לתת משקל בלעדי לשיקולי שיקום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שהטיפול הפרטי שבו השתלב אינו תורם באופן מספק להפחתת מסוכנותו</w:t>
      </w:r>
      <w:r>
        <w:rPr>
          <w:rtl w:val="true"/>
        </w:rPr>
        <w:t xml:space="preserve">, </w:t>
      </w:r>
      <w:r>
        <w:rPr>
          <w:rtl w:val="true"/>
        </w:rPr>
        <w:t>שהוא ממשיך להעמיד עצמו במצבי סיכון ומצוי בקשרים שוליים</w:t>
      </w:r>
      <w:r>
        <w:rPr>
          <w:rtl w:val="true"/>
        </w:rPr>
        <w:t xml:space="preserve">. </w:t>
      </w:r>
      <w:r>
        <w:rPr>
          <w:rtl w:val="true"/>
        </w:rPr>
        <w:t xml:space="preserve">על רקע כל האמור הושתו על המערער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מאסרים על תנאי ופיצוי למתלונן 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 המשפט הדגיש כי עונש המאסר הוא קל מהעונש שנכון ומקובל להטיל במקרים דומים</w:t>
      </w:r>
      <w:r>
        <w:rPr>
          <w:rtl w:val="true"/>
        </w:rPr>
        <w:t xml:space="preserve">, </w:t>
      </w:r>
      <w:r>
        <w:rPr>
          <w:rtl w:val="true"/>
        </w:rPr>
        <w:t>אולם נסיבות המקרה הייחודיות ובכלל זה סיכויי שיקומו של המערער מצדיקים תוצאה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 xml:space="preserve">, </w:t>
      </w:r>
      <w:r>
        <w:rPr>
          <w:rtl w:val="true"/>
        </w:rPr>
        <w:t>בו טען המערער כי היה מקום להטיל עליו עונש מאסר שירוצה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המערער עמד בערעורו על היותו אדם נורמטיבי וישר המצטיין בכל אורחותיו</w:t>
      </w:r>
      <w:r>
        <w:rPr>
          <w:rtl w:val="true"/>
        </w:rPr>
        <w:t xml:space="preserve">, </w:t>
      </w:r>
      <w:r>
        <w:rPr>
          <w:rtl w:val="true"/>
        </w:rPr>
        <w:t>ואף צירף קלסר עב כרס הכולל תעודות ומסמכים המעידים על אורח חייו הנורמטיבי</w:t>
      </w:r>
      <w:r>
        <w:rPr>
          <w:rtl w:val="true"/>
        </w:rPr>
        <w:t xml:space="preserve">. </w:t>
      </w:r>
      <w:r>
        <w:rPr>
          <w:rtl w:val="true"/>
        </w:rPr>
        <w:t>עוד פירט המערער באריכות את הרקע לביצוע המעשים מנקודת מבטו</w:t>
      </w:r>
      <w:r>
        <w:rPr>
          <w:rtl w:val="true"/>
        </w:rPr>
        <w:t xml:space="preserve">, </w:t>
      </w:r>
      <w:r>
        <w:rPr>
          <w:rtl w:val="true"/>
        </w:rPr>
        <w:t>כמי שלאורך זמן ניכר היה קורבן למסע רדיפה מתמשך ולהתעללות שהביאו אותו להתפרצות</w:t>
      </w:r>
      <w:r>
        <w:rPr>
          <w:rtl w:val="true"/>
        </w:rPr>
        <w:t xml:space="preserve">. </w:t>
      </w:r>
      <w:r>
        <w:rPr>
          <w:rtl w:val="true"/>
        </w:rPr>
        <w:t>בית המשפט המחוזי אמנם היה ער לנסיבות הייחודיות של המקרה</w:t>
      </w:r>
      <w:r>
        <w:rPr>
          <w:rtl w:val="true"/>
        </w:rPr>
        <w:t xml:space="preserve">, </w:t>
      </w:r>
      <w:r>
        <w:rPr>
          <w:rtl w:val="true"/>
        </w:rPr>
        <w:t>אולם לא נתן להן משקל מספק בגזירת הדין</w:t>
      </w:r>
      <w:r>
        <w:rPr>
          <w:rtl w:val="true"/>
        </w:rPr>
        <w:t xml:space="preserve">. </w:t>
      </w:r>
      <w:r>
        <w:rPr>
          <w:rtl w:val="true"/>
        </w:rPr>
        <w:t>כן עמד המערער על השתלשלות ההליך בעניינו בציינו כי בשלב החקירה ובשלב הגשת כתב האישום נעשו מחדלים מצד רשויות החקירה והתביעה</w:t>
      </w:r>
      <w:r>
        <w:rPr>
          <w:rtl w:val="true"/>
        </w:rPr>
        <w:t xml:space="preserve">, </w:t>
      </w:r>
      <w:r>
        <w:rPr>
          <w:rtl w:val="true"/>
        </w:rPr>
        <w:t>ושהיה מקום להתחשב גם בהם בגזירת העונש חרף הודאתו</w:t>
      </w:r>
      <w:r>
        <w:rPr>
          <w:rtl w:val="true"/>
        </w:rPr>
        <w:t xml:space="preserve">. </w:t>
      </w:r>
      <w:r>
        <w:rPr>
          <w:rtl w:val="true"/>
        </w:rPr>
        <w:t>עוד נטען כי בית המשפט המחוזי לא נתן משקל מספק לכך שהמעשים אינם ברמת חומרה גבוהה</w:t>
      </w:r>
      <w:r>
        <w:rPr>
          <w:rtl w:val="true"/>
        </w:rPr>
        <w:t xml:space="preserve">, </w:t>
      </w:r>
      <w:r>
        <w:rPr>
          <w:rtl w:val="true"/>
        </w:rPr>
        <w:t>ושהפציעות שנגרמו למתלונן אינן חמורות</w:t>
      </w:r>
      <w:r>
        <w:rPr>
          <w:rtl w:val="true"/>
        </w:rPr>
        <w:t xml:space="preserve">. </w:t>
      </w:r>
      <w:r>
        <w:rPr>
          <w:rtl w:val="true"/>
        </w:rPr>
        <w:t>בהקשר זה גם נטען כי תסקיר נפגע העבירה אינו מתאר כהלכה את מצבו של המתלונן</w:t>
      </w:r>
      <w:r>
        <w:rPr>
          <w:rtl w:val="true"/>
        </w:rPr>
        <w:t xml:space="preserve">, </w:t>
      </w:r>
      <w:r>
        <w:rPr>
          <w:rtl w:val="true"/>
        </w:rPr>
        <w:t>שחי את חייו השגרתיים וזאת בניגוד למערער שחרב עליו עולמו</w:t>
      </w:r>
      <w:r>
        <w:rPr>
          <w:rtl w:val="true"/>
        </w:rPr>
        <w:t xml:space="preserve">. </w:t>
      </w:r>
      <w:r>
        <w:rPr>
          <w:rtl w:val="true"/>
        </w:rPr>
        <w:t>בית המשפט גם לא התייחס לכך שבנסיבות העניין קיימת קרבה לסייגים שונים לאחריות פלילית – הגנה עצמית</w:t>
      </w:r>
      <w:r>
        <w:rPr>
          <w:rtl w:val="true"/>
        </w:rPr>
        <w:t xml:space="preserve">, </w:t>
      </w:r>
      <w:r>
        <w:rPr>
          <w:rtl w:val="true"/>
        </w:rPr>
        <w:t>הגנת משק בית ו</w:t>
      </w:r>
      <w:r>
        <w:rPr>
          <w:rtl w:val="true"/>
        </w:rPr>
        <w:t>"</w:t>
      </w:r>
      <w:r>
        <w:rPr>
          <w:rtl w:val="true"/>
        </w:rPr>
        <w:t>קנטור מצטבר</w:t>
      </w:r>
      <w:r>
        <w:rPr>
          <w:rtl w:val="true"/>
        </w:rPr>
        <w:t xml:space="preserve">" – </w:t>
      </w:r>
      <w:r>
        <w:rPr>
          <w:rtl w:val="true"/>
        </w:rPr>
        <w:t>וגם עניין זה הצדיק הקלה בעונש</w:t>
      </w:r>
      <w:r>
        <w:rPr>
          <w:rtl w:val="true"/>
        </w:rPr>
        <w:t xml:space="preserve">. </w:t>
      </w:r>
      <w:r>
        <w:rPr>
          <w:rtl w:val="true"/>
        </w:rPr>
        <w:t>בנוסף טען המערער כי מתחם העונש שנקבע מחמיר יתר על המידה</w:t>
      </w:r>
      <w:r>
        <w:rPr>
          <w:rtl w:val="true"/>
        </w:rPr>
        <w:t xml:space="preserve">; </w:t>
      </w:r>
      <w:r>
        <w:rPr>
          <w:rtl w:val="true"/>
        </w:rPr>
        <w:t>כי לא היה מקום ליתן משקל משמעותי להסתייגויות שהובעו בתסקיר המשלים של שירות המבחן בנוגע לגורמי הסיכון</w:t>
      </w:r>
      <w:r>
        <w:rPr>
          <w:rtl w:val="true"/>
        </w:rPr>
        <w:t xml:space="preserve">; </w:t>
      </w:r>
      <w:r>
        <w:rPr>
          <w:rtl w:val="true"/>
        </w:rPr>
        <w:t>וכי במקרים אחרים חמורים ממקרה זה</w:t>
      </w:r>
      <w:r>
        <w:rPr>
          <w:rtl w:val="true"/>
        </w:rPr>
        <w:t xml:space="preserve">, </w:t>
      </w:r>
      <w:r>
        <w:rPr>
          <w:rtl w:val="true"/>
        </w:rPr>
        <w:t>שלא חלו בהם נסיבות חריגות כבענייננו</w:t>
      </w:r>
      <w:r>
        <w:rPr>
          <w:rtl w:val="true"/>
        </w:rPr>
        <w:t xml:space="preserve">, </w:t>
      </w:r>
      <w:r>
        <w:rPr>
          <w:rtl w:val="true"/>
        </w:rPr>
        <w:t>הוטל עונש מאסר שירוצה בדרך של עבודות שירות כך שאין בחומרת העבירה כשלעצמה כדי לשלול עונש שכזה</w:t>
      </w:r>
      <w:r>
        <w:rPr>
          <w:rtl w:val="true"/>
        </w:rPr>
        <w:t xml:space="preserve">. </w:t>
      </w:r>
      <w:r>
        <w:rPr>
          <w:rtl w:val="true"/>
        </w:rPr>
        <w:t>ולבסוף נטען כי 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שיקולי </w:t>
      </w:r>
      <w:r>
        <w:rPr>
          <w:rtl w:val="true"/>
        </w:rPr>
        <w:t>"</w:t>
      </w:r>
      <w:r>
        <w:rPr>
          <w:rtl w:val="true"/>
        </w:rPr>
        <w:t>רחמים</w:t>
      </w:r>
      <w:r>
        <w:rPr>
          <w:rtl w:val="true"/>
        </w:rPr>
        <w:t xml:space="preserve">" </w:t>
      </w:r>
      <w:r>
        <w:rPr>
          <w:rtl w:val="true"/>
        </w:rPr>
        <w:t>וחלוף הזמן מאז ביצוע העבירות מצדיקים גם הם הקלה בעונשו של המערער עד כדי מאסר שירוצה בדרך של עבודות שירות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בדיון שנערך לפנינו המשיבה החרתה</w:t>
      </w:r>
      <w:r>
        <w:rPr>
          <w:rtl w:val="true"/>
        </w:rPr>
        <w:t>-</w:t>
      </w:r>
      <w:r>
        <w:rPr>
          <w:rtl w:val="true"/>
        </w:rPr>
        <w:t>החזיקה אחר 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היא טענה כי מצפייה בסרטון המתעד את אירוע הדקירה עולה כי מדובר באירוע אלים ביותר</w:t>
      </w:r>
      <w:r>
        <w:rPr>
          <w:rtl w:val="true"/>
        </w:rPr>
        <w:t xml:space="preserve">. </w:t>
      </w:r>
      <w:r>
        <w:rPr>
          <w:rtl w:val="true"/>
        </w:rPr>
        <w:t>אמנם ברקע לאירוע זה עמד לחץ שחש המערער בנוגע לגורל ביתו</w:t>
      </w:r>
      <w:r>
        <w:rPr>
          <w:rtl w:val="true"/>
        </w:rPr>
        <w:t xml:space="preserve">, </w:t>
      </w:r>
      <w:r>
        <w:rPr>
          <w:rtl w:val="true"/>
        </w:rPr>
        <w:t>אולם בסופו של דבר הוא ביצע מעשים חמורים שיש לתת עליהם את הדין</w:t>
      </w:r>
      <w:r>
        <w:rPr>
          <w:rtl w:val="true"/>
        </w:rPr>
        <w:t xml:space="preserve">. </w:t>
      </w:r>
      <w:r>
        <w:rPr>
          <w:rtl w:val="true"/>
        </w:rPr>
        <w:t>בית המשפט המחוזי לא התעלם מהרקע למעשים</w:t>
      </w:r>
      <w:r>
        <w:rPr>
          <w:rtl w:val="true"/>
        </w:rPr>
        <w:t xml:space="preserve">, </w:t>
      </w:r>
      <w:r>
        <w:rPr>
          <w:rtl w:val="true"/>
        </w:rPr>
        <w:t>ואף נתן להם משקל משמעותי חרף העובדה שלעניין זה לא ניתן ביטוי משמעותי בכתב האישום המתוקן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בית המשפט הלך לעבר המערער כברת דרך וגזר עליו עונש מקל במיוחד</w:t>
      </w:r>
      <w:r>
        <w:rPr>
          <w:rtl w:val="true"/>
        </w:rPr>
        <w:t xml:space="preserve">, </w:t>
      </w:r>
      <w:r>
        <w:rPr>
          <w:rtl w:val="true"/>
        </w:rPr>
        <w:t>ואין מקום להקלה נוספת</w:t>
      </w:r>
      <w:r>
        <w:rPr>
          <w:rtl w:val="true"/>
        </w:rPr>
        <w:t xml:space="preserve">. </w:t>
      </w:r>
      <w:r>
        <w:rPr>
          <w:rtl w:val="true"/>
        </w:rPr>
        <w:t>יש גם לתת את הדעת לנפגע העבירה</w:t>
      </w:r>
      <w:r>
        <w:rPr>
          <w:rtl w:val="true"/>
        </w:rPr>
        <w:t xml:space="preserve">, </w:t>
      </w:r>
      <w:r>
        <w:rPr>
          <w:rtl w:val="true"/>
        </w:rPr>
        <w:t>שחווה תקיפה אלימה וכוחנית מאוד בפתח ביתו</w:t>
      </w:r>
      <w:r>
        <w:rPr>
          <w:rtl w:val="true"/>
        </w:rPr>
        <w:t>-</w:t>
      </w:r>
      <w:r>
        <w:rPr>
          <w:rtl w:val="true"/>
        </w:rPr>
        <w:t>מבצרו</w:t>
      </w:r>
      <w:r>
        <w:rPr>
          <w:rtl w:val="true"/>
        </w:rPr>
        <w:t xml:space="preserve">. </w:t>
      </w:r>
      <w:r>
        <w:rPr>
          <w:rtl w:val="true"/>
        </w:rPr>
        <w:t>לטענה זו הצטרף גם בא</w:t>
      </w:r>
      <w:r>
        <w:rPr>
          <w:rtl w:val="true"/>
        </w:rPr>
        <w:t>-</w:t>
      </w:r>
      <w:r>
        <w:rPr>
          <w:rtl w:val="true"/>
        </w:rPr>
        <w:t>כוחו של המתלונן</w:t>
      </w:r>
      <w:r>
        <w:rPr>
          <w:rtl w:val="true"/>
        </w:rPr>
        <w:t xml:space="preserve">, </w:t>
      </w:r>
      <w:r>
        <w:rPr>
          <w:rtl w:val="true"/>
        </w:rPr>
        <w:t>שהוסיף והרחיב על אודות מצבו של המתלונן כיום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לאחר ששמענו את טענות הצדדים</w:t>
      </w:r>
      <w:r>
        <w:rPr>
          <w:rtl w:val="true"/>
        </w:rPr>
        <w:t xml:space="preserve">, </w:t>
      </w:r>
      <w:r>
        <w:rPr>
          <w:rtl w:val="true"/>
        </w:rPr>
        <w:t>לא מצאנו כי יש מקום לשנות מגזר דינו של בית המשפט 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כידוע אין זו דרכה של ערכאת הערעור להתערב בחומרת העונש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שבהם נפלה טעות מהותית בגזר הדין או כאשר העונש שנגזר חורג באופן ניכר וממשי ממדיניות הענישה הנוהגת </w:t>
      </w:r>
      <w:r>
        <w:rPr>
          <w:rtl w:val="true"/>
        </w:rPr>
        <w:t>(</w:t>
      </w:r>
      <w:r>
        <w:rPr>
          <w:rtl w:val="true"/>
        </w:rPr>
        <w:t>ראו לדוגמה לאחרונה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1269/24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25.11.2024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7506/23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21.11.2024</w:t>
      </w:r>
      <w:r>
        <w:rPr>
          <w:rtl w:val="true"/>
        </w:rPr>
        <w:t xml:space="preserve">)). </w:t>
      </w:r>
      <w:r>
        <w:rPr>
          <w:rtl w:val="true"/>
        </w:rPr>
        <w:t>המקרה שלפנינו לא נופל לגדרם של המקרים החריגים המצדיקים התערבות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נקודת המוצא היא כי מעשיו של המערער חמורים עד מאוד</w:t>
      </w:r>
      <w:r>
        <w:rPr>
          <w:rtl w:val="true"/>
        </w:rPr>
        <w:t xml:space="preserve">. </w:t>
      </w:r>
      <w:r>
        <w:rPr>
          <w:rtl w:val="true"/>
        </w:rPr>
        <w:t>אין להקל בכך ראש</w:t>
      </w:r>
      <w:r>
        <w:rPr>
          <w:rtl w:val="true"/>
        </w:rPr>
        <w:t xml:space="preserve">. </w:t>
      </w:r>
      <w:r>
        <w:rPr>
          <w:rtl w:val="true"/>
        </w:rPr>
        <w:t>כמפורט בכתב האישום המתוקן שבעובדותיו הודה המערער</w:t>
      </w:r>
      <w:r>
        <w:rPr>
          <w:rtl w:val="true"/>
        </w:rPr>
        <w:t xml:space="preserve">, </w:t>
      </w:r>
      <w:r>
        <w:rPr>
          <w:rtl w:val="true"/>
        </w:rPr>
        <w:t>הוא עשה שימוש בחפץ חד ומסוכן לצורך דקירת המתלונן חזור ושנה במקומות שונים בגופו</w:t>
      </w:r>
      <w:r>
        <w:rPr>
          <w:rtl w:val="true"/>
        </w:rPr>
        <w:t xml:space="preserve">. </w:t>
      </w:r>
      <w:r>
        <w:rPr>
          <w:rtl w:val="true"/>
        </w:rPr>
        <w:t>גם לאחר שהמתלונן ניסה לברוח המערער</w:t>
      </w:r>
      <w:r>
        <w:rPr>
          <w:rtl w:val="true"/>
        </w:rPr>
        <w:t xml:space="preserve">, </w:t>
      </w:r>
      <w:r>
        <w:rPr>
          <w:rtl w:val="true"/>
        </w:rPr>
        <w:t>לא חדל אלא המשיך ורדף אחריו</w:t>
      </w:r>
      <w:r>
        <w:rPr>
          <w:rtl w:val="true"/>
        </w:rPr>
        <w:t xml:space="preserve">, </w:t>
      </w:r>
      <w:r>
        <w:rPr>
          <w:rtl w:val="true"/>
        </w:rPr>
        <w:t>ולאחר שהמתלונן נפל על הקרקע המערער המשיך לדקור אותו בראשו</w:t>
      </w:r>
      <w:r>
        <w:rPr>
          <w:rtl w:val="true"/>
        </w:rPr>
        <w:t xml:space="preserve">, </w:t>
      </w:r>
      <w:r>
        <w:rPr>
          <w:rtl w:val="true"/>
        </w:rPr>
        <w:t>בידיו וברגליו</w:t>
      </w:r>
      <w:r>
        <w:rPr>
          <w:rtl w:val="true"/>
        </w:rPr>
        <w:t xml:space="preserve">. </w:t>
      </w:r>
      <w:r>
        <w:rPr>
          <w:rtl w:val="true"/>
        </w:rPr>
        <w:t>כל זאת תוך שהוא מטיח כלפי המתלונן איומים ותוך שזה מנסה להתגונן מפניו</w:t>
      </w:r>
      <w:r>
        <w:rPr>
          <w:rtl w:val="true"/>
        </w:rPr>
        <w:t xml:space="preserve">. </w:t>
      </w:r>
      <w:r>
        <w:rPr>
          <w:rtl w:val="true"/>
        </w:rPr>
        <w:t>גם לאחר שהרחיקו את המערער מהמתלונן הוא ניסה להתקרב אליו שוב תוך שהוא אוחז את החפץ החד בידיו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 של המערער טענה נמרצות לפנינו כי מעשיו של המערער נעשו ב</w:t>
      </w:r>
      <w:r>
        <w:rPr>
          <w:rtl w:val="true"/>
        </w:rPr>
        <w:t>"</w:t>
      </w:r>
      <w:r>
        <w:rPr>
          <w:rtl w:val="true"/>
        </w:rPr>
        <w:t>תנועות מרוסנות</w:t>
      </w:r>
      <w:r>
        <w:rPr>
          <w:rtl w:val="true"/>
        </w:rPr>
        <w:t xml:space="preserve">" </w:t>
      </w:r>
      <w:r>
        <w:rPr>
          <w:rtl w:val="true"/>
        </w:rPr>
        <w:t>ולא בכדי הם הסתיימו ב</w:t>
      </w:r>
      <w:r>
        <w:rPr>
          <w:rtl w:val="true"/>
        </w:rPr>
        <w:t>"</w:t>
      </w:r>
      <w:r>
        <w:rPr>
          <w:rtl w:val="true"/>
        </w:rPr>
        <w:t>שריטות קלות</w:t>
      </w:r>
      <w:r>
        <w:rPr>
          <w:rtl w:val="true"/>
        </w:rPr>
        <w:t xml:space="preserve">". </w:t>
      </w:r>
      <w:r>
        <w:rPr>
          <w:rtl w:val="true"/>
        </w:rPr>
        <w:t>ברם טענות אלה רחוקות מאוד מהמציאות</w:t>
      </w:r>
      <w:r>
        <w:rPr>
          <w:rtl w:val="true"/>
        </w:rPr>
        <w:t xml:space="preserve">. </w:t>
      </w:r>
      <w:r>
        <w:rPr>
          <w:rtl w:val="true"/>
        </w:rPr>
        <w:t>בדיון שהתקיים לפנינו צפינו בסרטון המתעד את האירוע</w:t>
      </w:r>
      <w:r>
        <w:rPr>
          <w:rtl w:val="true"/>
        </w:rPr>
        <w:t xml:space="preserve">, </w:t>
      </w:r>
      <w:r>
        <w:rPr>
          <w:rtl w:val="true"/>
        </w:rPr>
        <w:t>וצפיתי בו בשנית לאחר מכן</w:t>
      </w:r>
      <w:r>
        <w:rPr>
          <w:rtl w:val="true"/>
        </w:rPr>
        <w:t xml:space="preserve">. </w:t>
      </w:r>
      <w:r>
        <w:rPr>
          <w:rtl w:val="true"/>
        </w:rPr>
        <w:t>מסרטון זה ניכר בבירור כי מדובר במעשים אלימים ביותר</w:t>
      </w:r>
      <w:r>
        <w:rPr>
          <w:rtl w:val="true"/>
        </w:rPr>
        <w:t xml:space="preserve">, </w:t>
      </w:r>
      <w:r>
        <w:rPr>
          <w:rtl w:val="true"/>
        </w:rPr>
        <w:t>שבלתי אפשרי לייחס להם את המילה ריסון</w:t>
      </w:r>
      <w:r>
        <w:rPr>
          <w:rtl w:val="true"/>
        </w:rPr>
        <w:t xml:space="preserve">. </w:t>
      </w:r>
      <w:r>
        <w:rPr>
          <w:rtl w:val="true"/>
        </w:rPr>
        <w:t>מהתמונות המתעדות את הפציעות שנגרמו למתלונן גם ניכר כי הוא נזקק לטיפול רפואי ולתפרים במספר חלקים בגופו</w:t>
      </w:r>
      <w:r>
        <w:rPr>
          <w:rtl w:val="true"/>
        </w:rPr>
        <w:t xml:space="preserve">. </w:t>
      </w:r>
      <w:r>
        <w:rPr>
          <w:rtl w:val="true"/>
        </w:rPr>
        <w:t>דומה שרק במזל לא נגרם לו נזק חמור בהרבה</w:t>
      </w:r>
      <w:r>
        <w:rPr>
          <w:rtl w:val="true"/>
        </w:rPr>
        <w:t xml:space="preserve">. </w:t>
      </w:r>
      <w:r>
        <w:rPr>
          <w:rtl w:val="true"/>
        </w:rPr>
        <w:t>לכך יש להוסיף את הטלטלה שחווה המתלונן בחייו</w:t>
      </w:r>
      <w:r>
        <w:rPr>
          <w:rtl w:val="true"/>
        </w:rPr>
        <w:t xml:space="preserve">, </w:t>
      </w:r>
      <w:r>
        <w:rPr>
          <w:rtl w:val="true"/>
        </w:rPr>
        <w:t>כפי שבאים הדברים לידי ביטוי בתסקיר נפגע העבירה</w:t>
      </w:r>
      <w:r>
        <w:rPr>
          <w:rtl w:val="true"/>
        </w:rPr>
        <w:t xml:space="preserve">. </w:t>
      </w:r>
      <w:r>
        <w:rPr>
          <w:rtl w:val="true"/>
        </w:rPr>
        <w:t>ולמותר לציין כי טענות באת</w:t>
      </w:r>
      <w:r>
        <w:rPr>
          <w:rtl w:val="true"/>
        </w:rPr>
        <w:t>-</w:t>
      </w:r>
      <w:r>
        <w:rPr>
          <w:rtl w:val="true"/>
        </w:rPr>
        <w:t>כוח המערער בדבר אמיתות הדברים המובאים בתסקיר זה</w:t>
      </w:r>
      <w:r>
        <w:rPr>
          <w:rtl w:val="true"/>
        </w:rPr>
        <w:t xml:space="preserve">, </w:t>
      </w:r>
      <w:r>
        <w:rPr>
          <w:rtl w:val="true"/>
        </w:rPr>
        <w:t>שלא גובו בדבר</w:t>
      </w:r>
      <w:r>
        <w:rPr>
          <w:rtl w:val="true"/>
        </w:rPr>
        <w:t xml:space="preserve">, </w:t>
      </w:r>
      <w:r>
        <w:rPr>
          <w:rtl w:val="true"/>
        </w:rPr>
        <w:t>אינן ממן העניין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שגם פורט בהרחבה בגזר הדין המנומק והמפורט</w:t>
      </w:r>
      <w:r>
        <w:rPr>
          <w:rtl w:val="true"/>
        </w:rPr>
        <w:t xml:space="preserve">, </w:t>
      </w:r>
      <w:r>
        <w:rPr>
          <w:rtl w:val="true"/>
        </w:rPr>
        <w:t>מעשיו של המערער לא נולדו בחלל ריק</w:t>
      </w:r>
      <w:r>
        <w:rPr>
          <w:rtl w:val="true"/>
        </w:rPr>
        <w:t xml:space="preserve"> </w:t>
      </w:r>
      <w:r>
        <w:rPr>
          <w:rtl w:val="true"/>
        </w:rPr>
        <w:t>וניתן להניח כי הוא איבד את עשתונותיו ב</w:t>
      </w:r>
      <w:r>
        <w:rPr>
          <w:rtl w:val="true"/>
        </w:rPr>
        <w:t>של</w:t>
      </w:r>
      <w:r>
        <w:rPr>
          <w:rtl w:val="true"/>
        </w:rPr>
        <w:t xml:space="preserve"> כך</w:t>
      </w:r>
      <w:r>
        <w:rPr>
          <w:rtl w:val="true"/>
        </w:rPr>
        <w:t xml:space="preserve">. </w:t>
      </w:r>
      <w:r>
        <w:rPr>
          <w:rtl w:val="true"/>
        </w:rPr>
        <w:t>ברם בית המשפט לא התעלם מכך</w:t>
      </w:r>
      <w:r>
        <w:rPr>
          <w:rtl w:val="true"/>
        </w:rPr>
        <w:t xml:space="preserve">, </w:t>
      </w:r>
      <w:r>
        <w:rPr>
          <w:rtl w:val="true"/>
        </w:rPr>
        <w:t>חרף העובדה שהדברים לא קיבלו ביטוי מלא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ונתן לכך משקל משמעותי בגזר דינו</w:t>
      </w:r>
      <w:r>
        <w:rPr>
          <w:rtl w:val="true"/>
        </w:rPr>
        <w:t xml:space="preserve">. </w:t>
      </w:r>
      <w:r>
        <w:rPr>
          <w:rtl w:val="true"/>
        </w:rPr>
        <w:t>בית המשפט אף נתן משקל משמעותי לשיקולי שיקום</w:t>
      </w:r>
      <w:r>
        <w:rPr>
          <w:rtl w:val="true"/>
        </w:rPr>
        <w:t xml:space="preserve">, </w:t>
      </w:r>
      <w:r>
        <w:rPr>
          <w:rtl w:val="true"/>
        </w:rPr>
        <w:t>בין היתר בשים לב לתסקירי שירות המבחן</w:t>
      </w:r>
      <w:r>
        <w:rPr>
          <w:rtl w:val="true"/>
        </w:rPr>
        <w:t xml:space="preserve">, </w:t>
      </w:r>
      <w:r>
        <w:rPr>
          <w:rtl w:val="true"/>
        </w:rPr>
        <w:t>לעברו הנקי של המערער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התנהלותו הנורמטיבית</w:t>
      </w:r>
      <w:r>
        <w:rPr>
          <w:rtl w:val="true"/>
        </w:rPr>
        <w:t xml:space="preserve">, </w:t>
      </w:r>
      <w:r>
        <w:rPr>
          <w:rtl w:val="true"/>
        </w:rPr>
        <w:t>החיובית והתורמת לחברה משך כל חייו</w:t>
      </w:r>
      <w:r>
        <w:rPr>
          <w:rtl w:val="true"/>
        </w:rPr>
        <w:t xml:space="preserve">" </w:t>
      </w:r>
      <w:r>
        <w:rPr>
          <w:rtl w:val="true"/>
        </w:rPr>
        <w:t xml:space="preserve">על בסיס העדויות שנשמעו לפניו ושלל המסמכים שהונחו לפניו </w:t>
      </w:r>
      <w:r>
        <w:rPr>
          <w:rtl w:val="true"/>
        </w:rPr>
        <w:t>(</w:t>
      </w:r>
      <w:r>
        <w:rPr>
          <w:rtl w:val="true"/>
        </w:rPr>
        <w:t>בהם עיינו גם אנחנו</w:t>
      </w:r>
      <w:r>
        <w:rPr>
          <w:rtl w:val="true"/>
        </w:rPr>
        <w:t xml:space="preserve">). </w:t>
      </w:r>
      <w:r>
        <w:rPr>
          <w:rtl w:val="true"/>
        </w:rPr>
        <w:t>כן ניתן משקל לחלוף הזמן מאז ביצוע המעשים</w:t>
      </w:r>
      <w:r>
        <w:rPr>
          <w:rtl w:val="true"/>
        </w:rPr>
        <w:t xml:space="preserve">, </w:t>
      </w:r>
      <w:r>
        <w:rPr>
          <w:rtl w:val="true"/>
        </w:rPr>
        <w:t xml:space="preserve">ועל כן נקבע כי יש לחרוג באופן ניכר ממתחם העונש שנקבע ולהשית על המערער 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 בלבד</w:t>
      </w:r>
      <w:r>
        <w:rPr>
          <w:rtl w:val="true"/>
        </w:rPr>
        <w:t xml:space="preserve">. </w:t>
      </w:r>
      <w:r>
        <w:rPr>
          <w:rtl w:val="true"/>
        </w:rPr>
        <w:t>על רקע כל האמור</w:t>
      </w:r>
      <w:r>
        <w:rPr>
          <w:rtl w:val="true"/>
        </w:rPr>
        <w:t xml:space="preserve">, </w:t>
      </w:r>
      <w:r>
        <w:rPr>
          <w:rtl w:val="true"/>
        </w:rPr>
        <w:t>בצדק אפוא טענה המשיבה כי בית המשפט הלך כברת דרך משמעותית לעבר המערער תוך התחשבות בכלל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ולא מצאנו טעם המצדיק התערבות בגזר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נוסיף כי לא מצאנו שנפל פגם באופן שבו נתן בית המשפט משקל להסתייגויות השונות שהובעו בתסקיר המשלים של שירות המבחן</w:t>
      </w:r>
      <w:r>
        <w:rPr>
          <w:rtl w:val="true"/>
        </w:rPr>
        <w:t xml:space="preserve">, </w:t>
      </w:r>
      <w:r>
        <w:rPr>
          <w:rtl w:val="true"/>
        </w:rPr>
        <w:t>ובכללן שהטיפול הפרטי בו השתלב המערער אינו תורם באופן מספק להפחתת מסוכנותו</w:t>
      </w:r>
      <w:r>
        <w:rPr>
          <w:rtl w:val="true"/>
        </w:rPr>
        <w:t xml:space="preserve">, </w:t>
      </w:r>
      <w:r>
        <w:rPr>
          <w:rtl w:val="true"/>
        </w:rPr>
        <w:t>שהוא ממשיך להעמיד את עצמו במצבי סיכון ומצוי בקשרים שוליים</w:t>
      </w:r>
      <w:r>
        <w:rPr>
          <w:rtl w:val="true"/>
        </w:rPr>
        <w:t xml:space="preserve">. </w:t>
      </w:r>
      <w:r>
        <w:rPr>
          <w:rtl w:val="true"/>
        </w:rPr>
        <w:t>טענת באת</w:t>
      </w:r>
      <w:r>
        <w:rPr>
          <w:rtl w:val="true"/>
        </w:rPr>
        <w:t>-</w:t>
      </w:r>
      <w:r>
        <w:rPr>
          <w:rtl w:val="true"/>
        </w:rPr>
        <w:t>כוח המערער כי הטיפול אינו אמור להפחית מסוכנות וכי השתלבותו של המערער בטיפול נעשתה מיוזמתו שלו</w:t>
      </w:r>
      <w:r>
        <w:rPr>
          <w:rtl w:val="true"/>
        </w:rPr>
        <w:t xml:space="preserve">, </w:t>
      </w:r>
      <w:r>
        <w:rPr>
          <w:rtl w:val="true"/>
        </w:rPr>
        <w:t>אין בה כדי לשנות מהמסקנה כי הוא אכן לא עבר עד כה הליך שיקומי</w:t>
      </w:r>
      <w:r>
        <w:rPr>
          <w:rtl w:val="true"/>
        </w:rPr>
        <w:t>-</w:t>
      </w:r>
      <w:r>
        <w:rPr>
          <w:rtl w:val="true"/>
        </w:rPr>
        <w:t>טיפולי משמעותי שיש בו כדי להצדיק הקלה כה משמעותית בעונשו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באשר ליתר טענות המערער בנוגע למחדלים שונים בהתנהלות התביעה ולקרבה לסייגים לאחריות פלילית</w:t>
      </w:r>
      <w:r>
        <w:rPr>
          <w:rtl w:val="true"/>
        </w:rPr>
        <w:t xml:space="preserve">, </w:t>
      </w:r>
      <w:r>
        <w:rPr>
          <w:rtl w:val="true"/>
        </w:rPr>
        <w:t xml:space="preserve">הרי שאלה לא קיבלו ביטוי בטיעוניו לעונש לפני בית המשפט המחוזי </w:t>
      </w:r>
      <w:r>
        <w:rPr>
          <w:rtl w:val="true"/>
        </w:rPr>
        <w:t>(</w:t>
      </w:r>
      <w:r>
        <w:rPr>
          <w:rtl w:val="true"/>
        </w:rPr>
        <w:t>זולת הערה לעניין האופן שבו תוארו האחים בכתב האישום המתוקן והעובדה שלא נכללו כעדי תביעה</w:t>
      </w:r>
      <w:r>
        <w:rPr>
          <w:rtl w:val="true"/>
        </w:rPr>
        <w:t xml:space="preserve">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לא התרשמנו כי יש בהן כדי להצדיק הקלה נוספת בעונשו של המערער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בוחנת את התוצאה העונשית הסופית </w:t>
      </w:r>
      <w:r>
        <w:rPr>
          <w:rtl w:val="true"/>
        </w:rPr>
        <w:t>(</w:t>
      </w:r>
      <w:r>
        <w:rPr>
          <w:rtl w:val="true"/>
        </w:rPr>
        <w:t>וראו לאחרונה</w:t>
      </w:r>
      <w:r>
        <w:rPr>
          <w:rtl w:val="true"/>
        </w:rPr>
        <w:t xml:space="preserve">: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27.11.2024</w:t>
      </w:r>
      <w:r>
        <w:rPr>
          <w:rtl w:val="true"/>
        </w:rPr>
        <w:t xml:space="preserve">)).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 אינו חמור כלל ועיקר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בית המשפט המחוזי צעד מרחק רב לקראת המערער</w:t>
      </w:r>
      <w:r>
        <w:rPr>
          <w:rtl w:val="true"/>
        </w:rPr>
        <w:t xml:space="preserve">, </w:t>
      </w:r>
      <w:r>
        <w:rPr>
          <w:rtl w:val="true"/>
        </w:rPr>
        <w:t>ואין מקום להקל עוד בדינו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נדחה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יתייצב לשאת בעונש המאסר בפועל שהוטל עליו ביום </w:t>
      </w:r>
      <w:r>
        <w:rPr/>
        <w:t>29.12.2024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>"</w:t>
      </w:r>
      <w:r>
        <w:rPr>
          <w:rtl w:val="true"/>
        </w:rPr>
        <w:t>ר דקל</w:t>
      </w:r>
      <w:r>
        <w:rPr>
          <w:rtl w:val="true"/>
        </w:rPr>
        <w:t xml:space="preserve">, </w:t>
      </w:r>
      <w:r>
        <w:rPr>
          <w:rtl w:val="true"/>
        </w:rPr>
        <w:t>או במקום אחר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המערער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074-7831078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3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חשוון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01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דצמבר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3"/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מינץ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/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b w:val="false"/>
                <w:bCs w:val="false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  <w:tab/>
      </w: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מינץ </w:t>
      </w:r>
      <w:r>
        <w:rPr>
          <w:rFonts w:cs="David" w:ascii="David" w:hAnsi="David"/>
          <w:color w:val="000000"/>
          <w:sz w:val="22"/>
          <w:szCs w:val="22"/>
        </w:rPr>
        <w:t>54678313-2336/24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r>
        <w:rPr>
          <w:rFonts w:cs="FrankRuehl" w:ascii="FrankRuehl" w:hAnsi="FrankRuehl"/>
          <w:color w:val="0000FF"/>
          <w:sz w:val="2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2336/24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אבידן גאלי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32">
    <w:name w:val=" Char Char32"/>
    <w:qFormat/>
    <w:rPr>
      <w:rFonts w:cs="David"/>
      <w:b/>
      <w:bCs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647852" TargetMode="External"/><Relationship Id="rId3" Type="http://schemas.openxmlformats.org/officeDocument/2006/relationships/hyperlink" Target="http://www.nevo.co.il/case/2664785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case/26647852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30435517" TargetMode="External"/><Relationship Id="rId10" Type="http://schemas.openxmlformats.org/officeDocument/2006/relationships/hyperlink" Target="http://www.nevo.co.il/case/30156900" TargetMode="External"/><Relationship Id="rId11" Type="http://schemas.openxmlformats.org/officeDocument/2006/relationships/hyperlink" Target="http://www.nevo.co.il/case/30248624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2024-12-02T09:40:00Z</dcterms:created>
  <dc:creator> </dc:creator>
  <dc:description/>
  <cp:keywords/>
  <dc:language>en-IL</dc:language>
  <cp:lastModifiedBy>orly</cp:lastModifiedBy>
  <cp:lastPrinted>2024-12-01T10:39:00Z</cp:lastPrinted>
  <dcterms:modified xsi:type="dcterms:W3CDTF">2024-12-02T09:40:00Z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אבידן גאלי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26647852:2;30435517;30156900;30248624</vt:lpwstr>
  </property>
  <property fmtid="{D5CDD505-2E9C-101B-9397-08002B2CF9AE}" pid="9" name="CITY">
    <vt:lpwstr/>
  </property>
  <property fmtid="{D5CDD505-2E9C-101B-9397-08002B2CF9AE}" pid="10" name="DATE">
    <vt:lpwstr>20241201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מינץ;יוסף אלרון;גילה כנפי שטייניץ</vt:lpwstr>
  </property>
  <property fmtid="{D5CDD505-2E9C-101B-9397-08002B2CF9AE}" pid="14" name="LAWLISTTMP1">
    <vt:lpwstr>70301/329.a.1</vt:lpwstr>
  </property>
  <property fmtid="{D5CDD505-2E9C-101B-9397-08002B2CF9AE}" pid="15" name="LAWYER">
    <vt:lpwstr>ורד חלאוה;פנינת ינאי;יעקוב בורובסקי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504;1443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חבלה בכוונה מחמירה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17039;8830</vt:lpwstr>
  </property>
  <property fmtid="{D5CDD505-2E9C-101B-9397-08002B2CF9AE}" pid="59" name="PADIDATE">
    <vt:lpwstr>20241202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2336</vt:lpwstr>
  </property>
  <property fmtid="{D5CDD505-2E9C-101B-9397-08002B2CF9AE}" pid="65" name="PROCYEAR">
    <vt:lpwstr>24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410120241201</vt:lpwstr>
  </property>
  <property fmtid="{D5CDD505-2E9C-101B-9397-08002B2CF9AE}" pid="69" name="TYPE_N_DATE">
    <vt:lpwstr>41020241201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