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2344/22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יגאל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דוגה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עדקי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אילון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דוגה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צ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14753-02-17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6.3.2022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tblpPr w:vertAnchor="text" w:horzAnchor="margin" w:tblpXSpec="left" w:rightFromText="180" w:tblpY="123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6"/>
        <w:gridCol w:w="5099"/>
      </w:tblGrid>
      <w:tr>
        <w:trPr/>
        <w:tc>
          <w:tcPr>
            <w:tcW w:w="3186" w:type="dxa"/>
            <w:tcBorders/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הישיבה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099" w:type="dxa"/>
            <w:tcBorders/>
          </w:tcPr>
          <w:p>
            <w:pPr>
              <w:pStyle w:val="precasestyle"/>
              <w:ind w:end="0"/>
              <w:jc w:val="start"/>
              <w:rPr>
                <w:rFonts w:cs="David"/>
                <w:sz w:val="24"/>
              </w:rPr>
            </w:pPr>
            <w:r>
              <w:rPr>
                <w:rFonts w:cs="David"/>
                <w:sz w:val="24"/>
                <w:sz w:val="24"/>
                <w:rtl w:val="true"/>
              </w:rPr>
              <w:t>ט</w:t>
            </w:r>
            <w:r>
              <w:rPr>
                <w:rFonts w:cs="David"/>
                <w:sz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rtl w:val="true"/>
              </w:rPr>
              <w:t>ז</w:t>
            </w:r>
            <w:r>
              <w:rPr>
                <w:sz w:val="24"/>
                <w:sz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rtl w:val="true"/>
              </w:rPr>
              <w:t>באייר</w:t>
            </w:r>
            <w:r>
              <w:rPr>
                <w:sz w:val="24"/>
                <w:sz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rtl w:val="true"/>
              </w:rPr>
              <w:t>התשפ</w:t>
            </w:r>
            <w:r>
              <w:rPr>
                <w:rFonts w:cs="David"/>
                <w:sz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rtl w:val="true"/>
              </w:rPr>
              <w:t>ב</w:t>
            </w:r>
            <w:r>
              <w:rPr>
                <w:sz w:val="24"/>
                <w:sz w:val="24"/>
                <w:rtl w:val="true"/>
              </w:rPr>
              <w:t xml:space="preserve"> </w:t>
            </w:r>
            <w:r>
              <w:rPr>
                <w:rFonts w:cs="David"/>
                <w:sz w:val="24"/>
                <w:rtl w:val="true"/>
              </w:rPr>
              <w:t>(</w:t>
            </w:r>
            <w:r>
              <w:rPr>
                <w:rFonts w:cs="David"/>
                <w:sz w:val="24"/>
              </w:rPr>
              <w:t>17.5.2022</w:t>
            </w:r>
            <w:r>
              <w:rPr>
                <w:rFonts w:cs="David"/>
                <w:sz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6"/>
        <w:gridCol w:w="5099"/>
      </w:tblGrid>
      <w:tr>
        <w:trPr/>
        <w:tc>
          <w:tcPr>
            <w:tcW w:w="318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lawyers_a_title"/>
            <w:bookmarkEnd w:id="3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המערערים</w:t>
            </w:r>
            <w:r>
              <w:rPr>
                <w:rtl w:val="true"/>
              </w:rPr>
              <w:t>:</w:t>
            </w:r>
          </w:p>
        </w:tc>
        <w:tc>
          <w:tcPr>
            <w:tcW w:w="509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חימי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ממון</w:t>
            </w:r>
            <w:r>
              <w:rPr>
                <w:rtl w:val="true"/>
              </w:rPr>
              <w:t xml:space="preserve">;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רוטמנש</w:t>
            </w:r>
            <w:r>
              <w:rPr>
                <w:rtl w:val="true"/>
              </w:rPr>
              <w:tab/>
            </w:r>
          </w:p>
        </w:tc>
      </w:tr>
    </w:tbl>
    <w:p>
      <w:pPr>
        <w:pStyle w:val="BodyRuller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6"/>
        <w:gridCol w:w="5099"/>
      </w:tblGrid>
      <w:tr>
        <w:trPr/>
        <w:tc>
          <w:tcPr>
            <w:tcW w:w="318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Start w:id="5" w:name="lawyers_b_title"/>
            <w:bookmarkEnd w:id="4"/>
            <w:bookmarkEnd w:id="5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09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יורם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הירשברג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שוורץ</w:t>
            </w:r>
            <w:r>
              <w:rPr>
                <w:rtl w:val="true"/>
              </w:rPr>
              <w:tab/>
            </w:r>
          </w:p>
        </w:tc>
      </w:tr>
    </w:tbl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6" w:name="LawTable"/>
      <w:bookmarkEnd w:id="6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2000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23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1973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36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36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36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1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</w:p>
    <w:p>
      <w:pPr>
        <w:pStyle w:val="Ruller31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 ערעור על החלטת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בה נדחתה בקשת המערערים לעיון חוזר בצו חילוט זמני שניתן בעניין תפיסת רכושם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בהעדר מקום לערוך דיון מחודש בהיקף החילוט בעת הזו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 יוכלו להגיש בקשה לעיון חוזר בתפיסת רכושם אם יתגלו נסיבות חדשות המצדיקות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בחלוף פרק זמן משמעותי 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חילוט – עיון חוזר</w:t>
      </w:r>
    </w:p>
    <w:p>
      <w:pPr>
        <w:pStyle w:val="Ruller4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חילוט – היקפו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חילוט – איסור הלבנת הון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חילוט – בקשה לשחרור רכוש שנתפס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בשנת </w:t>
      </w:r>
      <w:r>
        <w:rPr>
          <w:rFonts w:cs="Times New Roman" w:ascii="Times New Roman" w:hAnsi="Times New Roman"/>
          <w:spacing w:val="0"/>
          <w:sz w:val="24"/>
          <w:szCs w:val="26"/>
        </w:rPr>
        <w:t>2017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הוגש נגד המערערים כתב אישום המייחס להם ביצוע עבירות לפי חוק איסור הלבנת הון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עבירות של קבלת דבר במרמה וקשירת קשר לביצוע פשע לפי 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בעניין תפיסת חלק מהרכוש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הגיעו הצדדים להסכמה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ניתן תוקף של החלטה להסכם על פיו חלק מהרכוש התפוס ישוחרר בכפוף לתנאי ההסכם ואילו יתר הרכוש ייוותר תפוס עד להכרעה חלוטה בבקשת החילוט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הסכם </w:t>
      </w:r>
      <w:r>
        <w:rPr>
          <w:rFonts w:cs="Times New Roman" w:ascii="Times New Roman" w:hAnsi="Times New Roman"/>
          <w:spacing w:val="0"/>
          <w:sz w:val="24"/>
          <w:szCs w:val="26"/>
        </w:rPr>
        <w:t>2017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בחלוף כשנתיים ימים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ומשטרם החלה שמיעת ההוכחות בתיק העיקרי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הגישו המערערים בקשה לעיון מחדש בהיקף החילוט הזמני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בקשת המערערים 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החלטה זו הגישו המערערים ערעור אשר נדחה לאחר שניתן תוקף להסכמת הצדדים על פיה ישוחרר סך של </w:t>
      </w:r>
      <w:r>
        <w:rPr>
          <w:rFonts w:cs="Times New Roman" w:ascii="Times New Roman" w:hAnsi="Times New Roman"/>
          <w:spacing w:val="0"/>
          <w:sz w:val="24"/>
          <w:szCs w:val="26"/>
        </w:rPr>
        <w:t>440,000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מהסכומים התפוסים על ידי המשיבה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כאשר המערערים התחייבו להמתין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נוספים בטרם יגישו בקשה נוספת לשחרור הרכוש התפוס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בקשת המערערים לעיון חוזר בצו חילוט זמני שניתן בעניין תפיסת רכושם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הלבנת הון קובע כי נוסף על כל 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נתונה הסמכות לבימ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להורות על חילוט רכושו של אדם שהורשע לפי סעיף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בשווי הרכוש שנעברה בו 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הרכוש ששימש את ביצועה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אִפשר את ביצועה או שיועד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הרכוש שהושג במישרין או בעקיפין כשכר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כתוצאה מביצועה או שיועד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ענייננו אינו בהחלטה סופית של חילוט אלא במתן סעד זמני של חילוט על עבירות לפי חוק הלבנת הון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מטרת צו חילוט זמני היא לשמור על מצבת נכסיו של נאשם ומניעת הברחת רכושו באופן שיסכל את אפשרות החילוט הסופי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שההליך הפלילי יסתיים בהרשעה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בשלב הדיון בבקשה למתן צו חילוט זמני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לבדוק אם קיימת תשתית ראייתית מספקת במישור הלכאורי המבססת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פוטנציאל חילוט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ואם ניתן לנקוט באמצעים חלופיים שדי בהם כדי להבטיח את אפשרות החילוט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הצדדים הגיעו להסכמה על חילוט זמני של רכוש המערערים עד למתן החלטה בבקשת המשיבה לצו חילוט סופי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השאלות הן האם יכולים המערערים לטעון כיום כי התקיימו נסיבות המצדיקות בחינה מחודשת של היקף החילוט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רקע ההסכמה אליה הגיעו שקיבלה תוקף של החלטות שיפוטיות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והאם יש בחלוף הזמן כדי להצדיק בחינה מחודשת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במקרה זה יש מקום ליתן משקל להסכמה מפורשת של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ולעובדה כי המשיבה מילאה את חלקה בהסכמים וכחלק מהפשרה אליה הגיעו הצדדים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שוחרר חלק מהרכוש שנתפס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הסכם משנת </w:t>
      </w:r>
      <w:r>
        <w:rPr>
          <w:rFonts w:cs="Times New Roman" w:ascii="Times New Roman" w:hAnsi="Times New Roman"/>
          <w:spacing w:val="0"/>
          <w:szCs w:val="26"/>
        </w:rPr>
        <w:t>2017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נוקט בלשון ברורה כי בתמורה לשחרור רכוש ספציפי למערערים ניתנה הסכמתם לתפיסת רכושם עד למתן החלטה סופית בשאלת החילוט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המערערים התחייבו כי לא יטענו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כל טענה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נגד תפיסת רכוש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הסכמת הצדדים משנת </w:t>
      </w:r>
      <w:r>
        <w:rPr>
          <w:rFonts w:cs="Times New Roman" w:ascii="Times New Roman" w:hAnsi="Times New Roman"/>
          <w:spacing w:val="0"/>
          <w:szCs w:val="26"/>
        </w:rPr>
        <w:t>2017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קיבלה משנה תוקף בהסכם משנת </w:t>
      </w:r>
      <w:r>
        <w:rPr>
          <w:rFonts w:cs="Times New Roman" w:ascii="Times New Roman" w:hAnsi="Times New Roman"/>
          <w:spacing w:val="0"/>
          <w:szCs w:val="26"/>
        </w:rPr>
        <w:t>2020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לטענת המערערים כי חלוף הזמן מהווה שינוי נסיבות המצדיק בחינה מחודשת של היקף החילוט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הסכמות העבר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בחינת מידתיות החילוט הזמני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לבחון את פרק הזמן שבו צפוי הצו הזמני לעמוד בתוקף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להניח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בין היתר באופיו הדואלי של הסכם שעניינו חילוט זמני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חלוף הזמן עשוי להצדיק קיום דיון מחודש בהיקף החילוט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חרף הסכמה אליה הגיעו הצדדים במועד מוקדם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מבלי לקבוע מסמרות לגבי טווח הנסיבות המצדיקות קיום דיון מחדש וצמצום היקף החילוט בשל חלוף משך הזמן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נראה כי אין מקום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בשלב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לאפשר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העניין מצביעות שהציפייה הסבירה של הצדדים הייתה כי ההליך העיקרי ייארך זמן רב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העיכוב שנוצר בהתקדמות ההליך אינו רובץ רק לפתחה של המשיבה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חלקה של המשיבה בהסכמים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Cs w:val="26"/>
          <w:rtl w:val="true"/>
        </w:rPr>
        <w:t>שחרור התפוסים שסוכם על שחרורם בוצע והיקף החילוט צומצם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וכי הסכמת הצדדים משנת </w:t>
      </w:r>
      <w:r>
        <w:rPr>
          <w:rFonts w:cs="Times New Roman" w:ascii="Times New Roman" w:hAnsi="Times New Roman"/>
          <w:spacing w:val="0"/>
          <w:szCs w:val="26"/>
        </w:rPr>
        <w:t>2017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קיבלה משנה תוקף בהסכם </w:t>
      </w:r>
      <w:r>
        <w:rPr>
          <w:rFonts w:cs="Times New Roman" w:ascii="Times New Roman" w:hAnsi="Times New Roman"/>
          <w:spacing w:val="0"/>
          <w:szCs w:val="26"/>
        </w:rPr>
        <w:t>2020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שאין מדובר בפרק זמן של 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וחצי שנים מאז ניתנה הסכמתם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הרבה פחות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להתערב בקביעת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כי אין מקום לערוך דיון מחדש בהיקף החילוט בעת הזו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31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Writer_Name"/>
      <w:bookmarkStart w:id="16" w:name="Writer_Name"/>
      <w:bookmarkEnd w:id="16"/>
    </w:p>
    <w:p>
      <w:pPr>
        <w:pStyle w:val="Ruller4"/>
        <w:ind w:end="0"/>
        <w:jc w:val="both"/>
        <w:rPr/>
      </w:pPr>
      <w:bookmarkStart w:id="17" w:name="Start_Write"/>
      <w:bookmarkEnd w:id="17"/>
      <w:r>
        <w:rPr>
          <w:rtl w:val="true"/>
        </w:rPr>
        <w:tab/>
      </w:r>
      <w:r>
        <w:rPr>
          <w:rtl w:val="true"/>
        </w:rPr>
        <w:t>לפנַי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הלבנת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 </w:t>
      </w:r>
      <w:hyperlink r:id="rId16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36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המסוכנים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הפקודה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רנר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14753-02-17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6.3.2022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לבקשה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7.2.2017</w:t>
      </w:r>
      <w:r>
        <w:rPr>
          <w:rtl w:val="true"/>
        </w:rPr>
        <w:t xml:space="preserve"> </w:t>
      </w:r>
      <w:r>
        <w:rPr>
          <w:rtl w:val="true"/>
        </w:rPr>
        <w:t xml:space="preserve">הוגש נגד המערערים כתב אישום המייחס להם ביצוע עבירות לפי 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 בסך של </w:t>
      </w:r>
      <w:r>
        <w:rPr/>
        <w:t>165,520,571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לצד עבירות של קבלת דבר במרמה וקשירת קשר לביצוע פשע לפי 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 xml:space="preserve">במסגרת כתב האישום התבקש בית המשפט לעשות שימוש בסמכותו 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ולהורות כי בנוסף על כל עונש</w:t>
      </w:r>
      <w:r>
        <w:rPr>
          <w:rtl w:val="true"/>
        </w:rPr>
        <w:t xml:space="preserve">, </w:t>
      </w:r>
      <w:r>
        <w:rPr>
          <w:rtl w:val="true"/>
        </w:rPr>
        <w:t>יחולט רכוש של המערערים ובין היתר נכסי מקרקעין</w:t>
      </w:r>
      <w:r>
        <w:rPr>
          <w:rtl w:val="true"/>
        </w:rPr>
        <w:t xml:space="preserve">, </w:t>
      </w:r>
      <w:r>
        <w:rPr>
          <w:rtl w:val="true"/>
        </w:rPr>
        <w:t>סכומי כסף המצויים בחשבונות בנק</w:t>
      </w:r>
      <w:r>
        <w:rPr>
          <w:rtl w:val="true"/>
        </w:rPr>
        <w:t xml:space="preserve">, </w:t>
      </w:r>
      <w:r>
        <w:rPr/>
        <w:t>309</w:t>
      </w:r>
      <w:r>
        <w:rPr>
          <w:rtl w:val="true"/>
        </w:rPr>
        <w:t xml:space="preserve"> </w:t>
      </w:r>
      <w:r>
        <w:rPr>
          <w:rtl w:val="true"/>
        </w:rPr>
        <w:t xml:space="preserve">המחאות שנתפסו במסגרת ההליך ועוד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החילוט</w:t>
      </w:r>
      <w:r>
        <w:rPr>
          <w:rtl w:val="true"/>
        </w:rPr>
        <w:t xml:space="preserve">). </w:t>
      </w:r>
      <w:r>
        <w:rPr>
          <w:rtl w:val="true"/>
        </w:rPr>
        <w:t xml:space="preserve">בד בבד עם הגשת כתב האישום הגישה המשיבה בקשה למתן צו זמני לפי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hyperlink r:id="rId23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36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עד להכרעה בבקשת החילוט</w:t>
      </w:r>
      <w:r>
        <w:rPr>
          <w:rtl w:val="true"/>
        </w:rPr>
        <w:t xml:space="preserve">. </w:t>
      </w:r>
      <w:r>
        <w:rPr>
          <w:rtl w:val="true"/>
        </w:rPr>
        <w:t>המערערים העלו שורה של טענות בקשר לתפיסתו של חלק מהרכוש</w:t>
      </w:r>
      <w:r>
        <w:rPr>
          <w:rtl w:val="true"/>
        </w:rPr>
        <w:t xml:space="preserve">, </w:t>
      </w:r>
      <w:r>
        <w:rPr>
          <w:rtl w:val="true"/>
        </w:rPr>
        <w:t>עד אשר בשלב מסוים הגיעו הצדדים להסכמה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30.11.2017</w:t>
      </w:r>
      <w:r>
        <w:rPr>
          <w:rtl w:val="true"/>
        </w:rPr>
        <w:t xml:space="preserve"> </w:t>
      </w:r>
      <w:r>
        <w:rPr>
          <w:rtl w:val="true"/>
        </w:rPr>
        <w:t xml:space="preserve">ניתן תוקף של החלטה על ידי בית המשפט המחוזי להסכם על פיו חלק מהרכוש התפוס ישוחרר בכפוף לתנאי ההסכם ואילו יתר הרכוש ייוותר תפוס עד להכרעה חלוטה בבקשת החילוט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2017</w:t>
      </w:r>
      <w:r>
        <w:rPr>
          <w:rtl w:val="true"/>
        </w:rPr>
        <w:t xml:space="preserve">). </w:t>
      </w:r>
      <w:r>
        <w:rPr>
          <w:rtl w:val="true"/>
        </w:rPr>
        <w:t xml:space="preserve">כמו כן צוין בסעיף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יוקפא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ישוחרר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סופי</w:t>
      </w:r>
      <w:r>
        <w:rPr>
          <w:rtl w:val="true"/>
        </w:rPr>
        <w:t xml:space="preserve">,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הקיימות</w:t>
      </w:r>
      <w:r>
        <w:rPr>
          <w:rtl w:val="true"/>
        </w:rPr>
        <w:t>."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בחלוף כשנתיים ימים</w:t>
      </w:r>
      <w:r>
        <w:rPr>
          <w:rtl w:val="true"/>
        </w:rPr>
        <w:t xml:space="preserve">, </w:t>
      </w:r>
      <w:r>
        <w:rPr>
          <w:rtl w:val="true"/>
        </w:rPr>
        <w:t>ומשטרם החלה שמיעת ההוכחות בתיק העיקרי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15.9.2019</w:t>
      </w:r>
      <w:r>
        <w:rPr>
          <w:rtl w:val="true"/>
        </w:rPr>
        <w:t xml:space="preserve"> </w:t>
      </w:r>
      <w:r>
        <w:rPr>
          <w:rtl w:val="true"/>
        </w:rPr>
        <w:t>הגישו המערערים בקשה לעיון מחדש בהיקף החילוט הזמני</w:t>
      </w:r>
      <w:r>
        <w:rPr>
          <w:rtl w:val="true"/>
        </w:rPr>
        <w:t xml:space="preserve">. </w:t>
      </w:r>
      <w:r>
        <w:rPr>
          <w:rtl w:val="true"/>
        </w:rPr>
        <w:t>נטען כי נוכח חלוף הזמן ממועד הגשת כתב האישום</w:t>
      </w:r>
      <w:r>
        <w:rPr>
          <w:rtl w:val="true"/>
        </w:rPr>
        <w:t xml:space="preserve">; </w:t>
      </w:r>
      <w:r>
        <w:rPr>
          <w:rtl w:val="true"/>
        </w:rPr>
        <w:t>הימשכות ההליכים והצפי הרחוק לסיומם</w:t>
      </w:r>
      <w:r>
        <w:rPr>
          <w:rtl w:val="true"/>
        </w:rPr>
        <w:t xml:space="preserve">; </w:t>
      </w:r>
      <w:r>
        <w:rPr>
          <w:rtl w:val="true"/>
        </w:rPr>
        <w:t>ההלכה הפסוקה בכל הנוגע לחילוט זמני</w:t>
      </w:r>
      <w:r>
        <w:rPr>
          <w:rtl w:val="true"/>
        </w:rPr>
        <w:t xml:space="preserve">; </w:t>
      </w:r>
      <w:r>
        <w:rPr>
          <w:rtl w:val="true"/>
        </w:rPr>
        <w:t>וכן פוטנציאל החילוט בעניינם</w:t>
      </w:r>
      <w:r>
        <w:rPr>
          <w:rtl w:val="true"/>
        </w:rPr>
        <w:t xml:space="preserve">, </w:t>
      </w:r>
      <w:r>
        <w:rPr>
          <w:rtl w:val="true"/>
        </w:rPr>
        <w:t>יש מקום לעיין מחדש בהיקף החילוט הזמני ולהורות על הפחתתו</w:t>
      </w:r>
      <w:r>
        <w:rPr>
          <w:rtl w:val="true"/>
        </w:rPr>
        <w:t xml:space="preserve">. </w:t>
      </w:r>
      <w:r>
        <w:rPr>
          <w:rtl w:val="true"/>
        </w:rPr>
        <w:t>לכך הוסיפו כי במהלך התקופה שולמו תשלומי משכנתא על אחד הנכסים שנתפסו</w:t>
      </w:r>
      <w:r>
        <w:rPr>
          <w:rtl w:val="true"/>
        </w:rPr>
        <w:t xml:space="preserve">, </w:t>
      </w:r>
      <w:r>
        <w:rPr>
          <w:rtl w:val="true"/>
        </w:rPr>
        <w:t>אשר העלו את שוויו</w:t>
      </w:r>
      <w:r>
        <w:rPr>
          <w:rtl w:val="true"/>
        </w:rPr>
        <w:t xml:space="preserve">. </w:t>
      </w:r>
      <w:r>
        <w:rPr>
          <w:rtl w:val="true"/>
        </w:rPr>
        <w:t>מנגד טענה המשיבה כי הסכמות הצדדים היו ברורות ומפורשות ואלו נועדו ליצור ודאות משפטית תוך חיסכון בהתדיינויות משפטיות</w:t>
      </w:r>
      <w:r>
        <w:rPr>
          <w:rtl w:val="true"/>
        </w:rPr>
        <w:t xml:space="preserve">. </w:t>
      </w:r>
      <w:r>
        <w:rPr>
          <w:rtl w:val="true"/>
        </w:rPr>
        <w:t>מה גם שבקשת המערערים לעיון מחדש בהיקף החילוט נגועה בחוסר תום לב</w:t>
      </w:r>
      <w:r>
        <w:rPr>
          <w:rtl w:val="true"/>
        </w:rPr>
        <w:t xml:space="preserve">, </w:t>
      </w:r>
      <w:r>
        <w:rPr>
          <w:rtl w:val="true"/>
        </w:rPr>
        <w:t>בין היתר לאור תרומתם להימשכות ההליכים ולאופן המגמתי בו השתלשלות ההליך הוצגה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בקשת המערערים נדחתה בהחלטה מיום </w:t>
      </w:r>
      <w:r>
        <w:rPr/>
        <w:t>3.3.2020</w:t>
      </w:r>
      <w:r>
        <w:rPr>
          <w:rtl w:val="true"/>
        </w:rPr>
        <w:t xml:space="preserve"> </w:t>
      </w:r>
      <w:r>
        <w:rPr>
          <w:rtl w:val="true"/>
        </w:rPr>
        <w:t xml:space="preserve">בה נקבע כי נוסח הסכם 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מפורש ועולה ממנו כי המערערים נתנו את הסכמתם לתפיסת הרכוש עד להכרעה חלוטה בבקשת החילוט</w:t>
      </w:r>
      <w:r>
        <w:rPr>
          <w:rtl w:val="true"/>
        </w:rPr>
        <w:t xml:space="preserve">. </w:t>
      </w:r>
      <w:r>
        <w:rPr>
          <w:rtl w:val="true"/>
        </w:rPr>
        <w:t>אף אם ניתן להניח כי אין בהסכם האמור כדי למנוע מהמערערים לעתור לדיון מחודש בסוגיית התפיסה בנסיבות מסוימות</w:t>
      </w:r>
      <w:r>
        <w:rPr>
          <w:rtl w:val="true"/>
        </w:rPr>
        <w:t xml:space="preserve">, </w:t>
      </w:r>
      <w:r>
        <w:rPr>
          <w:rtl w:val="true"/>
        </w:rPr>
        <w:t>עדיין יש ליתן משקל לנוסח בו בחרו הצדדים ולעובדה שבמסגרת ההסכם שוחררו חלק מן התפוסים</w:t>
      </w:r>
      <w:r>
        <w:rPr>
          <w:rtl w:val="true"/>
        </w:rPr>
        <w:t xml:space="preserve">. </w:t>
      </w:r>
      <w:r>
        <w:rPr>
          <w:rtl w:val="true"/>
        </w:rPr>
        <w:t>עוד צוין כי ספק אם הצדדים צפו כי פרק הזמן שחלף יצדיק דיון מחודש בתנאי התפיסה</w:t>
      </w:r>
      <w:r>
        <w:rPr>
          <w:rtl w:val="true"/>
        </w:rPr>
        <w:t xml:space="preserve">. </w:t>
      </w:r>
      <w:r>
        <w:rPr>
          <w:rtl w:val="true"/>
        </w:rPr>
        <w:t>באשר להתמשכות ההליך</w:t>
      </w:r>
      <w:r>
        <w:rPr>
          <w:rtl w:val="true"/>
        </w:rPr>
        <w:t xml:space="preserve">, </w:t>
      </w:r>
      <w:r>
        <w:rPr>
          <w:rtl w:val="true"/>
        </w:rPr>
        <w:t>צוין כי אמנם טרם החלה שמיעת הראיות בתיק</w:t>
      </w:r>
      <w:r>
        <w:rPr>
          <w:rtl w:val="true"/>
        </w:rPr>
        <w:t xml:space="preserve">, </w:t>
      </w:r>
      <w:r>
        <w:rPr>
          <w:rtl w:val="true"/>
        </w:rPr>
        <w:t>אך נראה שמרבית העיכובים לא היו תולדה של התנהלות המשיבה אלא של תקלות שונות</w:t>
      </w:r>
      <w:r>
        <w:rPr>
          <w:rtl w:val="true"/>
        </w:rPr>
        <w:t xml:space="preserve">, </w:t>
      </w:r>
      <w:r>
        <w:rPr>
          <w:rtl w:val="true"/>
        </w:rPr>
        <w:t>וניתן להניח שלאור הסכמות אליהן הגיעו הצדדים בעניין עדי התביעה והגשת מוצגים</w:t>
      </w:r>
      <w:r>
        <w:rPr>
          <w:rtl w:val="true"/>
        </w:rPr>
        <w:t xml:space="preserve">, </w:t>
      </w:r>
      <w:r>
        <w:rPr>
          <w:rtl w:val="true"/>
        </w:rPr>
        <w:t>ההליך יתנהל מאותו שלב במהירות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על החלטה זו הגישו המערערים ערעור לבית משפט זה אשר נדחה לאחר שניתן תוקף להסכמת הצדדים על פיה ישוחרר סך של </w:t>
      </w:r>
      <w:r>
        <w:rPr/>
        <w:t>440,000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מהסכומים התפוסים על ידי המשיבה</w:t>
      </w:r>
      <w:r>
        <w:rPr>
          <w:rtl w:val="true"/>
        </w:rPr>
        <w:t xml:space="preserve">, </w:t>
      </w:r>
      <w:r>
        <w:rPr>
          <w:rtl w:val="true"/>
        </w:rPr>
        <w:t xml:space="preserve">כאשר המערערים התחייבו להמתין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 נוספים בטרם יגישו בקשה נוספת לשחרור הרכוש התפוס</w:t>
      </w:r>
      <w:r>
        <w:rPr>
          <w:rtl w:val="true"/>
        </w:rPr>
        <w:t xml:space="preserve">, </w:t>
      </w:r>
      <w:r>
        <w:rPr>
          <w:rtl w:val="true"/>
        </w:rPr>
        <w:t xml:space="preserve">כולו או מקצתו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2835/20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13.5.2020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2020</w:t>
      </w:r>
      <w:r>
        <w:rPr>
          <w:rtl w:val="true"/>
        </w:rPr>
        <w:t xml:space="preserve">). </w:t>
      </w:r>
      <w:r>
        <w:rPr>
          <w:rtl w:val="true"/>
        </w:rPr>
        <w:t xml:space="preserve">עוד צוין בסעיף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להסכם 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מצהירים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ותוגש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."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וכן בסעיפים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לשחרור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440,000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30.11.2017</w:t>
      </w:r>
      <w:r>
        <w:rPr>
          <w:rtl w:val="true"/>
        </w:rPr>
        <w:t xml:space="preserve">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סופי</w:t>
      </w:r>
      <w:r>
        <w:rPr>
          <w:rtl w:val="true"/>
        </w:rPr>
        <w:t xml:space="preserve">. </w:t>
      </w:r>
      <w:r>
        <w:rPr>
          <w:rtl w:val="true"/>
        </w:rPr>
        <w:t>ולמען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30.11.2017</w:t>
      </w:r>
      <w:r>
        <w:rPr>
          <w:rtl w:val="true"/>
        </w:rPr>
        <w:t>."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בחלוף כשנה וחצי נוספים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23.11.2021</w:t>
      </w:r>
      <w:r>
        <w:rPr>
          <w:rtl w:val="true"/>
        </w:rPr>
        <w:t xml:space="preserve"> </w:t>
      </w:r>
      <w:r>
        <w:rPr>
          <w:rtl w:val="true"/>
        </w:rPr>
        <w:t>הגישו המערערים בקשה נוספת לעיון חוזר בהחלטת החילוט הזמני</w:t>
      </w:r>
      <w:r>
        <w:rPr>
          <w:rtl w:val="true"/>
        </w:rPr>
        <w:t xml:space="preserve">. </w:t>
      </w:r>
      <w:r>
        <w:rPr>
          <w:rtl w:val="true"/>
        </w:rPr>
        <w:t>בבקשה טענו המערערים בעיקר כי בניגוד להצהרות המשיבה כי ההליך העיקרי צפוי להתנהל במהירות</w:t>
      </w:r>
      <w:r>
        <w:rPr>
          <w:rtl w:val="true"/>
        </w:rPr>
        <w:t xml:space="preserve">, </w:t>
      </w:r>
      <w:r>
        <w:rPr>
          <w:rtl w:val="true"/>
        </w:rPr>
        <w:t>ההליך אינו מתקדם בקצב משביע רצון</w:t>
      </w:r>
      <w:r>
        <w:rPr>
          <w:rtl w:val="true"/>
        </w:rPr>
        <w:t xml:space="preserve">. </w:t>
      </w:r>
      <w:r>
        <w:rPr>
          <w:rtl w:val="true"/>
        </w:rPr>
        <w:t xml:space="preserve">עוד נטען כי השיקולים שעמדו לנגד בית המשפט המחוזי אשר ניתן להם ביטוי בהסכם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אינם רלוונטיים עוד עם חלוף הזמן והגיעה העת</w:t>
      </w:r>
      <w:r>
        <w:rPr>
          <w:rtl w:val="true"/>
        </w:rPr>
        <w:t xml:space="preserve">, </w:t>
      </w:r>
      <w:r>
        <w:rPr>
          <w:rtl w:val="true"/>
        </w:rPr>
        <w:t>בשל שינוי הנסיבות</w:t>
      </w:r>
      <w:r>
        <w:rPr>
          <w:rtl w:val="true"/>
        </w:rPr>
        <w:t xml:space="preserve">, </w:t>
      </w:r>
      <w:r>
        <w:rPr>
          <w:rtl w:val="true"/>
        </w:rPr>
        <w:t>לשנות באופן משמעותי את היקף התפיסה</w:t>
      </w:r>
      <w:r>
        <w:rPr>
          <w:rtl w:val="true"/>
        </w:rPr>
        <w:t xml:space="preserve">. </w:t>
      </w:r>
      <w:r>
        <w:rPr>
          <w:rtl w:val="true"/>
        </w:rPr>
        <w:t>מה גם</w:t>
      </w:r>
      <w:r>
        <w:rPr>
          <w:rtl w:val="true"/>
        </w:rPr>
        <w:t xml:space="preserve">, </w:t>
      </w:r>
      <w:r>
        <w:rPr>
          <w:rtl w:val="true"/>
        </w:rPr>
        <w:t xml:space="preserve">הסכם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 xml:space="preserve">הבהיר באופן מפורש כי המערערים יהיו רשאים להגיש בקשה לעיון חוזר בהחלטה בחלוף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בנוסף נטען כי המשיבה התרשלה בניהול התפוסים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התנגדה לבקשה וטענה כי מדובר בניסיון של המערערים להתנער מהסכמות מפורטות אליהן הגיעו מרצונם החופשי וכאשר היו מיוצגים על ידי סנגורים מקצועיים</w:t>
      </w:r>
      <w:r>
        <w:rPr>
          <w:rtl w:val="true"/>
        </w:rPr>
        <w:t xml:space="preserve">, </w:t>
      </w:r>
      <w:r>
        <w:rPr>
          <w:rtl w:val="true"/>
        </w:rPr>
        <w:t>ואשר זכו לתוקף של החלטה שיפוטית</w:t>
      </w:r>
      <w:r>
        <w:rPr>
          <w:rtl w:val="true"/>
        </w:rPr>
        <w:t xml:space="preserve">. </w:t>
      </w:r>
      <w:r>
        <w:rPr>
          <w:rtl w:val="true"/>
        </w:rPr>
        <w:t>עוד טענה המשיבה כי מדובר בהתנהלות מקוממת הלוקה בחוסר תום לב מהותי היורד לשורשו של העניין וכי קצב התקדמות ההליך העיקרי אינו נעוץ באשמת המשיבה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החלטת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6.3.2022</w:t>
      </w:r>
      <w:r>
        <w:rPr>
          <w:rtl w:val="true"/>
        </w:rPr>
        <w:t xml:space="preserve"> </w:t>
      </w:r>
      <w:r>
        <w:rPr>
          <w:rtl w:val="true"/>
        </w:rPr>
        <w:t>נדחתה בקשת המערערים לעיון חוזר</w:t>
      </w:r>
      <w:r>
        <w:rPr>
          <w:rtl w:val="true"/>
        </w:rPr>
        <w:t xml:space="preserve">. </w:t>
      </w:r>
      <w:r>
        <w:rPr>
          <w:rtl w:val="true"/>
        </w:rPr>
        <w:t xml:space="preserve">תחילה נדחתה טענת המערערים כי הסכמתם לתפיסת הרכוש בהסכם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הייתה כפופה לכך שההליך בתיק העיקרי יסתיים בתוך פרק זמן סביר</w:t>
      </w:r>
      <w:r>
        <w:rPr>
          <w:rtl w:val="true"/>
        </w:rPr>
        <w:t xml:space="preserve">. </w:t>
      </w:r>
      <w:r>
        <w:rPr>
          <w:rtl w:val="true"/>
        </w:rPr>
        <w:t>לשון ההסכם ברורה ומפורשת</w:t>
      </w:r>
      <w:r>
        <w:rPr>
          <w:rtl w:val="true"/>
        </w:rPr>
        <w:t xml:space="preserve">, </w:t>
      </w:r>
      <w:r>
        <w:rPr>
          <w:rtl w:val="true"/>
        </w:rPr>
        <w:t>על פיה נתנו המערערים את הסכמתם להארכת התפיסה הזמנית עד להכרעה בבקשת החילוט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ניתן לצאת מנקודת הנחה כי אין בהסכם כדי למנוע מהמערערים להגיש בקשה לעיון חוזר בנסיבות מסוימות</w:t>
      </w:r>
      <w:r>
        <w:rPr>
          <w:rtl w:val="true"/>
        </w:rPr>
        <w:t xml:space="preserve">, </w:t>
      </w:r>
      <w:r>
        <w:rPr>
          <w:rtl w:val="true"/>
        </w:rPr>
        <w:t>למשל בהינתן שינוי ראייתי משמעותי או חלוף זמן חריג</w:t>
      </w:r>
      <w:r>
        <w:rPr>
          <w:rtl w:val="true"/>
        </w:rPr>
        <w:t xml:space="preserve">. </w:t>
      </w:r>
      <w:r>
        <w:rPr>
          <w:rtl w:val="true"/>
        </w:rPr>
        <w:t>אולם בענייננו אין מדובר בחלוף פרק זמן כה חריג</w:t>
      </w:r>
      <w:r>
        <w:rPr>
          <w:rtl w:val="true"/>
        </w:rPr>
        <w:t xml:space="preserve">. </w:t>
      </w:r>
      <w:r>
        <w:rPr>
          <w:rtl w:val="true"/>
        </w:rPr>
        <w:t xml:space="preserve">עוד נקבע כי אין מקום לטענה כי הסכם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 xml:space="preserve">משמעותו סטייה מההסכמות אליהן הגיעו הצדדים בשנת </w:t>
      </w:r>
      <w:r>
        <w:rPr/>
        <w:t>2017</w:t>
      </w:r>
      <w:r>
        <w:rPr>
          <w:rtl w:val="true"/>
        </w:rPr>
        <w:t xml:space="preserve">. </w:t>
      </w:r>
      <w:r>
        <w:rPr>
          <w:rtl w:val="true"/>
        </w:rPr>
        <w:t xml:space="preserve">כל זאת שעה שבמסגרת הסכם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 xml:space="preserve">ניתן ביטוי מפורש לכך שהסכמת הצדדים אינה גורעת מתוקף הסכם </w:t>
      </w:r>
      <w:r>
        <w:rPr/>
        <w:t>2017</w:t>
      </w:r>
      <w:r>
        <w:rPr>
          <w:rtl w:val="true"/>
        </w:rPr>
        <w:t xml:space="preserve">. </w:t>
      </w:r>
      <w:r>
        <w:rPr>
          <w:rtl w:val="true"/>
        </w:rPr>
        <w:t>כמו כן נדחתה טענת המערערים כי המשיבה התרשלה בניהול התפוסים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בהסכם</w:t>
      </w:r>
      <w:r>
        <w:rPr>
          <w:rFonts w:eastAsia="Arial TUR;Arial" w:cs="Arial TUR;Arial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המשכנתא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הזמני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השלמה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309,000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משלמם</w:t>
      </w:r>
      <w:r>
        <w:rPr>
          <w:rtl w:val="true"/>
        </w:rPr>
        <w:t xml:space="preserve">,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שלפנַי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המערערים חלוף הזמן המשמעותי</w:t>
      </w:r>
      <w:r>
        <w:rPr>
          <w:rtl w:val="true"/>
        </w:rPr>
        <w:t xml:space="preserve">, </w:t>
      </w:r>
      <w:r>
        <w:rPr>
          <w:rtl w:val="true"/>
        </w:rPr>
        <w:t>השיהוי הכבד והימשכות ההליכים</w:t>
      </w:r>
      <w:r>
        <w:rPr>
          <w:rtl w:val="true"/>
        </w:rPr>
        <w:t xml:space="preserve">, </w:t>
      </w:r>
      <w:r>
        <w:rPr>
          <w:rtl w:val="true"/>
        </w:rPr>
        <w:t>כמו גם התנהלותה הרשלנית של המשיבה בניהול ההליך ובשמירה על הרכוש התפוס</w:t>
      </w:r>
      <w:r>
        <w:rPr>
          <w:rtl w:val="true"/>
        </w:rPr>
        <w:t xml:space="preserve">, </w:t>
      </w:r>
      <w:r>
        <w:rPr>
          <w:rtl w:val="true"/>
        </w:rPr>
        <w:t>מצדיקים עיון מחדש בהסכמות שהושגו בין הצדדים בעניין תפיסת הרכוש</w:t>
      </w:r>
      <w:r>
        <w:rPr>
          <w:rtl w:val="true"/>
        </w:rPr>
        <w:t xml:space="preserve">. </w:t>
      </w:r>
      <w:r>
        <w:rPr>
          <w:rtl w:val="true"/>
        </w:rPr>
        <w:t xml:space="preserve">המערערים חזרו על טענתם כי הסכמתם שבאה לידי ביטוי בהסכם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נשענה על ציפייה כי ההליך יתקדם באופן מהיר</w:t>
      </w:r>
      <w:r>
        <w:rPr>
          <w:rtl w:val="true"/>
        </w:rPr>
        <w:t xml:space="preserve">, </w:t>
      </w:r>
      <w:r>
        <w:rPr>
          <w:rtl w:val="true"/>
        </w:rPr>
        <w:t>יעיל וענייני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לאחר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 ממועד תפיסת הרכוש</w:t>
      </w:r>
      <w:r>
        <w:rPr>
          <w:rtl w:val="true"/>
        </w:rPr>
        <w:t xml:space="preserve">, </w:t>
      </w:r>
      <w:r>
        <w:rPr>
          <w:rtl w:val="true"/>
        </w:rPr>
        <w:t xml:space="preserve">וחלוף זמן רב מההסכם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ההליך כמעט לא התקדם וסיומו לא נראה לעין בשנים הקרובות</w:t>
      </w:r>
      <w:r>
        <w:rPr>
          <w:rtl w:val="true"/>
        </w:rPr>
        <w:t xml:space="preserve">. </w:t>
      </w:r>
      <w:r>
        <w:rPr>
          <w:rtl w:val="true"/>
        </w:rPr>
        <w:t>קביעה כי המערערים כבולים לעד להסכמות שהושגו מהווה פגיעה קשה בזכויותיהם הבסיסיות וביכולת פרנסתם שעה שחזקת החפות שלהם עומדת בעינה</w:t>
      </w:r>
      <w:r>
        <w:rPr>
          <w:rtl w:val="true"/>
        </w:rPr>
        <w:t xml:space="preserve">. </w:t>
      </w:r>
      <w:r>
        <w:rPr>
          <w:rtl w:val="true"/>
        </w:rPr>
        <w:t>נסיבות העניין מצדיקות לכל הפחות עריכת איזון מחודש בהיקף התפיסה</w:t>
      </w:r>
      <w:r>
        <w:rPr>
          <w:rtl w:val="true"/>
        </w:rPr>
        <w:t xml:space="preserve">. </w:t>
      </w:r>
      <w:r>
        <w:rPr>
          <w:rtl w:val="true"/>
        </w:rPr>
        <w:t>דברים אלו יפים אף לאור פוטנציאל החילוט</w:t>
      </w:r>
      <w:r>
        <w:rPr>
          <w:rtl w:val="true"/>
        </w:rPr>
        <w:t xml:space="preserve">, </w:t>
      </w:r>
      <w:r>
        <w:rPr>
          <w:rtl w:val="true"/>
        </w:rPr>
        <w:t>נוכח העובדה שהיקף הרכוש התפוס עומד על כ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מיליון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כן נטען כי הקביעה לפיה המערערים כבולים לעד להסכמות שהושגו עם המשיבה</w:t>
      </w:r>
      <w:r>
        <w:rPr>
          <w:rtl w:val="true"/>
        </w:rPr>
        <w:t xml:space="preserve">, </w:t>
      </w:r>
      <w:r>
        <w:rPr>
          <w:rtl w:val="true"/>
        </w:rPr>
        <w:t>יש בה משום פגיעה קשה בזכויותיהם</w:t>
      </w:r>
      <w:r>
        <w:rPr>
          <w:rtl w:val="true"/>
        </w:rPr>
        <w:t xml:space="preserve">. </w:t>
      </w:r>
      <w:r>
        <w:rPr>
          <w:rtl w:val="true"/>
        </w:rPr>
        <w:t xml:space="preserve">זאת בפרט כאשר הצדדים סיכמו בשנת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 xml:space="preserve">כי המערערים יוכלו לשוב ולהגיש בקשה לעיון חוזר בצו בתוך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ביקשה להישען על ההסכמה שניתנה מטעם המערערים</w:t>
      </w:r>
      <w:r>
        <w:rPr>
          <w:rtl w:val="true"/>
        </w:rPr>
        <w:t xml:space="preserve">, </w:t>
      </w:r>
      <w:r>
        <w:rPr>
          <w:rtl w:val="true"/>
        </w:rPr>
        <w:t>לפיה הרכוש יוותר תפוס עד להחלטה בבקשה למתן צו חילוט סופי</w:t>
      </w:r>
      <w:r>
        <w:rPr>
          <w:rtl w:val="true"/>
        </w:rPr>
        <w:t xml:space="preserve">. </w:t>
      </w:r>
      <w:r>
        <w:rPr>
          <w:rtl w:val="true"/>
        </w:rPr>
        <w:t xml:space="preserve">זאת שעה שהסכם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אושר על ידי בית המשפט ונחתם בעת שהיו המערערים מיוצגים וידעו שתיק זה</w:t>
      </w:r>
      <w:r>
        <w:rPr>
          <w:rtl w:val="true"/>
        </w:rPr>
        <w:t xml:space="preserve">, </w:t>
      </w:r>
      <w:r>
        <w:rPr>
          <w:rtl w:val="true"/>
        </w:rPr>
        <w:t>נוכח אופיו</w:t>
      </w:r>
      <w:r>
        <w:rPr>
          <w:rtl w:val="true"/>
        </w:rPr>
        <w:t xml:space="preserve">, </w:t>
      </w:r>
      <w:r>
        <w:rPr>
          <w:rtl w:val="true"/>
        </w:rPr>
        <w:t>מורכבותו והיקפו</w:t>
      </w:r>
      <w:r>
        <w:rPr>
          <w:rtl w:val="true"/>
        </w:rPr>
        <w:t xml:space="preserve">, </w:t>
      </w:r>
      <w:r>
        <w:rPr>
          <w:rtl w:val="true"/>
        </w:rPr>
        <w:t>צפוי להתנהל במשך תקופה ארוכה</w:t>
      </w:r>
      <w:r>
        <w:rPr>
          <w:rtl w:val="true"/>
        </w:rPr>
        <w:t xml:space="preserve">. </w:t>
      </w:r>
      <w:r>
        <w:rPr>
          <w:rtl w:val="true"/>
        </w:rPr>
        <w:t>חרף זאת</w:t>
      </w:r>
      <w:r>
        <w:rPr>
          <w:rtl w:val="true"/>
        </w:rPr>
        <w:t xml:space="preserve">, </w:t>
      </w:r>
      <w:r>
        <w:rPr>
          <w:rtl w:val="true"/>
        </w:rPr>
        <w:t>לא הוסכם על מנגנון אשר יצמצם את היקף הרכוש התפוס במקרה של התארכות ההליך</w:t>
      </w:r>
      <w:r>
        <w:rPr>
          <w:rtl w:val="true"/>
        </w:rPr>
        <w:t xml:space="preserve">. </w:t>
      </w:r>
      <w:r>
        <w:rPr>
          <w:rtl w:val="true"/>
        </w:rPr>
        <w:t>עוד נטען כי אין לשעות לטענות המערערים בשים לב לכך שהם עותרים לביטול התחייבותם בהסכם בלבד</w:t>
      </w:r>
      <w:r>
        <w:rPr>
          <w:rtl w:val="true"/>
        </w:rPr>
        <w:t xml:space="preserve">, </w:t>
      </w:r>
      <w:r>
        <w:rPr>
          <w:rtl w:val="true"/>
        </w:rPr>
        <w:t>בעוד שהמשיבה מילאה את התחייבותה ושחררה בכל פעם את הרכוש שהוסכם על שחרורו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אף אם חלה התדרדרות במצבם הכלכלי של המערערים בעקבות ההסכם</w:t>
      </w:r>
      <w:r>
        <w:rPr>
          <w:rtl w:val="true"/>
        </w:rPr>
        <w:t xml:space="preserve">, </w:t>
      </w:r>
      <w:r>
        <w:rPr>
          <w:rtl w:val="true"/>
        </w:rPr>
        <w:t>מדובר לכל היותר בטעות בכדאיות העסקה</w:t>
      </w:r>
      <w:r>
        <w:rPr>
          <w:rtl w:val="true"/>
        </w:rPr>
        <w:t xml:space="preserve">. </w:t>
      </w:r>
      <w:r>
        <w:rPr>
          <w:rtl w:val="true"/>
        </w:rPr>
        <w:t>בענייננו יש לשקול לא רק את זכות הצדדים להתקשר בהסכמות אליהן הגיעו</w:t>
      </w:r>
      <w:r>
        <w:rPr>
          <w:rtl w:val="true"/>
        </w:rPr>
        <w:t xml:space="preserve">, </w:t>
      </w:r>
      <w:r>
        <w:rPr>
          <w:rtl w:val="true"/>
        </w:rPr>
        <w:t>אלא גם את האינטרס הציבורי של חיסכון בזמן שיפוטי וייעול ההליך המשפטי בהגעה להסכמים במסגרת ההליך הפלילי</w:t>
      </w:r>
      <w:r>
        <w:rPr>
          <w:rtl w:val="true"/>
        </w:rPr>
        <w:t xml:space="preserve">. </w:t>
      </w:r>
      <w:r>
        <w:rPr>
          <w:rtl w:val="true"/>
        </w:rPr>
        <w:t>המשיבה סקרה את השתלשלות האירועים בהליך וטענה כי אין יסוד לטענת המערערים בדבר מחדלים מצד המשיבה</w:t>
      </w:r>
      <w:r>
        <w:rPr>
          <w:rtl w:val="true"/>
        </w:rPr>
        <w:t xml:space="preserve">, </w:t>
      </w:r>
      <w:r>
        <w:rPr>
          <w:rtl w:val="true"/>
        </w:rPr>
        <w:t>שעה שלהתנהלות המערערים חלק מרכזי בגורמים לעיכוב ההליך כמו גם אילוצים שונים של בית המשפט</w:t>
      </w:r>
      <w:r>
        <w:rPr>
          <w:rtl w:val="true"/>
        </w:rPr>
        <w:t xml:space="preserve">. </w:t>
      </w:r>
      <w:r>
        <w:rPr>
          <w:rtl w:val="true"/>
        </w:rPr>
        <w:t>עוד טענה המשיבה כי בניגוד לטענת המערערים</w:t>
      </w:r>
      <w:r>
        <w:rPr>
          <w:rtl w:val="true"/>
        </w:rPr>
        <w:t xml:space="preserve">, </w:t>
      </w:r>
      <w:r>
        <w:rPr>
          <w:rtl w:val="true"/>
        </w:rPr>
        <w:t>שווי התפוסים עומד כיום על כ</w:t>
      </w:r>
      <w:r>
        <w:rPr>
          <w:rtl w:val="true"/>
        </w:rPr>
        <w:t>-</w:t>
      </w:r>
      <w:r>
        <w:rPr/>
        <w:t>29.5</w:t>
      </w:r>
      <w:r>
        <w:rPr>
          <w:rtl w:val="true"/>
        </w:rPr>
        <w:t xml:space="preserve"> </w:t>
      </w:r>
      <w:r>
        <w:rPr>
          <w:rtl w:val="true"/>
        </w:rPr>
        <w:t>מיליון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לאחר עיון בערעור ושמיעת טיעוני הצדדים בדיון שהתקיים </w:t>
      </w:r>
      <w:r>
        <w:rPr>
          <w:rtl w:val="true"/>
        </w:rPr>
        <w:t>לפנַי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דין הערעור 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</w:t>
        </w:r>
      </w:hyperlink>
      <w:r>
        <w:rPr>
          <w:rtl w:val="true"/>
        </w:rPr>
        <w:t xml:space="preserve"> </w:t>
      </w:r>
      <w:r>
        <w:rPr>
          <w:rtl w:val="true"/>
        </w:rPr>
        <w:t>לחוק הלבנת הון קובע כי נוסף על כל עונש</w:t>
      </w:r>
      <w:r>
        <w:rPr>
          <w:rtl w:val="true"/>
        </w:rPr>
        <w:t xml:space="preserve">, </w:t>
      </w:r>
      <w:r>
        <w:rPr>
          <w:rtl w:val="true"/>
        </w:rPr>
        <w:t xml:space="preserve">נתונה הסמכות לבית המשפט להורות על חילוט רכושו של אדם אשר הורשע לפי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או </w:t>
      </w:r>
      <w:hyperlink r:id="rId27"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בשווי הרכוש שנעברה בו עבירה</w:t>
      </w:r>
      <w:r>
        <w:rPr>
          <w:rtl w:val="true"/>
        </w:rPr>
        <w:t xml:space="preserve">, </w:t>
      </w:r>
      <w:r>
        <w:rPr>
          <w:rtl w:val="true"/>
        </w:rPr>
        <w:t>הרכוש ששימש את ביצועה</w:t>
      </w:r>
      <w:r>
        <w:rPr>
          <w:rtl w:val="true"/>
        </w:rPr>
        <w:t xml:space="preserve">, </w:t>
      </w:r>
      <w:r>
        <w:rPr>
          <w:rtl w:val="true"/>
        </w:rPr>
        <w:t>אִפשר את ביצועה או שיועד לכך</w:t>
      </w:r>
      <w:r>
        <w:rPr>
          <w:rtl w:val="true"/>
        </w:rPr>
        <w:t xml:space="preserve">; </w:t>
      </w:r>
      <w:r>
        <w:rPr>
          <w:rtl w:val="true"/>
        </w:rPr>
        <w:t>וכן הרכוש שהושג במישרין או בעקיפין כשכר העבירה</w:t>
      </w:r>
      <w:r>
        <w:rPr>
          <w:rtl w:val="true"/>
        </w:rPr>
        <w:t xml:space="preserve">, </w:t>
      </w:r>
      <w:r>
        <w:rPr>
          <w:rtl w:val="true"/>
        </w:rPr>
        <w:t>כתוצאה מביצועה או שיועד לכך</w:t>
      </w:r>
      <w:r>
        <w:rPr>
          <w:rtl w:val="true"/>
        </w:rPr>
        <w:t xml:space="preserve">. </w:t>
      </w:r>
      <w:r>
        <w:rPr>
          <w:rtl w:val="true"/>
        </w:rPr>
        <w:t>בבסיס החילוט</w:t>
      </w:r>
      <w:r>
        <w:rPr>
          <w:rtl w:val="true"/>
        </w:rPr>
        <w:t xml:space="preserve">, </w:t>
      </w:r>
      <w:r>
        <w:rPr>
          <w:rtl w:val="true"/>
        </w:rPr>
        <w:t>עומדות שתי תכליות עיקריות</w:t>
      </w:r>
      <w:r>
        <w:rPr>
          <w:rtl w:val="true"/>
        </w:rPr>
        <w:t xml:space="preserve">: </w:t>
      </w:r>
      <w:r>
        <w:rPr>
          <w:rtl w:val="true"/>
        </w:rPr>
        <w:t>תכלית הרתעתית שעניינה פגיעה ברווח הכספי שיש לנאשם בביצוע העבירה</w:t>
      </w:r>
      <w:r>
        <w:rPr>
          <w:rtl w:val="true"/>
        </w:rPr>
        <w:t xml:space="preserve">; </w:t>
      </w:r>
      <w:r>
        <w:rPr>
          <w:rtl w:val="true"/>
        </w:rPr>
        <w:t xml:space="preserve">ותכלית קניינית שבבסיסה ניצבת התפיסה כי יש להוציא את בלעו של גזלן מפיו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7475/95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שטרית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נב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385</w:t>
      </w:r>
      <w:r>
        <w:rPr>
          <w:rtl w:val="true"/>
        </w:rPr>
        <w:t xml:space="preserve">, </w:t>
      </w:r>
      <w:r>
        <w:rPr/>
        <w:t>410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8312/17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ברהמי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17.4.2018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3390/19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אביטן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21.11.2012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אביטן</w:t>
      </w:r>
      <w:r>
        <w:rPr>
          <w:rFonts w:cs="Century" w:ascii="Century" w:hAnsi="Century"/>
          <w:sz w:val="22"/>
          <w:rtl w:val="true"/>
        </w:rPr>
        <w:t>);</w:t>
      </w:r>
      <w:r>
        <w:rPr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7464/21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רוגוזניצקי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16.12.2021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אולם ענייננו אינו בהחלטה סופית של חילוט אלא במתן סעד זמני של חילוט</w:t>
      </w:r>
      <w:r>
        <w:rPr>
          <w:rtl w:val="true"/>
        </w:rPr>
        <w:t xml:space="preserve">, </w:t>
      </w:r>
      <w:r>
        <w:rPr>
          <w:rtl w:val="true"/>
        </w:rPr>
        <w:t xml:space="preserve">על פי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המחיל בין היתר את הוראת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36</w:t>
        </w:r>
        <w:r>
          <w:rPr>
            <w:rStyle w:val="Hyperlink"/>
            <w:rtl w:val="true"/>
          </w:rPr>
          <w:t>ו</w:t>
        </w:r>
      </w:hyperlink>
      <w:r>
        <w:rPr>
          <w:rtl w:val="true"/>
        </w:rPr>
        <w:t xml:space="preserve"> ל</w:t>
      </w:r>
      <w:hyperlink r:id="rId3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על עבירות לפי חוק הלבנת הון בשינויים המחויבים</w:t>
      </w:r>
      <w:r>
        <w:rPr>
          <w:rtl w:val="true"/>
        </w:rPr>
        <w:t xml:space="preserve">. </w:t>
      </w:r>
      <w:r>
        <w:rPr>
          <w:rtl w:val="true"/>
        </w:rPr>
        <w:t>מטרתו של צו חילוט זמני היא לשמור על מצבת נכסיו של נאשם ומניעת הברחת רכושו באופן שיסכל את אפשרות החילוט הסופי</w:t>
      </w:r>
      <w:r>
        <w:rPr>
          <w:rtl w:val="true"/>
        </w:rPr>
        <w:t xml:space="preserve">, </w:t>
      </w:r>
      <w:r>
        <w:rPr>
          <w:rtl w:val="true"/>
        </w:rPr>
        <w:t xml:space="preserve">ככל שההליך הפלילי יסתיים בהרשעה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5140/13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אוסקר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29.8.2013</w:t>
      </w:r>
      <w:r>
        <w:rPr>
          <w:rtl w:val="true"/>
        </w:rPr>
        <w:t xml:space="preserve">);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אהוד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11.8.2019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אהוד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6009/19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ביידון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23.10.2019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ביידון</w:t>
      </w:r>
      <w:r>
        <w:rPr>
          <w:rtl w:val="true"/>
        </w:rPr>
        <w:t>)).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tl w:val="true"/>
        </w:rPr>
        <w:t>בשלב הדיון בבקשה למתן צו חילוט זמני</w:t>
      </w:r>
      <w:r>
        <w:rPr>
          <w:rtl w:val="true"/>
        </w:rPr>
        <w:t xml:space="preserve">, </w:t>
      </w:r>
      <w:r>
        <w:rPr>
          <w:rtl w:val="true"/>
        </w:rPr>
        <w:t xml:space="preserve">נדרש בית המשפט לבדוק אם קיימת תשתית ראייתית מספקת במישור הלכאורי המבססת </w:t>
      </w:r>
      <w:r>
        <w:rPr>
          <w:rtl w:val="true"/>
        </w:rPr>
        <w:t>"</w:t>
      </w:r>
      <w:r>
        <w:rPr>
          <w:rtl w:val="true"/>
        </w:rPr>
        <w:t>פוטנציאל חילוט</w:t>
      </w:r>
      <w:r>
        <w:rPr>
          <w:rtl w:val="true"/>
        </w:rPr>
        <w:t xml:space="preserve">" </w:t>
      </w:r>
      <w:r>
        <w:rPr>
          <w:rtl w:val="true"/>
        </w:rPr>
        <w:t xml:space="preserve">ואם ניתן לנקוט באמצעים חלופיים שדי בהם כדי להבטיח את אפשרות החילוט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6817/07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סיטבון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31.10.2007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אביטן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אהוד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6532/17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הבוכרים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8.4.2018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דנא</w:t>
      </w:r>
      <w:r>
        <w:rPr>
          <w:rtl w:val="true"/>
        </w:rPr>
        <w:t xml:space="preserve">, </w:t>
      </w:r>
      <w:r>
        <w:rPr>
          <w:rtl w:val="true"/>
        </w:rPr>
        <w:t>הצדדים הגיעו להסכמה על חילוט זמני של רכוש המערערים עד למתן החלטה בבקשת המשיבה לצו חילוט סופי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השאלות המתעוררות הן</w:t>
      </w:r>
      <w:r>
        <w:rPr>
          <w:rtl w:val="true"/>
        </w:rPr>
        <w:t xml:space="preserve">, </w:t>
      </w:r>
      <w:r>
        <w:rPr>
          <w:rtl w:val="true"/>
        </w:rPr>
        <w:t>האם יכולים המערערים לטעון כיום כי התקיימו נסיבות המצדיקות בחינה מחודשת של היקף החילוט</w:t>
      </w:r>
      <w:r>
        <w:rPr>
          <w:rtl w:val="true"/>
        </w:rPr>
        <w:t xml:space="preserve">, </w:t>
      </w:r>
      <w:r>
        <w:rPr>
          <w:rtl w:val="true"/>
        </w:rPr>
        <w:t>על רקע ההסכמה אליה הגיעו אשר קיבלה תוקף של החלטות שיפוטיות</w:t>
      </w:r>
      <w:r>
        <w:rPr>
          <w:rtl w:val="true"/>
        </w:rPr>
        <w:t xml:space="preserve">; </w:t>
      </w:r>
      <w:r>
        <w:rPr>
          <w:rtl w:val="true"/>
        </w:rPr>
        <w:t>והאם יש בחלוף הזמן כדי להצדיק בחינה מחודשת</w:t>
      </w:r>
      <w:r>
        <w:rPr>
          <w:rtl w:val="true"/>
        </w:rPr>
        <w:t xml:space="preserve">. </w:t>
      </w:r>
      <w:r>
        <w:rPr>
          <w:rtl w:val="true"/>
        </w:rPr>
        <w:t>המערערים ביקשו להדגיש את פערי הכוחות בין הצדדים ואת הפגיעה בזכויותיהם ובקניינם וציינו כי במקרים רבים הכירו בתי המשפט באפשרות לבצע שינויים בהסכמות שניתנו במסגרת ההליך הפלילי</w:t>
      </w:r>
      <w:r>
        <w:rPr>
          <w:rtl w:val="true"/>
        </w:rPr>
        <w:t xml:space="preserve">, </w:t>
      </w:r>
      <w:r>
        <w:rPr>
          <w:rtl w:val="true"/>
        </w:rPr>
        <w:t>בהינתן שינוי נסיבות כגון זה שבענייננו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הצביעה על אופיים הדואלי של ההסכמים שנחתמו בין הצדדים</w:t>
      </w:r>
      <w:r>
        <w:rPr>
          <w:rtl w:val="true"/>
        </w:rPr>
        <w:t xml:space="preserve">, </w:t>
      </w:r>
      <w:r>
        <w:rPr>
          <w:rtl w:val="true"/>
        </w:rPr>
        <w:t>עליהם חולשת מערכת דינים הן מתחום המשפט המנהלי והן מתחום דיני החוזים</w:t>
      </w:r>
      <w:r>
        <w:rPr>
          <w:rtl w:val="true"/>
        </w:rPr>
        <w:t xml:space="preserve">, </w:t>
      </w:r>
      <w:r>
        <w:rPr>
          <w:rtl w:val="true"/>
        </w:rPr>
        <w:t>בציינה כי אין מקום לאפשר למערערים להשתחרר מהם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ענייננו בסוג של </w:t>
      </w:r>
      <w:r>
        <w:rPr>
          <w:rtl w:val="true"/>
        </w:rPr>
        <w:t>"</w:t>
      </w:r>
      <w:r>
        <w:rPr>
          <w:rtl w:val="true"/>
        </w:rPr>
        <w:t>חוזה מינהלי</w:t>
      </w:r>
      <w:r>
        <w:rPr>
          <w:rtl w:val="true"/>
        </w:rPr>
        <w:t xml:space="preserve">" </w:t>
      </w:r>
      <w:r>
        <w:rPr>
          <w:rtl w:val="true"/>
        </w:rPr>
        <w:t xml:space="preserve">עליו חולשת מערכת דינים </w:t>
      </w:r>
      <w:r>
        <w:rPr>
          <w:rtl w:val="true"/>
        </w:rPr>
        <w:t>"</w:t>
      </w:r>
      <w:r>
        <w:rPr>
          <w:rtl w:val="true"/>
        </w:rPr>
        <w:t>כפולה</w:t>
      </w:r>
      <w:r>
        <w:rPr>
          <w:rtl w:val="true"/>
        </w:rPr>
        <w:t xml:space="preserve">", </w:t>
      </w:r>
      <w:r>
        <w:rPr>
          <w:rtl w:val="true"/>
        </w:rPr>
        <w:t>הן מתחום המשפט הפרטי והן מתחום המשפט המינהלי</w:t>
      </w:r>
      <w:r>
        <w:rPr>
          <w:rtl w:val="true"/>
        </w:rPr>
        <w:t xml:space="preserve">. </w:t>
      </w:r>
      <w:r>
        <w:rPr>
          <w:rtl w:val="true"/>
        </w:rPr>
        <w:t>לגבי מוסד הסדרי הטיעון</w:t>
      </w:r>
      <w:r>
        <w:rPr>
          <w:rtl w:val="true"/>
        </w:rPr>
        <w:t xml:space="preserve">, </w:t>
      </w:r>
      <w:r>
        <w:rPr>
          <w:rtl w:val="true"/>
        </w:rPr>
        <w:t>הנפוץ למדי בהליכים פליליים</w:t>
      </w:r>
      <w:r>
        <w:rPr>
          <w:rtl w:val="true"/>
        </w:rPr>
        <w:t xml:space="preserve">, </w:t>
      </w:r>
      <w:r>
        <w:rPr>
          <w:rtl w:val="true"/>
        </w:rPr>
        <w:t>נאמר זה מכבר כי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המינהלי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בקצוות</w:t>
      </w:r>
      <w:r>
        <w:rPr>
          <w:rtl w:val="true"/>
        </w:rPr>
        <w:t xml:space="preserve">, </w:t>
      </w:r>
      <w:r>
        <w:rPr>
          <w:rtl w:val="true"/>
        </w:rPr>
        <w:t>הוחל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מינהלי</w:t>
      </w:r>
      <w:r>
        <w:rPr>
          <w:rtl w:val="true"/>
        </w:rPr>
        <w:t xml:space="preserve">'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'. </w:t>
      </w:r>
      <w:r>
        <w:rPr>
          <w:rtl w:val="true"/>
        </w:rPr>
        <w:t>הרעיון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דואליות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'.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חוזה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כלאיים</w:t>
      </w:r>
      <w:r>
        <w:rPr>
          <w:rtl w:val="true"/>
        </w:rPr>
        <w:t xml:space="preserve">, </w:t>
      </w:r>
      <w:r>
        <w:rPr>
          <w:rtl w:val="true"/>
        </w:rPr>
        <w:t>וככזה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דינים</w:t>
      </w:r>
      <w:r>
        <w:rPr>
          <w:rtl w:val="true"/>
        </w:rPr>
        <w:t xml:space="preserve">: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החוזים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המינהלי</w:t>
      </w:r>
      <w:r>
        <w:rPr>
          <w:rtl w:val="true"/>
        </w:rPr>
        <w:t>" (</w:t>
      </w:r>
      <w:hyperlink r:id="rId40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634/11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27.7.2021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באשה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צוין כי טרם נתחמו במדויק גבולותיו של החוזה המינהלי</w:t>
      </w:r>
      <w:r>
        <w:rPr>
          <w:rtl w:val="true"/>
        </w:rPr>
        <w:t xml:space="preserve">, </w:t>
      </w:r>
      <w:r>
        <w:rPr>
          <w:rtl w:val="true"/>
        </w:rPr>
        <w:t>וטרם נקבע אם היסוד הדומיננטי של חוזה מסוג זה נשען על דיני החוזים שעקרונות המשפט המינהלי נספחים להם</w:t>
      </w:r>
      <w:r>
        <w:rPr>
          <w:rtl w:val="true"/>
        </w:rPr>
        <w:t xml:space="preserve">, </w:t>
      </w:r>
      <w:r>
        <w:rPr>
          <w:rtl w:val="true"/>
        </w:rPr>
        <w:t xml:space="preserve">או שמא מדובר בחוזה הנשלט בעיקר על ידי עקרונות המשפט הציבורי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). </w:t>
      </w:r>
      <w:r>
        <w:rPr>
          <w:rtl w:val="true"/>
        </w:rPr>
        <w:t>בכל מקרה</w:t>
      </w:r>
      <w:r>
        <w:rPr>
          <w:rtl w:val="true"/>
        </w:rPr>
        <w:t>, "</w:t>
      </w:r>
      <w:r>
        <w:rPr>
          <w:rtl w:val="true"/>
        </w:rPr>
        <w:t>לא ניתן להתבונן על כל החוזים המינהליים במקשה אחת</w:t>
      </w:r>
      <w:r>
        <w:rPr>
          <w:rtl w:val="true"/>
        </w:rPr>
        <w:t xml:space="preserve">, </w:t>
      </w:r>
      <w:r>
        <w:rPr>
          <w:rtl w:val="true"/>
        </w:rPr>
        <w:t>וחוזים שונים נבדלים ביניהם על בסיס מהות הגוף הציבורי שבו מדובר</w:t>
      </w:r>
      <w:r>
        <w:rPr>
          <w:rtl w:val="true"/>
        </w:rPr>
        <w:t xml:space="preserve">, </w:t>
      </w:r>
      <w:r>
        <w:rPr>
          <w:rtl w:val="true"/>
        </w:rPr>
        <w:t>סוג היחסים שבין הגוף הציבורי לבין האדם הנוגע בדבר וכיוצא באלה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מעמדם הנורמטיבי של חוזים מינהליים איננו אפוא עניין קשיח</w:t>
      </w:r>
      <w:r>
        <w:rPr>
          <w:rtl w:val="true"/>
        </w:rPr>
        <w:t xml:space="preserve">, </w:t>
      </w:r>
      <w:r>
        <w:rPr>
          <w:rtl w:val="true"/>
        </w:rPr>
        <w:t>והוא תלוי הקשר ונסיבות</w:t>
      </w:r>
      <w:r>
        <w:rPr>
          <w:rtl w:val="true"/>
        </w:rPr>
        <w:t xml:space="preserve">. </w:t>
      </w:r>
      <w:r>
        <w:rPr>
          <w:rtl w:val="true"/>
        </w:rPr>
        <w:t>על כן בענייננו</w:t>
      </w:r>
      <w:r>
        <w:rPr>
          <w:rtl w:val="true"/>
        </w:rPr>
        <w:t xml:space="preserve">, </w:t>
      </w:r>
      <w:r>
        <w:rPr>
          <w:rtl w:val="true"/>
        </w:rPr>
        <w:t>בוודאי שיש מקום ליתן משקל להסכמה מפורשת שניתנה מטעם המערערים</w:t>
      </w:r>
      <w:r>
        <w:rPr>
          <w:rtl w:val="true"/>
        </w:rPr>
        <w:t xml:space="preserve">, </w:t>
      </w:r>
      <w:r>
        <w:rPr>
          <w:rtl w:val="true"/>
        </w:rPr>
        <w:t>ולעובדה כי המשיבה מילאה את חלקה בהסכמים ללא עוררין ובעקבות הסכמות אלה</w:t>
      </w:r>
      <w:r>
        <w:rPr>
          <w:rtl w:val="true"/>
        </w:rPr>
        <w:t xml:space="preserve">, </w:t>
      </w:r>
      <w:r>
        <w:rPr>
          <w:rtl w:val="true"/>
        </w:rPr>
        <w:t>וכחלק מהפשרה אליה הגיעו הצדדים</w:t>
      </w:r>
      <w:r>
        <w:rPr>
          <w:rtl w:val="true"/>
        </w:rPr>
        <w:t xml:space="preserve">, </w:t>
      </w:r>
      <w:r>
        <w:rPr>
          <w:rtl w:val="true"/>
        </w:rPr>
        <w:t>שוחרר חלק מהרכוש שנתפס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הסכם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נוקט בלשון ברורה ומפורשת כי בתמורה לשחרור רכוש ספציפי לידי המערערים</w:t>
      </w:r>
      <w:r>
        <w:rPr>
          <w:rtl w:val="true"/>
        </w:rPr>
        <w:t xml:space="preserve">, </w:t>
      </w:r>
      <w:r>
        <w:rPr>
          <w:rtl w:val="true"/>
        </w:rPr>
        <w:t>ניתנה הסכמתם לתפיסת רכושם עד למתן החלטה סופית בשאלת החילוט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המערערים התחייבו כי לא יטענו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טענה</w:t>
      </w:r>
      <w:r>
        <w:rPr>
          <w:rtl w:val="true"/>
        </w:rPr>
        <w:t xml:space="preserve">" </w:t>
      </w:r>
      <w:r>
        <w:rPr>
          <w:rtl w:val="true"/>
        </w:rPr>
        <w:t>נגד תפיסת רכוש זה</w:t>
      </w:r>
      <w:r>
        <w:rPr>
          <w:rtl w:val="true"/>
        </w:rPr>
        <w:t xml:space="preserve">. </w:t>
      </w:r>
      <w:r>
        <w:rPr>
          <w:rtl w:val="true"/>
        </w:rPr>
        <w:t>כך צוין מפורשות בהסכם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"...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למשיבים</w:t>
      </w:r>
      <w:r>
        <w:rPr>
          <w:rtl w:val="true"/>
        </w:rPr>
        <w:t xml:space="preserve">, </w:t>
      </w:r>
      <w:r>
        <w:rPr>
          <w:rtl w:val="true"/>
        </w:rPr>
        <w:t>נותנים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'</w:t>
      </w:r>
      <w:r>
        <w:rPr>
          <w:rtl w:val="true"/>
        </w:rPr>
        <w:t>הטוענים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tl w:val="true"/>
        </w:rPr>
        <w:t>'"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במסגרת סעיף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להסכם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 xml:space="preserve">התחייבו המערערים להימנע מלהגיש בקשה לשחרור התפוסים במשך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והצהירו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תוגש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 xml:space="preserve">אולם אין לקבל את ניסיונם של המערערים לטעון כי יש באמור כדי לאיין את הוראות הסכם </w:t>
      </w:r>
      <w:r>
        <w:rPr/>
        <w:t>2017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שכן במסגרת סעיף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בהסכם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הובהר גם כי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שתוגש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 xml:space="preserve">בסעיף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להסכם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הובהר כי</w:t>
      </w:r>
      <w:r>
        <w:rPr>
          <w:rtl w:val="true"/>
        </w:rPr>
        <w:t xml:space="preserve">: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30.11.2017</w:t>
      </w:r>
      <w:r>
        <w:rPr>
          <w:rtl w:val="true"/>
        </w:rPr>
        <w:t xml:space="preserve">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סופי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ולמען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מוסכם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בהסכם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לפגוע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כלשהי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בתוקף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ההסכם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30.</w:t>
      </w:r>
      <w:r>
        <w:rPr>
          <w:rFonts w:cs="Miriam" w:ascii="Century" w:hAnsi="Century"/>
          <w:b/>
          <w:spacing w:val="0"/>
          <w:szCs w:val="24"/>
        </w:rPr>
        <w:t>11</w:t>
      </w:r>
      <w:r>
        <w:rPr>
          <w:rFonts w:cs="Miriam" w:ascii="Century" w:hAnsi="Century"/>
          <w:b/>
          <w:spacing w:val="0"/>
          <w:szCs w:val="24"/>
        </w:rPr>
        <w:t>.2017</w:t>
      </w:r>
      <w:r>
        <w:rPr>
          <w:rtl w:val="true"/>
        </w:rPr>
        <w:t>" (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 מפורשים אלה</w:t>
      </w:r>
      <w:r>
        <w:rPr>
          <w:rtl w:val="true"/>
        </w:rPr>
        <w:t xml:space="preserve">, </w:t>
      </w:r>
      <w:r>
        <w:rPr>
          <w:rtl w:val="true"/>
        </w:rPr>
        <w:t xml:space="preserve">יש בהם כדי לשמוט את הקרקע מתחת לטענת המערערים כי התאיינה הסכמת הצדדים משנת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 xml:space="preserve">שעה שזו קיבלה משנה תוקף במסגרת הסכם </w:t>
      </w:r>
      <w:r>
        <w:rPr/>
        <w:t>2020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אולם בפי המערערים טענה נוספת</w:t>
      </w:r>
      <w:r>
        <w:rPr>
          <w:rtl w:val="true"/>
        </w:rPr>
        <w:t xml:space="preserve">, </w:t>
      </w:r>
      <w:r>
        <w:rPr>
          <w:rtl w:val="true"/>
        </w:rPr>
        <w:t xml:space="preserve">והיא כי </w:t>
      </w:r>
      <w:r>
        <w:rPr>
          <w:rFonts w:cs="Miriam"/>
          <w:b/>
          <w:b/>
          <w:spacing w:val="0"/>
          <w:szCs w:val="24"/>
          <w:rtl w:val="true"/>
        </w:rPr>
        <w:t>חלוף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הזמן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מהווה שינוי נסיבות המצדיק בחינה מחודשת של היקף החילוט</w:t>
      </w:r>
      <w:r>
        <w:rPr>
          <w:rtl w:val="true"/>
        </w:rPr>
        <w:t xml:space="preserve">, </w:t>
      </w:r>
      <w:r>
        <w:rPr>
          <w:rtl w:val="true"/>
        </w:rPr>
        <w:t>חרף ההסכמות אליהן הגיעו בעבר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במסגרת בחינת מידתיות החילוט הזמני </w:t>
      </w:r>
      <w:r>
        <w:rPr>
          <w:rtl w:val="true"/>
        </w:rPr>
        <w:t>–</w:t>
      </w:r>
      <w:r>
        <w:rPr>
          <w:rtl w:val="true"/>
        </w:rPr>
        <w:t xml:space="preserve"> בין אם ניתן בהסכמה ובין אם לאו </w:t>
      </w:r>
      <w:r>
        <w:rPr>
          <w:rtl w:val="true"/>
        </w:rPr>
        <w:t>–</w:t>
      </w:r>
      <w:r>
        <w:rPr>
          <w:rtl w:val="true"/>
        </w:rPr>
        <w:t xml:space="preserve"> על בית המשפט לבחון את פרק הזמן שבו צפוי הצו הזמני לעמוד בתוקף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אהוד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1792/99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גאלי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נג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312</w:t>
      </w:r>
      <w:r>
        <w:rPr>
          <w:rtl w:val="true"/>
        </w:rPr>
        <w:t xml:space="preserve">, </w:t>
      </w:r>
      <w:r>
        <w:rPr/>
        <w:t>328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1999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ניתן להניח</w:t>
      </w:r>
      <w:r>
        <w:rPr>
          <w:rtl w:val="true"/>
        </w:rPr>
        <w:t xml:space="preserve">, </w:t>
      </w:r>
      <w:r>
        <w:rPr>
          <w:rtl w:val="true"/>
        </w:rPr>
        <w:t>בהתחשב בין היתר באופיו הדואלי של הסכם שעניינו חילוט זמני</w:t>
      </w:r>
      <w:r>
        <w:rPr>
          <w:rtl w:val="true"/>
        </w:rPr>
        <w:t xml:space="preserve">, </w:t>
      </w:r>
      <w:r>
        <w:rPr>
          <w:rtl w:val="true"/>
        </w:rPr>
        <w:t>כי חלוף הזמן עשוי להצדיק קיום דיון מחודש בהיקף החילוט</w:t>
      </w:r>
      <w:r>
        <w:rPr>
          <w:rtl w:val="true"/>
        </w:rPr>
        <w:t xml:space="preserve">, </w:t>
      </w:r>
      <w:r>
        <w:rPr>
          <w:rtl w:val="true"/>
        </w:rPr>
        <w:t xml:space="preserve">אף חרף הסכמה אליה הגיעו הצדדים במועד מוקדם יותר </w:t>
      </w:r>
      <w:r>
        <w:rPr>
          <w:rtl w:val="true"/>
        </w:rPr>
        <w:t>(</w:t>
      </w:r>
      <w:r>
        <w:rPr>
          <w:rtl w:val="true"/>
        </w:rPr>
        <w:t>וראו למשל</w:t>
      </w:r>
      <w:r>
        <w:rPr>
          <w:rtl w:val="true"/>
        </w:rPr>
        <w:t xml:space="preserve">: </w:t>
      </w:r>
      <w:hyperlink r:id="rId42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9222/20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כהן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4.1.2021</w:t>
      </w:r>
      <w:r>
        <w:rPr>
          <w:rtl w:val="true"/>
        </w:rPr>
        <w:t xml:space="preserve">)). </w:t>
      </w:r>
      <w:r>
        <w:rPr>
          <w:rtl w:val="true"/>
        </w:rPr>
        <w:t>גם בית המשפט המחוזי נתן דעתו לכך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מבלי לקבוע מסמרות לגבי טווח הנסיבות המצדיקות קיום דיון מחדש וצמצום היקף החילוט בשל חלוף משך הזמן</w:t>
      </w:r>
      <w:r>
        <w:rPr>
          <w:rtl w:val="true"/>
        </w:rPr>
        <w:t xml:space="preserve">, </w:t>
      </w:r>
      <w:r>
        <w:rPr>
          <w:rtl w:val="true"/>
        </w:rPr>
        <w:t>נראה כי אין מקום בענייננו</w:t>
      </w:r>
      <w:r>
        <w:rPr>
          <w:rtl w:val="true"/>
        </w:rPr>
        <w:t xml:space="preserve">, </w:t>
      </w:r>
      <w:r>
        <w:rPr>
          <w:rtl w:val="true"/>
        </w:rPr>
        <w:t>בשלב הנוכחי</w:t>
      </w:r>
      <w:r>
        <w:rPr>
          <w:rtl w:val="true"/>
        </w:rPr>
        <w:t xml:space="preserve">, </w:t>
      </w:r>
      <w:r>
        <w:rPr>
          <w:rtl w:val="true"/>
        </w:rPr>
        <w:t>לאפשר זאת</w:t>
      </w:r>
      <w:r>
        <w:rPr>
          <w:rtl w:val="true"/>
        </w:rPr>
        <w:t xml:space="preserve">. </w:t>
      </w:r>
      <w:r>
        <w:rPr>
          <w:rtl w:val="true"/>
        </w:rPr>
        <w:t>יש ממש בטענות המשיבה כי נסיבות העניין מצביעות כי הציפייה הסבירה של הצדדים הייתה כי ההליך העיקרי ייארך זמן רב</w:t>
      </w:r>
      <w:r>
        <w:rPr>
          <w:rtl w:val="true"/>
        </w:rPr>
        <w:t xml:space="preserve">; </w:t>
      </w:r>
      <w:r>
        <w:rPr>
          <w:rtl w:val="true"/>
        </w:rPr>
        <w:t>כי העיכוב שנוצר בהתקדמות ההליך אינו רובץ רק לפתחה של המשיבה</w:t>
      </w:r>
      <w:r>
        <w:rPr>
          <w:rtl w:val="true"/>
        </w:rPr>
        <w:t xml:space="preserve">; </w:t>
      </w:r>
      <w:r>
        <w:rPr>
          <w:rtl w:val="true"/>
        </w:rPr>
        <w:t xml:space="preserve">כי חלקה של המשיבה בהסכמים </w:t>
      </w:r>
      <w:r>
        <w:rPr>
          <w:rtl w:val="true"/>
        </w:rPr>
        <w:t>–</w:t>
      </w:r>
      <w:r>
        <w:rPr>
          <w:rtl w:val="true"/>
        </w:rPr>
        <w:t xml:space="preserve"> שחרור התפוסים שסוכם על שחרורם </w:t>
      </w:r>
      <w:r>
        <w:rPr>
          <w:rtl w:val="true"/>
        </w:rPr>
        <w:t>–</w:t>
      </w:r>
      <w:r>
        <w:rPr>
          <w:rtl w:val="true"/>
        </w:rPr>
        <w:t xml:space="preserve"> בוצע והיקף החילוט צומצם במשך הזמן</w:t>
      </w:r>
      <w:r>
        <w:rPr>
          <w:rtl w:val="true"/>
        </w:rPr>
        <w:t xml:space="preserve">; </w:t>
      </w:r>
      <w:r>
        <w:rPr>
          <w:rtl w:val="true"/>
        </w:rPr>
        <w:t xml:space="preserve">וכי הסכמת הצדדים משנת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 xml:space="preserve">קיבלה כאמור משנה תוקף בהסכם 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 xml:space="preserve">כך שאין מדובר כטענת המערערים בפרק זמן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וחצי שנים מאז ניתנה הסכמתם</w:t>
      </w:r>
      <w:r>
        <w:rPr>
          <w:rtl w:val="true"/>
        </w:rPr>
        <w:t xml:space="preserve">, </w:t>
      </w:r>
      <w:r>
        <w:rPr>
          <w:rtl w:val="true"/>
        </w:rPr>
        <w:t>כי אם הרבה פחות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לא מצאתי להתערב בקביעת בית המשפט המחוזי כי אין מקום לערוך דיון מחדש בהיקף החילוט בעת הזו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לא לעולם חוסן</w:t>
      </w:r>
      <w:r>
        <w:rPr>
          <w:rtl w:val="true"/>
        </w:rPr>
        <w:t xml:space="preserve">. </w:t>
      </w:r>
      <w:r>
        <w:rPr>
          <w:rtl w:val="true"/>
        </w:rPr>
        <w:t xml:space="preserve">הסכמת הצדדים אינה יכולה ליצור </w:t>
      </w:r>
      <w:r>
        <w:rPr>
          <w:rtl w:val="true"/>
        </w:rPr>
        <w:t>"</w:t>
      </w:r>
      <w:r>
        <w:rPr>
          <w:rtl w:val="true"/>
        </w:rPr>
        <w:t>חסינות</w:t>
      </w:r>
      <w:r>
        <w:rPr>
          <w:rtl w:val="true"/>
        </w:rPr>
        <w:t xml:space="preserve">" </w:t>
      </w:r>
      <w:r>
        <w:rPr>
          <w:rtl w:val="true"/>
        </w:rPr>
        <w:t>מפני דיון בהיקף החילוט לעד</w:t>
      </w:r>
      <w:r>
        <w:rPr>
          <w:rtl w:val="true"/>
        </w:rPr>
        <w:t xml:space="preserve">. </w:t>
      </w:r>
      <w:r>
        <w:rPr>
          <w:rtl w:val="true"/>
        </w:rPr>
        <w:t>מה גם שכאמור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בהסכם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ניתנה הדעת גם לאפשרות הגשת בקשה חדשה</w:t>
      </w:r>
      <w:r>
        <w:rPr>
          <w:rtl w:val="true"/>
        </w:rPr>
        <w:t xml:space="preserve">, </w:t>
      </w:r>
      <w:r>
        <w:rPr>
          <w:rtl w:val="true"/>
        </w:rPr>
        <w:t xml:space="preserve">בתוך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חודשים </w:t>
      </w:r>
      <w:r>
        <w:rPr>
          <w:rtl w:val="true"/>
        </w:rPr>
        <w:t>(</w:t>
      </w:r>
      <w:r>
        <w:rPr>
          <w:rtl w:val="true"/>
        </w:rPr>
        <w:t xml:space="preserve">אף כי כאמור אין בהסכמה זו כדי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לאיין</w:t>
      </w:r>
      <w:r>
        <w:rPr>
          <w:rtl w:val="true"/>
        </w:rPr>
        <w:t xml:space="preserve"> תוקפה של הסכמה קודמת</w:t>
      </w:r>
      <w:r>
        <w:rPr>
          <w:rtl w:val="true"/>
        </w:rPr>
        <w:t xml:space="preserve">). </w:t>
      </w:r>
      <w:r>
        <w:rPr>
          <w:rtl w:val="true"/>
        </w:rPr>
        <w:t>בהינתן קצב התקדמות ההליך העיקרי</w:t>
      </w:r>
      <w:r>
        <w:rPr>
          <w:rtl w:val="true"/>
        </w:rPr>
        <w:t xml:space="preserve">, </w:t>
      </w:r>
      <w:r>
        <w:rPr>
          <w:rtl w:val="true"/>
        </w:rPr>
        <w:t>ונוכח העובדה כי נותרה שמיעתם של עדים רבים</w:t>
      </w:r>
      <w:r>
        <w:rPr>
          <w:rtl w:val="true"/>
        </w:rPr>
        <w:t xml:space="preserve">, </w:t>
      </w:r>
      <w:r>
        <w:rPr>
          <w:rtl w:val="true"/>
        </w:rPr>
        <w:t>ניתן גם לשער כי ההליכים אינם צפויים להסתיים בזמן הקרוב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באמור כדי לסתום את הגולל מפני הגשת בקשה מטעם המערערים לעיון חוזר בתפיסת רכושם אם יתגלו נסיבות חדשות המצדיקות זאת או בחלוף פרק זמן משמעותי נוסף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 נדחה אפוא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8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24.5.2022</w:t>
      </w:r>
      <w:r>
        <w:rPr>
          <w:rtl w:val="true"/>
        </w:rPr>
        <w:t xml:space="preserve">). </w:t>
      </w:r>
      <w:bookmarkEnd w:id="1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22023440</w:t>
      </w:r>
      <w:r>
        <w:rPr>
          <w:sz w:val="16"/>
          <w:rtl w:val="true"/>
        </w:rPr>
        <w:t>_</w:t>
      </w:r>
      <w:r>
        <w:rPr>
          <w:sz w:val="16"/>
        </w:rPr>
        <w:t>N04.docx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3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מינץ </w:t>
      </w:r>
      <w:r>
        <w:rPr>
          <w:rFonts w:cs="David" w:ascii="David" w:hAnsi="David"/>
          <w:color w:val="000000"/>
          <w:szCs w:val="22"/>
        </w:rPr>
        <w:t>54678313-2344/22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5"/>
      <w:footerReference w:type="default" r:id="rId4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2344/22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יגאל דוגה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4"/>
        <w:szCs w:val="28"/>
        <w:color w:val="000000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color w:val="000000"/>
      <w:sz w:val="24"/>
      <w:szCs w:val="28"/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Normal"/>
    <w:qFormat/>
    <w:pPr>
      <w:overflowPunct w:val="true"/>
      <w:textAlignment w:val="auto"/>
    </w:pPr>
    <w:rPr>
      <w:sz w:val="22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226759" TargetMode="External"/><Relationship Id="rId3" Type="http://schemas.openxmlformats.org/officeDocument/2006/relationships/hyperlink" Target="http://www.nevo.co.il/law/74345" TargetMode="External"/><Relationship Id="rId4" Type="http://schemas.openxmlformats.org/officeDocument/2006/relationships/hyperlink" Target="http://www.nevo.co.il/law/74345/3" TargetMode="External"/><Relationship Id="rId5" Type="http://schemas.openxmlformats.org/officeDocument/2006/relationships/hyperlink" Target="http://www.nevo.co.il/law/74345/4" TargetMode="External"/><Relationship Id="rId6" Type="http://schemas.openxmlformats.org/officeDocument/2006/relationships/hyperlink" Target="http://www.nevo.co.il/law/74345/21" TargetMode="External"/><Relationship Id="rId7" Type="http://schemas.openxmlformats.org/officeDocument/2006/relationships/hyperlink" Target="http://www.nevo.co.il/law/74345/21.a" TargetMode="External"/><Relationship Id="rId8" Type="http://schemas.openxmlformats.org/officeDocument/2006/relationships/hyperlink" Target="http://www.nevo.co.il/law/74345/23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36f" TargetMode="External"/><Relationship Id="rId11" Type="http://schemas.openxmlformats.org/officeDocument/2006/relationships/hyperlink" Target="http://www.nevo.co.il/law/4216/36f.a" TargetMode="External"/><Relationship Id="rId12" Type="http://schemas.openxmlformats.org/officeDocument/2006/relationships/hyperlink" Target="http://www.nevo.co.il/law/4216/36f.d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4345/23" TargetMode="External"/><Relationship Id="rId15" Type="http://schemas.openxmlformats.org/officeDocument/2006/relationships/hyperlink" Target="http://www.nevo.co.il/law/74345" TargetMode="External"/><Relationship Id="rId16" Type="http://schemas.openxmlformats.org/officeDocument/2006/relationships/hyperlink" Target="http://www.nevo.co.il/law/4216/36f.d" TargetMode="External"/><Relationship Id="rId17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case/22226759" TargetMode="External"/><Relationship Id="rId19" Type="http://schemas.openxmlformats.org/officeDocument/2006/relationships/hyperlink" Target="http://www.nevo.co.il/law/7434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4345/21.a" TargetMode="External"/><Relationship Id="rId22" Type="http://schemas.openxmlformats.org/officeDocument/2006/relationships/hyperlink" Target="http://www.nevo.co.il/law/74345/23" TargetMode="External"/><Relationship Id="rId23" Type="http://schemas.openxmlformats.org/officeDocument/2006/relationships/hyperlink" Target="http://www.nevo.co.il/law/4216/36f.a" TargetMode="External"/><Relationship Id="rId24" Type="http://schemas.openxmlformats.org/officeDocument/2006/relationships/hyperlink" Target="http://www.nevo.co.il/case/26641292" TargetMode="External"/><Relationship Id="rId25" Type="http://schemas.openxmlformats.org/officeDocument/2006/relationships/hyperlink" Target="http://www.nevo.co.il/law/74345/21" TargetMode="External"/><Relationship Id="rId26" Type="http://schemas.openxmlformats.org/officeDocument/2006/relationships/hyperlink" Target="http://www.nevo.co.il/law/74345/3" TargetMode="External"/><Relationship Id="rId27" Type="http://schemas.openxmlformats.org/officeDocument/2006/relationships/hyperlink" Target="http://www.nevo.co.il/law/74345/4" TargetMode="External"/><Relationship Id="rId28" Type="http://schemas.openxmlformats.org/officeDocument/2006/relationships/hyperlink" Target="http://www.nevo.co.il/case/6104783" TargetMode="External"/><Relationship Id="rId29" Type="http://schemas.openxmlformats.org/officeDocument/2006/relationships/hyperlink" Target="http://www.nevo.co.il/case/23226444" TargetMode="External"/><Relationship Id="rId30" Type="http://schemas.openxmlformats.org/officeDocument/2006/relationships/hyperlink" Target="http://www.nevo.co.il/case/25708042" TargetMode="External"/><Relationship Id="rId31" Type="http://schemas.openxmlformats.org/officeDocument/2006/relationships/hyperlink" Target="http://www.nevo.co.il/case/28067216" TargetMode="External"/><Relationship Id="rId32" Type="http://schemas.openxmlformats.org/officeDocument/2006/relationships/hyperlink" Target="http://www.nevo.co.il/law/74345/23" TargetMode="External"/><Relationship Id="rId33" Type="http://schemas.openxmlformats.org/officeDocument/2006/relationships/hyperlink" Target="http://www.nevo.co.il/law/4216/36f" TargetMode="External"/><Relationship Id="rId34" Type="http://schemas.openxmlformats.org/officeDocument/2006/relationships/hyperlink" Target="http://www.nevo.co.il/law/4216" TargetMode="External"/><Relationship Id="rId35" Type="http://schemas.openxmlformats.org/officeDocument/2006/relationships/hyperlink" Target="http://www.nevo.co.il/case/7799725" TargetMode="External"/><Relationship Id="rId36" Type="http://schemas.openxmlformats.org/officeDocument/2006/relationships/hyperlink" Target="http://www.nevo.co.il/case/25289958" TargetMode="External"/><Relationship Id="rId37" Type="http://schemas.openxmlformats.org/officeDocument/2006/relationships/hyperlink" Target="http://www.nevo.co.il/case/26036847" TargetMode="External"/><Relationship Id="rId38" Type="http://schemas.openxmlformats.org/officeDocument/2006/relationships/hyperlink" Target="http://www.nevo.co.il/case/5603871" TargetMode="External"/><Relationship Id="rId39" Type="http://schemas.openxmlformats.org/officeDocument/2006/relationships/hyperlink" Target="http://www.nevo.co.il/case/22928295" TargetMode="External"/><Relationship Id="rId40" Type="http://schemas.openxmlformats.org/officeDocument/2006/relationships/hyperlink" Target="http://www.nevo.co.il/case/5714884" TargetMode="External"/><Relationship Id="rId41" Type="http://schemas.openxmlformats.org/officeDocument/2006/relationships/hyperlink" Target="http://www.nevo.co.il/case/5791971" TargetMode="External"/><Relationship Id="rId42" Type="http://schemas.openxmlformats.org/officeDocument/2006/relationships/hyperlink" Target="http://www.nevo.co.il/case/27285135" TargetMode="External"/><Relationship Id="rId43" Type="http://schemas.openxmlformats.org/officeDocument/2006/relationships/hyperlink" Target="https://supreme.court.gov.il/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2022-05-25T12:56:00Z</dcterms:created>
  <dc:creator>h4</dc:creator>
  <dc:description/>
  <cp:keywords/>
  <dc:language>en-IL</dc:language>
  <cp:lastModifiedBy>orly</cp:lastModifiedBy>
  <cp:lastPrinted>2022-05-24T12:31:00Z</cp:lastPrinted>
  <dcterms:modified xsi:type="dcterms:W3CDTF">2022-05-25T12:56:00Z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יגאל דוגה;שרון עדקי;שיא שי עד בע#מ;אילון דוגה בע#מ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22226759:2;26641292;6104783;23226444;25708042;28067216;7799725;25289958;26036847;5603871;22928295;5714884;5791971;27285135</vt:lpwstr>
  </property>
  <property fmtid="{D5CDD505-2E9C-101B-9397-08002B2CF9AE}" pid="9" name="CITY">
    <vt:lpwstr/>
  </property>
  <property fmtid="{D5CDD505-2E9C-101B-9397-08002B2CF9AE}" pid="10" name="DATE">
    <vt:lpwstr>20220524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מינץ</vt:lpwstr>
  </property>
  <property fmtid="{D5CDD505-2E9C-101B-9397-08002B2CF9AE}" pid="14" name="LAWLISTTMP1">
    <vt:lpwstr>74345/023:3;021.a;021;003;004</vt:lpwstr>
  </property>
  <property fmtid="{D5CDD505-2E9C-101B-9397-08002B2CF9AE}" pid="15" name="LAWLISTTMP2">
    <vt:lpwstr>4216/036f.d;036f.a;036f</vt:lpwstr>
  </property>
  <property fmtid="{D5CDD505-2E9C-101B-9397-08002B2CF9AE}" pid="16" name="LAWLISTTMP3">
    <vt:lpwstr>70301</vt:lpwstr>
  </property>
  <property fmtid="{D5CDD505-2E9C-101B-9397-08002B2CF9AE}" pid="17" name="LAWYER">
    <vt:lpwstr>יורם הירשברג;עדי שוורץ;אבי חימי;כפיר ממון;זיו רוטמנש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דיון פלילי</vt:lpwstr>
  </property>
  <property fmtid="{D5CDD505-2E9C-101B-9397-08002B2CF9AE}" pid="29" name="NOSE110">
    <vt:lpwstr/>
  </property>
  <property fmtid="{D5CDD505-2E9C-101B-9397-08002B2CF9AE}" pid="30" name="NOSE12">
    <vt:lpwstr>דיון פלילי</vt:lpwstr>
  </property>
  <property fmtid="{D5CDD505-2E9C-101B-9397-08002B2CF9AE}" pid="31" name="NOSE13">
    <vt:lpwstr>דיון פלילי</vt:lpwstr>
  </property>
  <property fmtid="{D5CDD505-2E9C-101B-9397-08002B2CF9AE}" pid="32" name="NOSE14">
    <vt:lpwstr>דיון פלילי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18;18;18;18</vt:lpwstr>
  </property>
  <property fmtid="{D5CDD505-2E9C-101B-9397-08002B2CF9AE}" pid="39" name="NOSE21">
    <vt:lpwstr>חילוט</vt:lpwstr>
  </property>
  <property fmtid="{D5CDD505-2E9C-101B-9397-08002B2CF9AE}" pid="40" name="NOSE210">
    <vt:lpwstr/>
  </property>
  <property fmtid="{D5CDD505-2E9C-101B-9397-08002B2CF9AE}" pid="41" name="NOSE22">
    <vt:lpwstr>חילוט</vt:lpwstr>
  </property>
  <property fmtid="{D5CDD505-2E9C-101B-9397-08002B2CF9AE}" pid="42" name="NOSE23">
    <vt:lpwstr>חילוט</vt:lpwstr>
  </property>
  <property fmtid="{D5CDD505-2E9C-101B-9397-08002B2CF9AE}" pid="43" name="NOSE24">
    <vt:lpwstr>חילוט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473;473;473;473</vt:lpwstr>
  </property>
  <property fmtid="{D5CDD505-2E9C-101B-9397-08002B2CF9AE}" pid="50" name="NOSE31">
    <vt:lpwstr>עיון חוזר</vt:lpwstr>
  </property>
  <property fmtid="{D5CDD505-2E9C-101B-9397-08002B2CF9AE}" pid="51" name="NOSE310">
    <vt:lpwstr/>
  </property>
  <property fmtid="{D5CDD505-2E9C-101B-9397-08002B2CF9AE}" pid="52" name="NOSE32">
    <vt:lpwstr>היקפו</vt:lpwstr>
  </property>
  <property fmtid="{D5CDD505-2E9C-101B-9397-08002B2CF9AE}" pid="53" name="NOSE33">
    <vt:lpwstr>איסור הלבנת הון</vt:lpwstr>
  </property>
  <property fmtid="{D5CDD505-2E9C-101B-9397-08002B2CF9AE}" pid="54" name="NOSE34">
    <vt:lpwstr>בקשה לשחרור רכוש שנתפס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14737;18279;14774;14091</vt:lpwstr>
  </property>
  <property fmtid="{D5CDD505-2E9C-101B-9397-08002B2CF9AE}" pid="61" name="PADIDATE">
    <vt:lpwstr>20220525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2344</vt:lpwstr>
  </property>
  <property fmtid="{D5CDD505-2E9C-101B-9397-08002B2CF9AE}" pid="67" name="PROCYEAR">
    <vt:lpwstr>22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410120220524</vt:lpwstr>
  </property>
  <property fmtid="{D5CDD505-2E9C-101B-9397-08002B2CF9AE}" pid="71" name="TYPE_N_DATE">
    <vt:lpwstr>41020220524</vt:lpwstr>
  </property>
  <property fmtid="{D5CDD505-2E9C-101B-9397-08002B2CF9AE}" pid="72" name="VOLUME">
    <vt:lpwstr/>
  </property>
  <property fmtid="{D5CDD505-2E9C-101B-9397-08002B2CF9AE}" pid="73" name="WORDNUMPAGES">
    <vt:lpwstr>11</vt:lpwstr>
  </property>
</Properties>
</file>