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2352/19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2977/19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2352/19</w:t>
            </w:r>
            <w:r>
              <w:rPr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אלדר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דנילוב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David;Times New Roman"/>
          <w:spacing w:val="0"/>
        </w:rPr>
      </w:pPr>
      <w:r>
        <w:rPr>
          <w:rFonts w:cs="David;Times New Roman"/>
          <w:spacing w:val="0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2977/19</w:t>
            </w:r>
            <w:r>
              <w:rPr>
                <w:rtl w:val="true"/>
              </w:rPr>
              <w:t>:</w:t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מקסים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מוריץ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2352/19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2977/19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Cs w:val="22"/>
                <w:rtl w:val="true"/>
              </w:rPr>
              <w:t>ערעור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על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גזר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דינו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של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בית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המשפט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המחוזי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Cs w:val="22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Cs w:val="22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Cs w:val="22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Cs w:val="22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Cs w:val="22"/>
                  <w:u w:val="single"/>
                </w:rPr>
                <w:t>10857-01-18</w:t>
              </w:r>
            </w:hyperlink>
            <w:r>
              <w:rPr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[</w:t>
            </w:r>
            <w:r>
              <w:rPr>
                <w:szCs w:val="22"/>
                <w:rtl w:val="true"/>
              </w:rPr>
              <w:t>פורסם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בנבו</w:t>
            </w:r>
            <w:r>
              <w:rPr>
                <w:szCs w:val="22"/>
                <w:rtl w:val="true"/>
              </w:rPr>
              <w:t xml:space="preserve">] </w:t>
            </w:r>
            <w:r>
              <w:rPr>
                <w:szCs w:val="22"/>
                <w:rtl w:val="true"/>
              </w:rPr>
              <w:t>מיום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2.12.2018</w:t>
            </w:r>
            <w:r>
              <w:rPr>
                <w:szCs w:val="22"/>
                <w:rtl w:val="true"/>
              </w:rPr>
              <w:t xml:space="preserve"> (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;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ד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בן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טולילה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09.09.2019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 xml:space="preserve">בשם </w:t>
            </w: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2352/19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עו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>ד מאיה רייטן</w:t>
            </w:r>
            <w:r>
              <w:rPr>
                <w:rFonts w:cs="David;Times New Roman" w:ascii="David;Times New Roman" w:hAnsi="David;Times New Roman"/>
                <w:rtl w:val="true"/>
              </w:rPr>
              <w:t>-</w:t>
            </w:r>
            <w:r>
              <w:rPr>
                <w:rFonts w:ascii="David;Times New Roman" w:hAnsi="David;Times New Roman"/>
                <w:rtl w:val="true"/>
              </w:rPr>
              <w:t>סטול</w:t>
            </w:r>
            <w:r>
              <w:rPr>
                <w:rFonts w:cs="David;Times New Roman" w:ascii="David;Times New Roman" w:hAnsi="David;Times New Roman"/>
                <w:rtl w:val="true"/>
              </w:rPr>
              <w:tab/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 xml:space="preserve">בשם </w:t>
            </w:r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2977/19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עו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ד מאיר לחן 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4" w:name="FirstLawyer"/>
            <w:bookmarkEnd w:id="4"/>
            <w:r>
              <w:rPr>
                <w:rFonts w:ascii="David;Times New Roman" w:hAnsi="David;Times New Roman"/>
                <w:rtl w:val="true"/>
              </w:rPr>
              <w:t>בשם המשיבה</w:t>
            </w:r>
            <w:r>
              <w:rPr>
                <w:rFonts w:ascii="David;Times New Roman" w:hAnsi="David;Times New Roman"/>
                <w:rtl w:val="true"/>
              </w:rPr>
              <w:t xml:space="preserve"> 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2352/19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וב</w:t>
            </w:r>
            <w:r>
              <w:rPr>
                <w:rFonts w:ascii="David;Times New Roman" w:hAnsi="David;Times New Roman"/>
                <w:rtl w:val="true"/>
              </w:rPr>
              <w:t>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2977/19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עו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>ד בת שבע אבגז</w:t>
            </w:r>
          </w:p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3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329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333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334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341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34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כד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402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10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שב 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11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64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Start"/>
      <w:bookmarkStart w:id="7" w:name="LawTable_End"/>
      <w:bookmarkEnd w:id="6"/>
      <w:bookmarkEnd w:id="7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ספרות</w:t>
      </w:r>
      <w:hyperlink r:id="rId13">
        <w:r>
          <w:rPr>
            <w:rFonts w:cs="FrankRuehl;Times New Roman" w:ascii="FrankRuehl;Times New Roman" w:hAnsi="FrankRuehl;Times New Roman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14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ש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ז פלר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 xml:space="preserve">יסודות בדיני עונשין 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כרך א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rtl w:val="true"/>
          </w:rPr>
          <w:t>ד</w:t>
        </w:r>
        <w:r>
          <w:rPr>
            <w:rStyle w:val="Hyperlink"/>
            <w:rFonts w:cs="FrankRuehl;Times New Roman" w:ascii="FrankRuehl;Times New Roman" w:hAnsi="FrankRuehl;Times New Roman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  <w:bookmarkStart w:id="8" w:name="Links_End"/>
      <w:bookmarkStart w:id="9" w:name="Links_End"/>
      <w:bookmarkEnd w:id="9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10" w:name="ABSTRACT_START"/>
      <w:bookmarkEnd w:id="10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לא מצא מקום להתערב בגזרי הדין שהושתו על המערערים בעקבות הרשעתם בשוד בנסיבות מחמירות ובהפקרה אחרי פגיעה של נער בעל צרכים מיוחדים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אשר להפעלת עונש המאסר המותנה שעמד לחובת 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נקבע כי יישום נכון של הלכת מסילתי על עובדות המקרה מוביל למסקנה כי עבירת ההפקרה אחרי פגיעה מכילה בחובה את כל יסודות עבירת גרימת חבלה ברשלנות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היא עבירת התנאי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ולכן המאסר המותנה שהיה תלוי נגד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היה 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הפעלה ומן הדין היה להפעילו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הפעלת מאסר על תנאי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הפעלת מאסר על תנאי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שוד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תעבורה – ענישה – הפקרה לאחר פגיעה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ערעורים על גזרי דין שניתנו בעקבות הרשעת המערערים בשוד בנסיבות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ובהפקרה אחרי פגיעה של נער בעל צרכים מיוחדים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בגזרי דין אלו הושתו על 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2352/19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 ועונשים נוספים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בנוסף הופעל נגד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עונש מאסר מותנה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חודשים שעמד לחובתו בעקבות הרשעתו בתיק אחר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שמחציתו תרוצה במצטבר לעונש המאסר דלעיל ומחציתו בחופף 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על המערער בע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פ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2977/19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הושתו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 ועונשים נוספים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שטיין ובהסכמת השופטים מזוז 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וילנר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הערעורים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הלכה היא כי ערכאת הערעור לא תתערב בעונש שהוטל על ידי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במקרים חריגים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שעניינם של המערערים איננו נמנה עליהם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 ניתן לסבור כי המקרה דנן אינו שגרתי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באשר לא קיימים תקדימי ענישה התואמים במדויק את נסיבותיו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נדרש לקושי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הפעיל שיקול דעת זהיר ומאוזן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שקל את כל השיקולים הצריכים והתאים את העונשים לנסיבות העבירות שבוצעו על ידי המערערים ולנסיבותיו האישיות שלהם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העונשים שהושתו על המערערים אינם מגיעים אפילו למחצית מעונשי המקסימום הקבועים בצד העבירות בהן הורשעו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מעשי המערערים מצויים בדרגת חומרה בינונית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גבוהה לפחות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ומשכך מחייבים הטלת עונש חמור ומרתיע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משכך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גזרי הדין מוצדקים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מאוזנים ומבטאים התחשבות ראויה גם בנסיבות המקלות של המערערים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ואין מקום להתערב בהם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עם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אשר להפעלת עונש המאסר המותנה שעמד לחובת 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הנימוקים שעמדו בבסיס החלטה זאת היו שגויים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מן הדין היה להפעילו מנימוקים אחרים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הלכת מסילתי קבעה מבחן מהותי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ענייני להפעלת מאסר על 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שמתמקד ביסודות העבירה הנוספת שעבר הנאשם ובשאלה האם יסודות אלו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כולם או מקצתם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חופפים את כל יסודותיה של עבירת התנאי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מבחן היסודות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התשובה לשאלה זאת חיובית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ברי הוא כי הנאשם חזר לסורו וביצע את המעשה האסור הכלול בתנאי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ולכן יש מקום להפעלת התנאי אף באין זהות טכנית בין שתי העבירות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אולם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מבחן היסודות אינו חל כאשר עבירת התנאי מוגדרת באמצעות משפחת עבירות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ולא באמצעות סעיפי עבירה ספציפיים כמו במקרה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במקרים אלו בלבד יחול מבחן הרציונל אשר השאלה שתישאל בגדרו היא האם הנאשם פגע באותו ערך חברתי מוגן כאשר ביצע את העבירה הנוספת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זה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בהפעלת עונש המאסר המותנה הסתמך 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קמא על הלכת מסילתי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וקבע לאורה כי מאחר שאין מחלוקת שהשוד עצמו כולל שורה של חבלות חמורות אותן גרמו הנאשמים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הרי שהתנהגותו הפלילית של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מקיימת את יסודותיהן של מספר עבירות התנאי המנויות בסימן 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לפרק 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העונשין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חבלה בכוונה מחמירה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חבלה חמורה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ופציעה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אלא שעובדות כתב האישום שבהן הודה 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אינן כוללות גרימת חבלה או פציעה במתכוון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ביודעין או מתוך פזיזות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היא המחשבה הפלילית הנדרשת להרשעה בעבירות הללו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 הודה בגרימת חבלה מתוך רשלנות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מעשה כאמור איננו חופף את יסודות העבירות האמורות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והוא אף לא עונה לדרישות מבחן הרציונל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שממילא לא חל 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בנוסף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הנסיבה המחמירה שבעטיה הורשע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בשוד בנסיבות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ולא בשוד רגיל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היא ביצוע השוד בחבורה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להבדיל מנסיבה מחמירה אחרת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פציעת קורבן השוד ביודעין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שבה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הודה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עם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טעות זו לא גרמה למערער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עיוות 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יישומה הנכון של הלכת מסילתי על עובדות המקרה מוביל למסקנה כי עבירת ההפקרה אחרי פגיעה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שבה הורשע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חופפת את יסודותיה של עבירת תנאי אחרת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גרימת חבלה ברשלנות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עבירת ההפקרה אחרי פגיעה מכילה את כל יסודות עבירת גרימת חבלה ברשלנות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היא עבירת התנאי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מכאן שהמאסר המותנה שהיה תלוי נגד מערער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היה 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הפעלה ומן הדין היה להפעילו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3" w:name="PsakDin"/>
            <w:bookmarkStart w:id="14" w:name="BeginProtocol"/>
            <w:bookmarkStart w:id="15" w:name="secretary"/>
            <w:bookmarkEnd w:id="13"/>
            <w:bookmarkEnd w:id="14"/>
            <w:bookmarkEnd w:id="15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6" w:name="Writer_Name"/>
      <w:bookmarkEnd w:id="16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bookmarkStart w:id="17" w:name="Start_Write"/>
      <w:bookmarkEnd w:id="17"/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 xml:space="preserve">לפנינו ערעורים על גזרי הדין שניתנו ביום </w:t>
      </w:r>
      <w:r>
        <w:rPr/>
        <w:t>2.12.2018</w:t>
      </w:r>
      <w:r>
        <w:rPr>
          <w:rtl w:val="true"/>
        </w:rPr>
        <w:t xml:space="preserve"> </w:t>
      </w:r>
      <w:r>
        <w:rPr>
          <w:rtl w:val="true"/>
        </w:rPr>
        <w:t xml:space="preserve">על ידי בית המשפט המחוזי באר שבע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טולילה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10857-01-18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בעקבות הרשעת המערערים בשוד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ובהפקרה אחרי פגיעה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התעבורה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במסגרת גזרי דין אלו הושתו על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2352/19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מהכלא עבירת רכוש או אלימות מסוג פשע</w:t>
      </w:r>
      <w:r>
        <w:rPr>
          <w:rtl w:val="true"/>
        </w:rPr>
        <w:t xml:space="preserve">, </w:t>
      </w:r>
      <w:r>
        <w:rPr>
          <w:rtl w:val="true"/>
        </w:rPr>
        <w:t>עבירת הפקרה אחרי פגיעה</w:t>
      </w:r>
      <w:r>
        <w:rPr>
          <w:rtl w:val="true"/>
        </w:rPr>
        <w:t xml:space="preserve">, </w:t>
      </w:r>
      <w:r>
        <w:rPr>
          <w:rtl w:val="true"/>
        </w:rPr>
        <w:t>או עבירת שוד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מהכלא עבירת רכוש או אלימות מסוג עוון</w:t>
      </w:r>
      <w:r>
        <w:rPr>
          <w:rtl w:val="true"/>
        </w:rPr>
        <w:t xml:space="preserve">; </w:t>
      </w:r>
      <w:r>
        <w:rPr>
          <w:rtl w:val="true"/>
        </w:rPr>
        <w:t xml:space="preserve">פסילה בפועל מלהחזיק או מלקבל רישיון נהיגה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מהכלא</w:t>
      </w:r>
      <w:r>
        <w:rPr>
          <w:rtl w:val="true"/>
        </w:rPr>
        <w:t xml:space="preserve">; </w:t>
      </w:r>
      <w:r>
        <w:rPr>
          <w:rtl w:val="true"/>
        </w:rPr>
        <w:t xml:space="preserve">קנס על סך של </w:t>
      </w:r>
      <w:r>
        <w:rPr/>
        <w:t>5,000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; </w:t>
      </w:r>
      <w:r>
        <w:rPr>
          <w:rtl w:val="true"/>
        </w:rPr>
        <w:t xml:space="preserve">וכן פיצוי לקורבן העבירה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 xml:space="preserve">על סך </w:t>
      </w:r>
      <w:r>
        <w:rPr/>
        <w:t>25,000</w:t>
      </w:r>
      <w:r>
        <w:rPr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בנוסף לעונשים האמורים</w:t>
      </w:r>
      <w:r>
        <w:rPr>
          <w:rtl w:val="true"/>
        </w:rPr>
        <w:t xml:space="preserve">, </w:t>
      </w:r>
      <w:r>
        <w:rPr>
          <w:rtl w:val="true"/>
        </w:rPr>
        <w:t xml:space="preserve">הופעל נגד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עונש </w:t>
      </w:r>
      <w:r>
        <w:rPr>
          <w:rtl w:val="true"/>
        </w:rPr>
        <w:t xml:space="preserve">מאסר מותנה </w:t>
      </w:r>
      <w:r>
        <w:rPr>
          <w:rtl w:val="true"/>
        </w:rPr>
        <w:t>בן</w:t>
      </w:r>
      <w:r>
        <w:rPr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 xml:space="preserve"> </w:t>
      </w:r>
      <w:r>
        <w:rPr>
          <w:rtl w:val="true"/>
        </w:rPr>
        <w:t>חודשים ש</w:t>
      </w:r>
      <w:r>
        <w:rPr>
          <w:rtl w:val="true"/>
        </w:rPr>
        <w:t>עמד לחובת</w:t>
      </w:r>
      <w:r>
        <w:rPr>
          <w:rtl w:val="true"/>
        </w:rPr>
        <w:t>ו בעקבות הרשעתו 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4294-10-14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30983-12-15</w:t>
      </w:r>
      <w:r>
        <w:rPr>
          <w:rtl w:val="true"/>
        </w:rPr>
        <w:t xml:space="preserve"> (</w:t>
      </w:r>
      <w:r>
        <w:rPr>
          <w:rtl w:val="true"/>
        </w:rPr>
        <w:t>נוער אשקלון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30983-12-15</w:t>
      </w:r>
      <w:r>
        <w:rPr>
          <w:rtl w:val="true"/>
        </w:rPr>
        <w:t xml:space="preserve">) </w:t>
      </w:r>
      <w:r>
        <w:rPr>
          <w:rtl w:val="true"/>
        </w:rPr>
        <w:t>אשר מחציתו תרוצה במצטבר לעונש המאסר דלעיל ומחציתו בחופף לו</w:t>
      </w:r>
      <w:r>
        <w:rPr>
          <w:rtl w:val="true"/>
        </w:rPr>
        <w:t xml:space="preserve">. </w:t>
      </w:r>
      <w:r>
        <w:rPr>
          <w:rtl w:val="true"/>
        </w:rPr>
        <w:t>על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2977/19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השית בית המשפט </w:t>
      </w:r>
      <w:r>
        <w:rPr>
          <w:rFonts w:cs="Century" w:ascii="Century" w:hAnsi="Century"/>
          <w:sz w:val="22"/>
        </w:rPr>
        <w:t>50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חודשי מאסר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בניכוי ימי מעצרו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 xml:space="preserve">פסילה בפועל מלהחזיק או מלקבל רישיון נהיגה במשך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 מיום שחרורו מהכלא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וכן עונשי מאסר מותנה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קנס ופיצוי הזהים לאלו שהוטלו על המערער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שבהן הודו המערערים במסגרת הסדר טיעון שעשו עם המשיבה</w:t>
      </w:r>
      <w:r>
        <w:rPr>
          <w:rtl w:val="true"/>
        </w:rPr>
        <w:t xml:space="preserve">, </w:t>
      </w:r>
      <w:r>
        <w:rPr>
          <w:rtl w:val="true"/>
        </w:rPr>
        <w:t xml:space="preserve">בערב יום </w:t>
      </w:r>
      <w:r>
        <w:rPr/>
        <w:t>5.12.2017</w:t>
      </w:r>
      <w:r>
        <w:rPr>
          <w:rtl w:val="true"/>
        </w:rPr>
        <w:t xml:space="preserve"> </w:t>
      </w:r>
      <w:r>
        <w:rPr>
          <w:rtl w:val="true"/>
        </w:rPr>
        <w:t xml:space="preserve">נסעו </w:t>
      </w:r>
      <w:r>
        <w:rPr>
          <w:rFonts w:ascii="Arial TUR;Arial" w:hAnsi="Arial TUR;Arial" w:cs="Arial TUR;Arial"/>
          <w:sz w:val="22"/>
          <w:sz w:val="22"/>
          <w:rtl w:val="true"/>
        </w:rPr>
        <w:t>השניים ברכב והבחינו במתלונן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קטין יליד שנת </w:t>
      </w:r>
      <w:r>
        <w:rPr>
          <w:rFonts w:cs="Arial TUR;Arial" w:ascii="Arial TUR;Arial" w:hAnsi="Arial TUR;Arial"/>
          <w:sz w:val="22"/>
        </w:rPr>
        <w:t>2002</w:t>
      </w:r>
      <w:r>
        <w:rPr>
          <w:rFonts w:cs="Arial TUR;Arial" w:ascii="Arial TUR;Arial" w:hAnsi="Arial TUR;Arial"/>
          <w:sz w:val="22"/>
          <w:rtl w:val="true"/>
        </w:rPr>
        <w:t xml:space="preserve">, </w:t>
      </w:r>
      <w:r>
        <w:rPr>
          <w:rFonts w:ascii="Arial TUR;Arial" w:hAnsi="Arial TUR;Arial" w:cs="Arial TUR;Arial"/>
          <w:sz w:val="22"/>
          <w:sz w:val="22"/>
          <w:rtl w:val="true"/>
        </w:rPr>
        <w:t>בעל צרכים מיוחדים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אשר ישב לבדו בתחנת אוטובוס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וגמרו אומר לשדוד ממנו את הטלפון הנייד </w:t>
      </w:r>
      <w:r>
        <w:rPr>
          <w:rFonts w:ascii="Century" w:hAnsi="Century" w:cs="Century"/>
          <w:sz w:val="22"/>
          <w:sz w:val="22"/>
          <w:rtl w:val="true"/>
        </w:rPr>
        <w:t>שברשותו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>(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הטלפון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כדי להשתמש בו או בתמורה שתתקבל ממכירתו לכיסוי חוב כספי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המערערים עצרו את רכבם בסמוך למתלונן וביקשו ממנו להשתמש בטלפון שלו כדי לשגר ממנו הודעת טקסט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המתלונן הסכים לבקשתם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ניגש לרכבם והושיט למערער </w:t>
      </w:r>
      <w:r>
        <w:rPr>
          <w:rFonts w:cs="Times New Roman;Times New Roman" w:ascii="Times New Roman;Times New Roman" w:hAnsi="Times New Roman;Times New Roman"/>
          <w:sz w:val="22"/>
        </w:rPr>
        <w:t>1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את הטלפון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תוך שהוא ממשיך לאחוז בחלקו העליון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המערער </w:t>
      </w:r>
      <w:r>
        <w:rPr>
          <w:rFonts w:cs="Times New Roman;Times New Roman" w:ascii="Times New Roman;Times New Roman" w:hAnsi="Times New Roman;Times New Roman"/>
          <w:sz w:val="22"/>
        </w:rPr>
        <w:t>1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אחז בחלקו התחתון של הטלפון והחל להקליד הודעת טקסט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או אז פתח המערער </w:t>
      </w:r>
      <w:r>
        <w:rPr>
          <w:rFonts w:cs="Times New Roman;Times New Roman" w:ascii="Times New Roman;Times New Roman" w:hAnsi="Times New Roman;Times New Roman"/>
          <w:sz w:val="22"/>
        </w:rPr>
        <w:t>2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בנסיעה מואצת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 xml:space="preserve">ואילו המערער </w:t>
      </w:r>
      <w:r>
        <w:rPr>
          <w:rFonts w:cs="Times New Roman;Times New Roman" w:ascii="Times New Roman;Times New Roman" w:hAnsi="Times New Roman;Times New Roman"/>
          <w:sz w:val="22"/>
        </w:rPr>
        <w:t>1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דחף את ידי המתלונן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אשר נאחז בחלון הרכב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והפילו על הכביש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המערערים המשיכו בנסיעתם תוך שהם פוגעים ברכבם במתלונן השרוע על הכביש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ונמלטו מהמקום כשהטלפון ברשותם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בעקבות מעשים אלו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סבל המתלונן ממספר שברים בעצם האגן ובצוואר הירך</w:t>
      </w:r>
      <w:r>
        <w:rPr>
          <w:rFonts w:cs="Times New Roman;Times New Roman" w:ascii="Times New Roman;Times New Roman" w:hAnsi="Times New Roman;Times New Roman"/>
          <w:sz w:val="22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z w:val="22"/>
          <w:sz w:val="22"/>
          <w:rtl w:val="true"/>
        </w:rPr>
        <w:t>מפציעה בבית החזה וכן משפשופים מרובים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אשר הצריכו את ניתוחו ואת אשפוזו בבית החולים למשך מספר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 נגרמה למתלונן פגיעה נפשית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15.5.2018</w:t>
      </w:r>
      <w:r>
        <w:rPr>
          <w:rtl w:val="true"/>
        </w:rPr>
        <w:t xml:space="preserve"> </w:t>
      </w:r>
      <w:r>
        <w:rPr>
          <w:rtl w:val="true"/>
        </w:rPr>
        <w:t>הרשיע בית משפט קמא את המערערים בעבירות מושא כתב האישום על בסיס הודאתם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2.12.2018</w:t>
      </w:r>
      <w:r>
        <w:rPr>
          <w:rtl w:val="true"/>
        </w:rPr>
        <w:t xml:space="preserve"> </w:t>
      </w:r>
      <w:r>
        <w:rPr>
          <w:rtl w:val="true"/>
        </w:rPr>
        <w:t>גזר את דינם</w:t>
      </w:r>
      <w:r>
        <w:rPr>
          <w:rtl w:val="true"/>
        </w:rPr>
        <w:t xml:space="preserve">. </w:t>
      </w:r>
      <w:r>
        <w:rPr>
          <w:rtl w:val="true"/>
        </w:rPr>
        <w:t>בגזרי הדין עמד בית המשפט על הערכים החברתיים שבהם פגעו המערערים במעשיהם ועל חומרתם הרבה של עבירות הפקרה ושל מעשי שוד המבוצעים נגד קורבנות השייכים לאוכלוסיות מוחלשות</w:t>
      </w:r>
      <w:r>
        <w:rPr>
          <w:rtl w:val="true"/>
        </w:rPr>
        <w:t xml:space="preserve">. </w:t>
      </w:r>
      <w:r>
        <w:rPr>
          <w:rtl w:val="true"/>
        </w:rPr>
        <w:t>לאחר מכן שקל בית המשפט את נסיבות ביצוע העבירות ואת נזקיהן</w:t>
      </w:r>
      <w:r>
        <w:rPr>
          <w:rtl w:val="true"/>
        </w:rPr>
        <w:t xml:space="preserve">, </w:t>
      </w:r>
      <w:r>
        <w:rPr>
          <w:rtl w:val="true"/>
        </w:rPr>
        <w:t>וסקר את מדיניות הענישה הנוהגת בכגון דא</w:t>
      </w:r>
      <w:r>
        <w:rPr>
          <w:rtl w:val="true"/>
        </w:rPr>
        <w:t xml:space="preserve">; </w:t>
      </w:r>
      <w:r>
        <w:rPr>
          <w:rtl w:val="true"/>
        </w:rPr>
        <w:t xml:space="preserve">ובשים לב לכל אלה קבע כי מתחם הענישה ההולם בעניינם של המערערים נע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 xml:space="preserve">בהתייחסו לנסיבות שאינן קשורות בביצוע העבירות הנוגעות למערער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נתן בית המשפט דעתו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לעברו הפלילי של המערער ולהיותו משתמש בחומרים משני תודעה</w:t>
      </w:r>
      <w:r>
        <w:rPr>
          <w:rtl w:val="true"/>
        </w:rPr>
        <w:t xml:space="preserve">; </w:t>
      </w:r>
      <w:r>
        <w:rPr>
          <w:rtl w:val="true"/>
        </w:rPr>
        <w:t>ומאידך גיסא</w:t>
      </w:r>
      <w:r>
        <w:rPr>
          <w:rtl w:val="true"/>
        </w:rPr>
        <w:t xml:space="preserve">, </w:t>
      </w:r>
      <w:r>
        <w:rPr>
          <w:rtl w:val="true"/>
        </w:rPr>
        <w:t>לגילו הצעיר</w:t>
      </w:r>
      <w:r>
        <w:rPr>
          <w:rtl w:val="true"/>
        </w:rPr>
        <w:t xml:space="preserve">, </w:t>
      </w:r>
      <w:r>
        <w:rPr>
          <w:rtl w:val="true"/>
        </w:rPr>
        <w:t>לנסיבות חייו הלא פשוטות</w:t>
      </w:r>
      <w:r>
        <w:rPr>
          <w:rtl w:val="true"/>
        </w:rPr>
        <w:t xml:space="preserve">, </w:t>
      </w:r>
      <w:r>
        <w:rPr>
          <w:rtl w:val="true"/>
        </w:rPr>
        <w:t>להודאתו בעבירות אשר יוחסו לו</w:t>
      </w:r>
      <w:r>
        <w:rPr>
          <w:rtl w:val="true"/>
        </w:rPr>
        <w:t xml:space="preserve">, </w:t>
      </w:r>
      <w:r>
        <w:rPr>
          <w:rtl w:val="true"/>
        </w:rPr>
        <w:t>ללקיחתו אחריות על מעשיו ולהבעתו חרטה כנה על ביצועם</w:t>
      </w:r>
      <w:r>
        <w:rPr>
          <w:rtl w:val="true"/>
        </w:rPr>
        <w:t xml:space="preserve">, </w:t>
      </w:r>
      <w:r>
        <w:rPr>
          <w:rtl w:val="true"/>
        </w:rPr>
        <w:t>וכן לתקופה הממושכת בה שהה במעצר בפיקוח אלקטרוני ובמעצר מאחורי סורג ובריח</w:t>
      </w:r>
      <w:r>
        <w:rPr>
          <w:rtl w:val="true"/>
        </w:rPr>
        <w:t xml:space="preserve">. </w:t>
      </w:r>
      <w:r>
        <w:rPr>
          <w:rtl w:val="true"/>
        </w:rPr>
        <w:t xml:space="preserve">בבוחנו את הנסיבות שאינן קשורות בביצוע העבירות הנוגעות למערער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התייחס בית המשפט לגילו הצעיר</w:t>
      </w:r>
      <w:r>
        <w:rPr>
          <w:rtl w:val="true"/>
        </w:rPr>
        <w:t xml:space="preserve">; </w:t>
      </w:r>
      <w:r>
        <w:rPr>
          <w:rtl w:val="true"/>
        </w:rPr>
        <w:t>לנסיבות חייו הקשות</w:t>
      </w:r>
      <w:r>
        <w:rPr>
          <w:rtl w:val="true"/>
        </w:rPr>
        <w:t xml:space="preserve">; </w:t>
      </w:r>
      <w:r>
        <w:rPr>
          <w:rtl w:val="true"/>
        </w:rPr>
        <w:t xml:space="preserve">לכך שהוא נעדר עבר פלילי </w:t>
      </w:r>
      <w:r>
        <w:rPr>
          <w:rtl w:val="true"/>
        </w:rPr>
        <w:t>–</w:t>
      </w:r>
      <w:r>
        <w:rPr>
          <w:rtl w:val="true"/>
        </w:rPr>
        <w:t xml:space="preserve"> למעט עבירת תעבורה אחת שעניינה נהיגה בשכרות</w:t>
      </w:r>
      <w:r>
        <w:rPr>
          <w:rtl w:val="true"/>
        </w:rPr>
        <w:t xml:space="preserve">; </w:t>
      </w:r>
      <w:r>
        <w:rPr>
          <w:rtl w:val="true"/>
        </w:rPr>
        <w:t>לתקופה הארוכה בה היה נתון במעצר בפיקוח אלקטרוני ובמעצר מאחורי סורג ובריח</w:t>
      </w:r>
      <w:r>
        <w:rPr>
          <w:rtl w:val="true"/>
        </w:rPr>
        <w:t xml:space="preserve">; </w:t>
      </w:r>
      <w:r>
        <w:rPr>
          <w:rtl w:val="true"/>
        </w:rPr>
        <w:t xml:space="preserve">וכן להודאתו בביצוע העבירות שיוחסו לו </w:t>
      </w:r>
      <w:r>
        <w:rPr>
          <w:rtl w:val="true"/>
        </w:rPr>
        <w:t>(</w:t>
      </w:r>
      <w:r>
        <w:rPr>
          <w:rtl w:val="true"/>
        </w:rPr>
        <w:t>אשר להערכת בית המשפט</w:t>
      </w:r>
      <w:r>
        <w:rPr>
          <w:rtl w:val="true"/>
        </w:rPr>
        <w:t xml:space="preserve">, </w:t>
      </w:r>
      <w:r>
        <w:rPr>
          <w:rtl w:val="true"/>
        </w:rPr>
        <w:t>לא היתה מלווה בהבנתו המלאה של הפסול המוסרי שדבק במעשיו</w:t>
      </w:r>
      <w:r>
        <w:rPr>
          <w:rtl w:val="true"/>
        </w:rPr>
        <w:t xml:space="preserve">). </w:t>
      </w:r>
      <w:r>
        <w:rPr>
          <w:rtl w:val="true"/>
        </w:rPr>
        <w:t>כמו כן התייחס בית המשפט לתסקיר השלילי של שירות המבחן שהוגש בעניינו של מערער זה</w:t>
      </w:r>
      <w:r>
        <w:rPr>
          <w:rtl w:val="true"/>
        </w:rPr>
        <w:t xml:space="preserve">, </w:t>
      </w:r>
      <w:r>
        <w:rPr>
          <w:rtl w:val="true"/>
        </w:rPr>
        <w:t>אשר העריך כי נשקפת ממנו סכנה להישנות של התנהגות מפרת החוק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>לאחר ששקל את מארג השיקולים האמורים</w:t>
      </w:r>
      <w:r>
        <w:rPr>
          <w:rtl w:val="true"/>
        </w:rPr>
        <w:t xml:space="preserve">, </w:t>
      </w:r>
      <w:r>
        <w:rPr>
          <w:rtl w:val="true"/>
        </w:rPr>
        <w:t>קבע בית משפט קמא את עונשיהם של המערערים כמצויין לעיל</w:t>
      </w:r>
      <w:r>
        <w:rPr>
          <w:rtl w:val="true"/>
        </w:rPr>
        <w:t xml:space="preserve">. </w:t>
      </w:r>
      <w:r>
        <w:rPr>
          <w:rtl w:val="true"/>
        </w:rPr>
        <w:t xml:space="preserve">באשר להחלטתו להפעיל את המאסר המותנה נגד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ציין בית המשפט כי על אף שמבחינה טכנית</w:t>
      </w:r>
      <w:r>
        <w:rPr>
          <w:rtl w:val="true"/>
        </w:rPr>
        <w:t>-</w:t>
      </w:r>
      <w:r>
        <w:rPr>
          <w:rtl w:val="true"/>
        </w:rPr>
        <w:t>פורמלית המערער לא ביצע את אחת העבירות נשוא התנאי שנקבע ב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30983-12-15</w:t>
      </w:r>
      <w:r>
        <w:rPr>
          <w:rtl w:val="true"/>
        </w:rPr>
        <w:t xml:space="preserve">, </w:t>
      </w:r>
      <w:r>
        <w:rPr>
          <w:rtl w:val="true"/>
        </w:rPr>
        <w:t xml:space="preserve">אשר מונה את כל העבירות </w:t>
      </w:r>
      <w:hyperlink r:id="rId20">
        <w:r>
          <w:rPr>
            <w:rStyle w:val="Hyperlink"/>
            <w:color w:val="0000FF"/>
            <w:u w:val="single"/>
            <w:rtl w:val="true"/>
          </w:rPr>
          <w:t>שבסימן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 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הרי שבפועל הוא גרם למתלונן לחבלות חמורות</w:t>
      </w:r>
      <w:r>
        <w:rPr>
          <w:rtl w:val="true"/>
        </w:rPr>
        <w:t xml:space="preserve">, </w:t>
      </w:r>
      <w:r>
        <w:rPr>
          <w:rtl w:val="true"/>
        </w:rPr>
        <w:t>ועל כן יש להפעיל את מאסרו המותנה בהתאם להלכה שנפסקה ב</w:t>
      </w:r>
      <w:hyperlink r:id="rId22">
        <w:bookmarkStart w:id="18" w:name="Text1"/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49/80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מסילתי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cs="Century" w:ascii="Century" w:hAnsi="Century"/>
            <w:sz w:val="22"/>
            <w:rtl w:val="true"/>
          </w:rPr>
          <w:t>''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ד לד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808</w:t>
      </w:r>
      <w:bookmarkEnd w:id="18"/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1980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מסילתי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eastAsia="Century" w:cs="Century"/>
          <w:sz w:val="22"/>
        </w:rPr>
      </w:pPr>
      <w:r>
        <w:rPr>
          <w:rFonts w:eastAsia="Century" w:cs="Century" w:ascii="Century" w:hAnsi="Century"/>
          <w:sz w:val="22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6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>העונשים אשר הושתו עליהם בגזרי הדין קמא אינם מידתיים בחומרתם וחורגים ממדיניות הענישה הנוהגת ביחס לעבירות בהן הם הורשעו</w:t>
      </w:r>
      <w:r>
        <w:rPr>
          <w:rtl w:val="true"/>
        </w:rPr>
        <w:t xml:space="preserve">. </w:t>
      </w:r>
      <w:r>
        <w:rPr>
          <w:rtl w:val="true"/>
        </w:rPr>
        <w:t>לדבריהם</w:t>
      </w:r>
      <w:r>
        <w:rPr>
          <w:rtl w:val="true"/>
        </w:rPr>
        <w:t xml:space="preserve">, </w:t>
      </w:r>
      <w:r>
        <w:rPr>
          <w:rtl w:val="true"/>
        </w:rPr>
        <w:t xml:space="preserve">בגזירת עונשיהם זקף בית משפט קמא לחובתם נסיבות מחמירות </w:t>
      </w:r>
      <w:r>
        <w:rPr>
          <w:rFonts w:ascii="Century" w:hAnsi="Century" w:cs="Century"/>
          <w:spacing w:val="6"/>
          <w:sz w:val="22"/>
          <w:sz w:val="22"/>
          <w:rtl w:val="true"/>
        </w:rPr>
        <w:t xml:space="preserve">אשר לא </w:t>
      </w:r>
      <w:r>
        <w:rPr>
          <w:rFonts w:ascii="Century" w:hAnsi="Century" w:cs="Century"/>
          <w:spacing w:val="6"/>
          <w:sz w:val="22"/>
          <w:sz w:val="22"/>
          <w:rtl w:val="true"/>
        </w:rPr>
        <w:t xml:space="preserve">צויינו </w:t>
      </w:r>
      <w:r>
        <w:rPr>
          <w:rFonts w:ascii="Century" w:hAnsi="Century" w:cs="Century"/>
          <w:spacing w:val="6"/>
          <w:sz w:val="22"/>
          <w:sz w:val="22"/>
          <w:rtl w:val="true"/>
        </w:rPr>
        <w:t>בכתב האישום המתוקן</w:t>
      </w:r>
      <w:r>
        <w:rPr>
          <w:rtl w:val="true"/>
        </w:rPr>
        <w:t xml:space="preserve"> ואשר לא הוכחו ולא נתקיימו במציאות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לא נתן משקל ראוי לנסיבות מקלות שונות שפורטו בערעוריהם</w:t>
      </w:r>
      <w:r>
        <w:rPr>
          <w:rtl w:val="true"/>
        </w:rPr>
        <w:t xml:space="preserve">. </w:t>
      </w:r>
      <w:r>
        <w:rPr>
          <w:rtl w:val="true"/>
        </w:rPr>
        <w:t>כמו כן טענו המערערים</w:t>
      </w:r>
      <w:r>
        <w:rPr>
          <w:rtl w:val="true"/>
        </w:rPr>
        <w:t xml:space="preserve">, </w:t>
      </w:r>
      <w:r>
        <w:rPr>
          <w:rtl w:val="true"/>
        </w:rPr>
        <w:t>כי בית המשפט קבע שני מתחמי ענישה שונים לעבירות בהן הם הורשעו</w:t>
      </w:r>
      <w:r>
        <w:rPr>
          <w:rtl w:val="true"/>
        </w:rPr>
        <w:t xml:space="preserve">, </w:t>
      </w:r>
      <w:r>
        <w:rPr>
          <w:rtl w:val="true"/>
        </w:rPr>
        <w:t>דבר שהביא להחמרה לא מידתית בעונשיהם</w:t>
      </w:r>
      <w:r>
        <w:rPr>
          <w:rtl w:val="true"/>
        </w:rPr>
        <w:t xml:space="preserve">. </w:t>
      </w:r>
      <w:r>
        <w:rPr>
          <w:rtl w:val="true"/>
        </w:rPr>
        <w:t>בנוסף לטענות האמורות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הלין על החלטת בית משפט קמא מיום </w:t>
      </w:r>
      <w:r>
        <w:rPr/>
        <w:t>21.6.2018</w:t>
      </w:r>
      <w:r>
        <w:rPr>
          <w:rtl w:val="true"/>
        </w:rPr>
        <w:t xml:space="preserve"> </w:t>
      </w:r>
      <w:r>
        <w:rPr>
          <w:rtl w:val="true"/>
        </w:rPr>
        <w:t>שלא לשחררו לחלופת מעצר טיפולית בזמן שהיה עצור עד תום ההליכים</w:t>
      </w:r>
      <w:r>
        <w:rPr>
          <w:rtl w:val="true"/>
        </w:rPr>
        <w:t xml:space="preserve">. </w:t>
      </w:r>
      <w:r>
        <w:rPr>
          <w:rtl w:val="true"/>
        </w:rPr>
        <w:t>נוכח דברים אלו</w:t>
      </w:r>
      <w:r>
        <w:rPr>
          <w:rtl w:val="true"/>
        </w:rPr>
        <w:t xml:space="preserve">, </w:t>
      </w:r>
      <w:r>
        <w:rPr>
          <w:rtl w:val="true"/>
        </w:rPr>
        <w:t>מבקשים מאתנו המערערים כי נקל בעונשי המאסר שהושתו עליהם ככל שניתן וכי נבטל את הקנסות שהוטלו עליהם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מבקש גם כי נקצר את התקופה של פסילת רישיונ</w:t>
      </w:r>
      <w:r>
        <w:rPr>
          <w:rtl w:val="true"/>
        </w:rPr>
        <w:t>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 </w:t>
      </w:r>
      <w:r>
        <w:rPr>
          <w:rtl w:val="true"/>
        </w:rPr>
        <w:t>סומכת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ידיה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ומבקשת</w:t>
      </w:r>
      <w:r>
        <w:rPr>
          <w:rtl w:val="true"/>
        </w:rPr>
        <w:t xml:space="preserve"> </w:t>
      </w:r>
      <w:r>
        <w:rPr>
          <w:rtl w:val="true"/>
        </w:rPr>
        <w:t>מאתנו כי נדחה את שני הערעורים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>לא ראיתי סיבה להתערב בעונשים אשר הושתו על המערערים על ידי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ועל כן אציע לחבריי לדחות את שני הערעורים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 xml:space="preserve">בכפוף להערותיי הנוגעות למאסר המותנה אשר הופעל נגד המערער </w:t>
      </w:r>
      <w:r>
        <w:rPr/>
        <w:t>1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>הלכה היא עמנו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סטייה</w:t>
      </w:r>
      <w:r>
        <w:rPr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 </w:t>
      </w:r>
      <w:r>
        <w:rPr>
          <w:rtl w:val="true"/>
        </w:rPr>
        <w:t>ממדיניות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נפלה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2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6577/10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</w:t>
      </w:r>
      <w:r>
        <w:rPr/>
        <w:t>11</w:t>
      </w:r>
      <w:r>
        <w:rPr/>
        <w:t>.2013</w:t>
      </w:r>
      <w:r>
        <w:rPr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ו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3619/18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9.1.2019</w:t>
      </w:r>
      <w:r>
        <w:rPr>
          <w:rtl w:val="true"/>
        </w:rPr>
        <w:t xml:space="preserve">)). </w:t>
      </w:r>
      <w:r>
        <w:rPr>
          <w:rtl w:val="true"/>
        </w:rPr>
        <w:t>כפי שאסביר להלן</w:t>
      </w:r>
      <w:r>
        <w:rPr>
          <w:rtl w:val="true"/>
        </w:rPr>
        <w:t xml:space="preserve">, </w:t>
      </w:r>
      <w:r>
        <w:rPr>
          <w:rtl w:val="true"/>
        </w:rPr>
        <w:t>עניינם של המערערים דכאן איננו</w:t>
      </w:r>
      <w:r>
        <w:rPr>
          <w:rtl w:val="true"/>
        </w:rPr>
        <w:t xml:space="preserve"> </w:t>
      </w:r>
      <w:r>
        <w:rPr>
          <w:rtl w:val="true"/>
        </w:rPr>
        <w:t>נמנה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 חריגים</w:t>
      </w:r>
      <w:r>
        <w:rPr>
          <w:rtl w:val="true"/>
        </w:rPr>
        <w:t xml:space="preserve"> </w:t>
      </w:r>
      <w:r>
        <w:rPr>
          <w:rtl w:val="true"/>
        </w:rPr>
        <w:t xml:space="preserve">אשר </w:t>
      </w:r>
      <w:r>
        <w:rPr>
          <w:rtl w:val="true"/>
        </w:rPr>
        <w:t>מצדיקים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שהושת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10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אכן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,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>ניתן לסבור כי המקרה שלפנינו איננו שגרתי</w:t>
      </w:r>
      <w:r>
        <w:rPr>
          <w:rFonts w:cs="FrankRuehl;Times New Roman" w:ascii="FrankRuehl;Times New Roman" w:hAnsi="FrankRuehl;Times New Roman"/>
          <w:sz w:val="28"/>
          <w:rtl w:val="true"/>
        </w:rPr>
        <w:t>,</w:t>
      </w:r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באשר </w:t>
      </w:r>
      <w:r>
        <w:rPr>
          <w:rtl w:val="true"/>
        </w:rPr>
        <w:t>לא קיימים תקדימי ענישה התואמים במדויק את נסיבותיו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עיון בגזרי הדין נושא הערעור מעלה כי </w:t>
      </w:r>
      <w:r>
        <w:rPr>
          <w:rFonts w:ascii="Arial TUR;Arial" w:hAnsi="Arial TUR;Arial" w:cs="Arial TUR;Arial"/>
          <w:rtl w:val="true"/>
        </w:rPr>
        <w:t>בית משפט קמא</w:t>
      </w:r>
      <w:r>
        <w:rPr>
          <w:rtl w:val="true"/>
        </w:rPr>
        <w:t xml:space="preserve"> לא התעלם מקושי זה </w:t>
      </w:r>
      <w:r>
        <w:rPr>
          <w:rtl w:val="true"/>
        </w:rPr>
        <w:t>–</w:t>
      </w:r>
      <w:r>
        <w:rPr>
          <w:rtl w:val="true"/>
        </w:rPr>
        <w:t xml:space="preserve"> נהפוך הוא</w:t>
      </w:r>
      <w:r>
        <w:rPr>
          <w:rtl w:val="true"/>
        </w:rPr>
        <w:t xml:space="preserve">. </w:t>
      </w:r>
      <w:r>
        <w:rPr>
          <w:rtl w:val="true"/>
        </w:rPr>
        <w:t>בית המשפט נדרש אליו</w:t>
      </w:r>
      <w:r>
        <w:rPr>
          <w:rtl w:val="true"/>
        </w:rPr>
        <w:t xml:space="preserve">, </w:t>
      </w:r>
      <w:r>
        <w:rPr>
          <w:rtl w:val="true"/>
        </w:rPr>
        <w:t xml:space="preserve">הפעיל שיקול דעת </w:t>
      </w:r>
      <w:r>
        <w:rPr>
          <w:rtl w:val="true"/>
        </w:rPr>
        <w:t>זהיר ומאוזן</w:t>
      </w:r>
      <w:r>
        <w:rPr>
          <w:rtl w:val="true"/>
        </w:rPr>
        <w:t xml:space="preserve">, </w:t>
      </w:r>
      <w:r>
        <w:rPr>
          <w:rFonts w:ascii="Arial TUR;Arial" w:hAnsi="Arial TUR;Arial" w:cs="Arial TUR;Arial"/>
          <w:rtl w:val="true"/>
        </w:rPr>
        <w:t xml:space="preserve">שקל את כל השיקולים הצריכים לעניין העונש </w:t>
      </w:r>
      <w:r>
        <w:rPr>
          <w:rtl w:val="true"/>
        </w:rPr>
        <w:t>והתאים את העונשים שהושתו על המערערים לנסיבות העבירות שבוצעו על ידיהם ולנסיבותיו האישיות של כל אחד מהם</w:t>
      </w:r>
      <w:r>
        <w:rPr>
          <w:rtl w:val="true"/>
        </w:rPr>
        <w:t xml:space="preserve">. </w:t>
      </w:r>
      <w:r>
        <w:rPr>
          <w:rFonts w:ascii="Arial TUR;Arial" w:hAnsi="Arial TUR;Arial" w:cs="Arial TUR;Arial"/>
          <w:rtl w:val="true"/>
        </w:rPr>
        <w:t>אין אפוא בגזרי הדין קמא שום טעות מהותית אשר מצדיקה את התערבותנו</w:t>
      </w:r>
      <w:r>
        <w:rPr>
          <w:rFonts w:cs="Arial TUR;Arial" w:ascii="Arial TUR;Arial" w:hAnsi="Arial TUR;Arial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סבורני כי אין מקום לשעות לטרוניה שהעלו המערערים ביחס לחומרת עונשיהם</w:t>
      </w:r>
      <w:r>
        <w:rPr>
          <w:rtl w:val="true"/>
        </w:rPr>
        <w:t xml:space="preserve">. </w:t>
      </w:r>
      <w:r>
        <w:rPr>
          <w:rtl w:val="true"/>
        </w:rPr>
        <w:t xml:space="preserve">העונשים הקבועים בצד העבירות בהן הם הורשעו עומדים על עשרים שנות מאסר </w:t>
      </w:r>
      <w:r>
        <w:rPr>
          <w:rtl w:val="true"/>
        </w:rPr>
        <w:t>(</w:t>
      </w:r>
      <w:r>
        <w:rPr>
          <w:rtl w:val="true"/>
        </w:rPr>
        <w:t>בגין שוד בנסיבות מחמירות</w:t>
      </w:r>
      <w:r>
        <w:rPr>
          <w:rtl w:val="true"/>
        </w:rPr>
        <w:t xml:space="preserve">) </w:t>
      </w:r>
      <w:r>
        <w:rPr>
          <w:rtl w:val="true"/>
        </w:rPr>
        <w:t xml:space="preserve">ועל שלוש שנות מאסר </w:t>
      </w:r>
      <w:r>
        <w:rPr>
          <w:rtl w:val="true"/>
        </w:rPr>
        <w:t>(</w:t>
      </w:r>
      <w:r>
        <w:rPr>
          <w:rtl w:val="true"/>
        </w:rPr>
        <w:t>בגין הפקרה אחרי פגיעה</w:t>
      </w:r>
      <w:r>
        <w:rPr>
          <w:rtl w:val="true"/>
        </w:rPr>
        <w:t xml:space="preserve">). </w:t>
      </w:r>
      <w:r>
        <w:rPr>
          <w:rtl w:val="true"/>
        </w:rPr>
        <w:t xml:space="preserve">העונשים שהושתו על המערערים אינם מגיעים אפילו למחצית מעונשי מקסימום </w:t>
      </w:r>
      <w:r>
        <w:rPr>
          <w:rFonts w:ascii="Century" w:hAnsi="Century" w:cs="Century"/>
          <w:sz w:val="22"/>
          <w:sz w:val="22"/>
          <w:rtl w:val="true"/>
        </w:rPr>
        <w:t>אלה</w:t>
      </w:r>
      <w:r>
        <w:rPr>
          <w:rFonts w:cs="Century" w:ascii="Century" w:hAnsi="Century"/>
          <w:sz w:val="22"/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tl w:val="true"/>
        </w:rPr>
        <w:t xml:space="preserve">כבר </w:t>
      </w:r>
      <w:r>
        <w:rPr>
          <w:rtl w:val="true"/>
        </w:rPr>
        <w:t>נ</w:t>
      </w:r>
      <w:r>
        <w:rPr>
          <w:rtl w:val="true"/>
        </w:rPr>
        <w:t>זדמן לי להעיר</w:t>
      </w:r>
      <w:r>
        <w:rPr>
          <w:rtl w:val="true"/>
        </w:rPr>
        <w:t xml:space="preserve"> 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sz w:val="28"/>
          <w:rtl w:val="true"/>
        </w:rPr>
        <w:t>(‏</w:t>
      </w:r>
      <w:r>
        <w:rPr>
          <w:sz w:val="28"/>
        </w:rPr>
        <w:t>16.8.2019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כי עונשי המקסימום הקבועים בצד עבירות אינם רק מגדירים את גבולה העליון של סמכות הענישה שבידי בתי המשפט</w:t>
      </w:r>
      <w:r>
        <w:rPr>
          <w:rtl w:val="true"/>
        </w:rPr>
        <w:t xml:space="preserve">, </w:t>
      </w:r>
      <w:r>
        <w:rPr>
          <w:rtl w:val="true"/>
        </w:rPr>
        <w:t>אלא גם מבטאים את עמדת המחוקק ביחס לחומרת העבירות</w:t>
      </w:r>
      <w:r>
        <w:rPr>
          <w:rtl w:val="true"/>
        </w:rPr>
        <w:t xml:space="preserve">. </w:t>
      </w:r>
      <w:r>
        <w:rPr>
          <w:rtl w:val="true"/>
        </w:rPr>
        <w:t>כפי שציינתי שם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>בקבעו את עונשי מקסימום אלו המחוקק לא דיבר לריק – שומה עלינו להתאים את הענישה הנוהגת לעמדתו זו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במקרה דכאן</w:t>
      </w:r>
      <w:r>
        <w:rPr>
          <w:rtl w:val="true"/>
        </w:rPr>
        <w:t xml:space="preserve">, </w:t>
      </w:r>
      <w:r>
        <w:rPr>
          <w:rtl w:val="true"/>
        </w:rPr>
        <w:t>המערערים שדדו נער בעל צרכים מיוחדים</w:t>
      </w:r>
      <w:r>
        <w:rPr>
          <w:rtl w:val="true"/>
        </w:rPr>
        <w:t xml:space="preserve">, </w:t>
      </w:r>
      <w:r>
        <w:rPr>
          <w:rtl w:val="true"/>
        </w:rPr>
        <w:t>תוך פגיעה בגופו עם כלי רכב</w:t>
      </w:r>
      <w:r>
        <w:rPr>
          <w:rtl w:val="true"/>
        </w:rPr>
        <w:t xml:space="preserve">, </w:t>
      </w:r>
      <w:r>
        <w:rPr>
          <w:rtl w:val="true"/>
        </w:rPr>
        <w:t>ולאחר מכן נמלטו מהמקום והשאירוהו פצוע ללא עזרה</w:t>
      </w:r>
      <w:r>
        <w:rPr>
          <w:rtl w:val="true"/>
        </w:rPr>
        <w:t xml:space="preserve">. </w:t>
      </w:r>
      <w:r>
        <w:rPr>
          <w:rtl w:val="true"/>
        </w:rPr>
        <w:t>מדובר במעשים חמורים מאד</w:t>
      </w:r>
      <w:r>
        <w:rPr>
          <w:rtl w:val="true"/>
        </w:rPr>
        <w:t xml:space="preserve">, </w:t>
      </w:r>
      <w:r>
        <w:rPr>
          <w:rtl w:val="true"/>
        </w:rPr>
        <w:t>שאליהם נלוו נסיבות מחמירות נוספות אשר כוללות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את תכנונו המוקדם של השוד</w:t>
      </w:r>
      <w:r>
        <w:rPr>
          <w:rtl w:val="true"/>
        </w:rPr>
        <w:t xml:space="preserve">; </w:t>
      </w:r>
      <w:r>
        <w:rPr>
          <w:rtl w:val="true"/>
        </w:rPr>
        <w:t>את ביצועו בצוותא חדא יחד עם עבירה נוספת</w:t>
      </w:r>
      <w:r>
        <w:rPr>
          <w:rtl w:val="true"/>
        </w:rPr>
        <w:t xml:space="preserve">; </w:t>
      </w:r>
      <w:r>
        <w:rPr>
          <w:rtl w:val="true"/>
        </w:rPr>
        <w:t>את השימוש בכלי רכב</w:t>
      </w:r>
      <w:r>
        <w:rPr>
          <w:rtl w:val="true"/>
        </w:rPr>
        <w:t xml:space="preserve">; </w:t>
      </w:r>
      <w:r>
        <w:rPr>
          <w:rtl w:val="true"/>
        </w:rPr>
        <w:t>את הבחירה בקטין כקורבן</w:t>
      </w:r>
      <w:r>
        <w:rPr>
          <w:rtl w:val="true"/>
        </w:rPr>
        <w:t xml:space="preserve">; </w:t>
      </w:r>
      <w:r>
        <w:rPr>
          <w:rtl w:val="true"/>
        </w:rPr>
        <w:t>ואת הנזקים הפיזיים והנפשיים שנגרמו למתלונן ולמשפחתו</w:t>
      </w:r>
      <w:r>
        <w:rPr>
          <w:rtl w:val="true"/>
        </w:rPr>
        <w:t xml:space="preserve">. </w:t>
      </w:r>
      <w:r>
        <w:rPr>
          <w:rtl w:val="true"/>
        </w:rPr>
        <w:t>ברי הוא</w:t>
      </w:r>
      <w:r>
        <w:rPr>
          <w:rtl w:val="true"/>
        </w:rPr>
        <w:t xml:space="preserve">, </w:t>
      </w:r>
      <w:r>
        <w:rPr>
          <w:rtl w:val="true"/>
        </w:rPr>
        <w:t>כי מעשיהם של המערערים מצויים בדרגת חומרה בינונית</w:t>
      </w:r>
      <w:r>
        <w:rPr>
          <w:rtl w:val="true"/>
        </w:rPr>
        <w:t>-</w:t>
      </w:r>
      <w:r>
        <w:rPr>
          <w:rtl w:val="true"/>
        </w:rPr>
        <w:t>גבוהה לפחות</w:t>
      </w:r>
      <w:r>
        <w:rPr>
          <w:rtl w:val="true"/>
        </w:rPr>
        <w:t xml:space="preserve">;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הם מחייבים הטלת עונש חמור ומרתיע כשלעצמם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סבורני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כן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גזרי הדין קמא הינם מוצדקים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מאוזנים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ומבטאים התחשבות ראויה גם בנסיבותיהם המקלות של המערערים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משכך הוא הדבר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אינני רואה סיבה להתערב בעונשי המאסר שנגזרו על המערערים וברכיבי העונש האחרים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כוללים פסילת רישיון וקנסות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 xml:space="preserve">באשר להחלטת בית משפט קמא להפעיל את עונש המאסר המותנה שעמד לחובת המערער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–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סבורני כי הנימוקים שעמדו בבסיס החלטה זאת היו שגויים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לצד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מצאתי כי מן הדין היה להפעיל את עונש המאסר המותנה מנימוקים אחרים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ואסביר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מסילתי</w:t>
      </w:r>
      <w:r>
        <w:rPr>
          <w:rtl w:val="true"/>
        </w:rPr>
        <w:t xml:space="preserve">, </w:t>
      </w:r>
      <w:r>
        <w:rPr>
          <w:rtl w:val="true"/>
        </w:rPr>
        <w:t>אשר חלה בכגון דא ולפיה אנו פועלים</w:t>
      </w:r>
      <w:r>
        <w:rPr>
          <w:rtl w:val="true"/>
        </w:rPr>
        <w:t xml:space="preserve">, </w:t>
      </w:r>
      <w:r>
        <w:rPr>
          <w:rtl w:val="true"/>
        </w:rPr>
        <w:t>קבעה מבחן מהותי</w:t>
      </w:r>
      <w:r>
        <w:rPr>
          <w:rtl w:val="true"/>
        </w:rPr>
        <w:t>-</w:t>
      </w:r>
      <w:r>
        <w:rPr>
          <w:rtl w:val="true"/>
        </w:rPr>
        <w:t>ענייני להפעלתו של מאסר על תנאי</w:t>
      </w:r>
      <w:r>
        <w:rPr>
          <w:rtl w:val="true"/>
        </w:rPr>
        <w:t xml:space="preserve">. </w:t>
      </w:r>
      <w:r>
        <w:rPr>
          <w:rtl w:val="true"/>
        </w:rPr>
        <w:t xml:space="preserve">מבחן זה נועד </w:t>
      </w:r>
      <w:r>
        <w:rPr>
          <w:rFonts w:ascii="FrankRuehl;Times New Roman" w:hAnsi="FrankRuehl;Times New Roman" w:cs="FrankRuehl;Times New Roman"/>
          <w:color w:val="000000"/>
          <w:sz w:val="20"/>
          <w:sz w:val="20"/>
          <w:rtl w:val="true"/>
        </w:rPr>
        <w:t xml:space="preserve">לאפשר את הגשמת </w:t>
      </w:r>
      <w:r>
        <w:rPr>
          <w:rFonts w:ascii="FrankRuehl;Times New Roman" w:hAnsi="FrankRuehl;Times New Roman" w:cs="FrankRuehl;Times New Roman"/>
          <w:color w:val="000000"/>
          <w:sz w:val="20"/>
          <w:sz w:val="20"/>
          <w:rtl w:val="true"/>
        </w:rPr>
        <w:t xml:space="preserve">התכלית ההרתעתית העומדת ביסוד </w:t>
      </w:r>
      <w:r>
        <w:rPr>
          <w:rFonts w:ascii="FrankRuehl;Times New Roman" w:hAnsi="FrankRuehl;Times New Roman" w:cs="FrankRuehl;Times New Roman"/>
          <w:color w:val="000000"/>
          <w:sz w:val="20"/>
          <w:sz w:val="20"/>
          <w:rtl w:val="true"/>
        </w:rPr>
        <w:t>העונש</w:t>
      </w:r>
      <w:r>
        <w:rPr>
          <w:rFonts w:ascii="FrankRuehl;Times New Roman" w:hAnsi="FrankRuehl;Times New Roman" w:cs="FrankRuehl;Times New Roman"/>
          <w:color w:val="000000"/>
          <w:sz w:val="20"/>
          <w:sz w:val="20"/>
          <w:rtl w:val="true"/>
        </w:rPr>
        <w:t xml:space="preserve"> המותנה</w:t>
      </w:r>
      <w:r>
        <w:rPr>
          <w:rFonts w:cs="FrankRuehl;Times New Roman" w:ascii="FrankRuehl;Times New Roman" w:hAnsi="FrankRuehl;Times New Roman"/>
          <w:color w:val="000000"/>
          <w:sz w:val="20"/>
          <w:rtl w:val="true"/>
        </w:rPr>
        <w:t xml:space="preserve">. </w:t>
      </w:r>
      <w:r>
        <w:rPr>
          <w:rFonts w:ascii="FrankRuehl;Times New Roman" w:hAnsi="FrankRuehl;Times New Roman" w:cs="FrankRuehl;Times New Roman"/>
          <w:color w:val="000000"/>
          <w:sz w:val="20"/>
          <w:sz w:val="20"/>
          <w:rtl w:val="true"/>
        </w:rPr>
        <w:t>בתור שכזה</w:t>
      </w:r>
      <w:r>
        <w:rPr>
          <w:rFonts w:cs="FrankRuehl;Times New Roman" w:ascii="FrankRuehl;Times New Roman" w:hAnsi="FrankRuehl;Times New Roman"/>
          <w:color w:val="000000"/>
          <w:sz w:val="20"/>
          <w:rtl w:val="true"/>
        </w:rPr>
        <w:t xml:space="preserve">, </w:t>
      </w:r>
      <w:r>
        <w:rPr>
          <w:rtl w:val="true"/>
        </w:rPr>
        <w:t>מתמקד המבחן ביסודות העבירה הנוספת שעבר הנאשם ובשאלה האם יסודות אלו</w:t>
      </w:r>
      <w:r>
        <w:rPr>
          <w:rtl w:val="true"/>
        </w:rPr>
        <w:t xml:space="preserve">, </w:t>
      </w:r>
      <w:r>
        <w:rPr>
          <w:rtl w:val="true"/>
        </w:rPr>
        <w:t>כולם או מקצתם</w:t>
      </w:r>
      <w:r>
        <w:rPr>
          <w:rtl w:val="true"/>
        </w:rPr>
        <w:t xml:space="preserve">, </w:t>
      </w:r>
      <w:r>
        <w:rPr>
          <w:rtl w:val="true"/>
        </w:rPr>
        <w:t xml:space="preserve">חופפים את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tl w:val="true"/>
        </w:rPr>
        <w:t xml:space="preserve"> יסודותיה של עבירת התנאי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היסודות</w:t>
      </w:r>
      <w:r>
        <w:rPr>
          <w:rtl w:val="true"/>
        </w:rPr>
        <w:t xml:space="preserve">). </w:t>
      </w:r>
      <w:r>
        <w:rPr>
          <w:rtl w:val="true"/>
        </w:rPr>
        <w:t>כאשר התשובה לשאלה זאת היא חיובית</w:t>
      </w:r>
      <w:r>
        <w:rPr>
          <w:rtl w:val="true"/>
        </w:rPr>
        <w:t xml:space="preserve">, </w:t>
      </w:r>
      <w:r>
        <w:rPr>
          <w:rtl w:val="true"/>
        </w:rPr>
        <w:t>ברי הוא כי הנאשם חזר לסורו וביצע את המעשה האסור הכלול בתנאי</w:t>
      </w:r>
      <w:r>
        <w:rPr>
          <w:rtl w:val="true"/>
        </w:rPr>
        <w:t xml:space="preserve">, </w:t>
      </w:r>
      <w:r>
        <w:rPr>
          <w:rtl w:val="true"/>
        </w:rPr>
        <w:t xml:space="preserve">ועל כן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יש </w:t>
      </w:r>
      <w:r>
        <w:rPr>
          <w:rFonts w:ascii="FrankRuehl;Times New Roman" w:hAnsi="FrankRuehl;Times New Roman" w:cs="FrankRuehl;Times New Roman"/>
          <w:sz w:val="28"/>
          <w:sz w:val="28"/>
          <w:rtl w:val="true"/>
        </w:rPr>
        <w:t xml:space="preserve">מקום להפעלת התנאי אף באין זהות טכנית בין שתי העבירות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מסילתי</w:t>
      </w:r>
      <w:r>
        <w:rPr>
          <w:rtl w:val="true"/>
        </w:rPr>
        <w:t xml:space="preserve">, </w:t>
      </w:r>
      <w:r>
        <w:rPr>
          <w:rtl w:val="true"/>
        </w:rPr>
        <w:t xml:space="preserve">עמוד </w:t>
      </w:r>
      <w:r>
        <w:rPr/>
        <w:t>811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624/75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גלאגל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/>
        <w:t>222</w:t>
      </w:r>
      <w:r>
        <w:rPr>
          <w:rtl w:val="true"/>
        </w:rPr>
        <w:t xml:space="preserve">, </w:t>
      </w:r>
      <w:r>
        <w:rPr/>
        <w:t>224</w:t>
      </w:r>
      <w:r>
        <w:rPr>
          <w:rtl w:val="true"/>
        </w:rPr>
        <w:t xml:space="preserve"> (</w:t>
      </w:r>
      <w:r>
        <w:rPr/>
        <w:t>1976</w:t>
      </w:r>
      <w:r>
        <w:rPr>
          <w:rtl w:val="true"/>
        </w:rPr>
        <w:t xml:space="preserve">);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גוטמן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נד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145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פלר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יסודות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עונשין</w:t>
        </w:r>
      </w:hyperlink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 </w:t>
      </w:r>
      <w:r>
        <w:rPr/>
        <w:t>475-474</w:t>
      </w:r>
      <w:r>
        <w:rPr>
          <w:rtl w:val="true"/>
        </w:rPr>
        <w:t xml:space="preserve"> (</w:t>
      </w:r>
      <w:r>
        <w:rPr/>
        <w:t>1984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מבחן היסודות האמור איננו חל כאשר עבירת התנאי מוגדרת באמצעות משפחת עבירות</w:t>
      </w:r>
      <w:r>
        <w:rPr>
          <w:rtl w:val="true"/>
        </w:rPr>
        <w:t xml:space="preserve">, </w:t>
      </w:r>
      <w:r>
        <w:rPr>
          <w:rtl w:val="true"/>
        </w:rPr>
        <w:t xml:space="preserve">דוגמת </w:t>
      </w:r>
      <w:r>
        <w:rPr>
          <w:rtl w:val="true"/>
        </w:rPr>
        <w:t>"</w:t>
      </w:r>
      <w:r>
        <w:rPr>
          <w:rtl w:val="true"/>
        </w:rPr>
        <w:t>עבירות נגד רכוש</w:t>
      </w:r>
      <w:r>
        <w:rPr>
          <w:rtl w:val="true"/>
        </w:rPr>
        <w:t>", "</w:t>
      </w:r>
      <w:r>
        <w:rPr>
          <w:rtl w:val="true"/>
        </w:rPr>
        <w:t>עבירות סמים</w:t>
      </w:r>
      <w:r>
        <w:rPr>
          <w:rtl w:val="true"/>
        </w:rPr>
        <w:t>", "</w:t>
      </w:r>
      <w:r>
        <w:rPr>
          <w:rtl w:val="true"/>
        </w:rPr>
        <w:t>עבירות מין</w:t>
      </w:r>
      <w:r>
        <w:rPr>
          <w:rtl w:val="true"/>
        </w:rPr>
        <w:t xml:space="preserve">" </w:t>
      </w:r>
      <w:r>
        <w:rPr>
          <w:rtl w:val="true"/>
        </w:rPr>
        <w:t xml:space="preserve">או </w:t>
      </w:r>
      <w:r>
        <w:rPr>
          <w:rtl w:val="true"/>
        </w:rPr>
        <w:t>"</w:t>
      </w:r>
      <w:r>
        <w:rPr>
          <w:rtl w:val="true"/>
        </w:rPr>
        <w:t>עבירות אלימות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ולא באמצעות סעיפי עבירה ספציפיים כמו במקרה שלפנינו</w:t>
      </w:r>
      <w:r>
        <w:rPr>
          <w:rtl w:val="true"/>
        </w:rPr>
        <w:t xml:space="preserve">. </w:t>
      </w:r>
      <w:r>
        <w:rPr>
          <w:rtl w:val="true"/>
        </w:rPr>
        <w:t>במקרים אלו</w:t>
      </w:r>
      <w:r>
        <w:rPr>
          <w:rtl w:val="true"/>
        </w:rPr>
        <w:t xml:space="preserve">, </w:t>
      </w:r>
      <w:r>
        <w:rPr>
          <w:rtl w:val="true"/>
        </w:rPr>
        <w:t>ובהם בלבד</w:t>
      </w:r>
      <w:r>
        <w:rPr>
          <w:rtl w:val="true"/>
        </w:rPr>
        <w:t xml:space="preserve">, </w:t>
      </w:r>
      <w:r>
        <w:rPr>
          <w:rtl w:val="true"/>
        </w:rPr>
        <w:t>יחול מבחן אחר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הרציונל</w:t>
      </w:r>
      <w:r>
        <w:rPr>
          <w:rtl w:val="true"/>
        </w:rPr>
        <w:t xml:space="preserve">, </w:t>
      </w:r>
      <w:r>
        <w:rPr>
          <w:rtl w:val="true"/>
        </w:rPr>
        <w:t>אשר מתמקד בערך החברתי המוגן על ידי האיסורים הקבועים בעבירות התנאי</w:t>
      </w:r>
      <w:r>
        <w:rPr>
          <w:rtl w:val="true"/>
        </w:rPr>
        <w:t xml:space="preserve">. </w:t>
      </w:r>
      <w:r>
        <w:rPr>
          <w:rtl w:val="true"/>
        </w:rPr>
        <w:t>השאלה שתישאל בגדרו של מבחן זה</w:t>
      </w:r>
      <w:r>
        <w:rPr>
          <w:rtl w:val="true"/>
        </w:rPr>
        <w:t xml:space="preserve">, </w:t>
      </w: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היא האם הנאשם פגע באותו ערך חברתי מוגן כאשר ביצע את העבירה הנוספת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למשל </w:t>
      </w:r>
      <w:hyperlink r:id="rId3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1894/14</w:t>
        </w:r>
      </w:hyperlink>
      <w:r>
        <w:rPr>
          <w:rFonts w:cs="FrankRuehl;Times New Roman" w:ascii="FrankRuehl;Times New Roman" w:hAnsi="FrankRuehl;Times New Roman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FrankRuehl;Times New Roman" w:ascii="FrankRuehl;Times New Roman" w:hAnsi="FrankRuehl;Times New Roman"/>
          <w:sz w:val="28"/>
          <w:rtl w:val="true"/>
        </w:rPr>
        <w:t>(</w:t>
      </w:r>
      <w:r>
        <w:rPr>
          <w:rFonts w:cs="FrankRuehl;Times New Roman" w:ascii="FrankRuehl;Times New Roman" w:hAnsi="FrankRuehl;Times New Roman"/>
          <w:sz w:val="28"/>
        </w:rPr>
        <w:t>13.1.2015</w:t>
      </w:r>
      <w:r>
        <w:rPr>
          <w:rFonts w:cs="FrankRuehl;Times New Roman" w:ascii="FrankRuehl;Times New Roman" w:hAnsi="FrankRuehl;Times New Roman"/>
          <w:sz w:val="28"/>
          <w:rtl w:val="true"/>
        </w:rPr>
        <w:t>)</w:t>
      </w:r>
      <w:r>
        <w:rPr>
          <w:rFonts w:cs="FrankRuehl;Times New Roman" w:ascii="FrankRuehl;Times New Roman" w:hAnsi="FrankRuehl;Times New Roman"/>
          <w:sz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בהחליטו להפעיל את עונש המאסר המותנה שעמד לחובת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הסתמך בית משפט קמא על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מסילתי</w:t>
      </w:r>
      <w:r>
        <w:rPr>
          <w:rtl w:val="true"/>
        </w:rPr>
        <w:t xml:space="preserve">, </w:t>
      </w:r>
      <w:r>
        <w:rPr>
          <w:rtl w:val="true"/>
        </w:rPr>
        <w:t>וקבע לאורה כי מאחר ש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מחלוקת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שהשוד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הרי שהתנהגותו הפלילית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מקיימת את יסודותיהן של מספר עבירות התנאי המנויות </w:t>
      </w:r>
      <w:hyperlink r:id="rId32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 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: </w:t>
      </w:r>
      <w:r>
        <w:rPr>
          <w:rtl w:val="true"/>
        </w:rPr>
        <w:t>חבלה בכוונה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חבלה חמורה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ופציעה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 xml:space="preserve">עובדות כתב האישום שבהן הודה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אינן כוללות גרימת חבלה או פציעה במתכוון</w:t>
      </w:r>
      <w:r>
        <w:rPr>
          <w:rtl w:val="true"/>
        </w:rPr>
        <w:t xml:space="preserve">, </w:t>
      </w:r>
      <w:r>
        <w:rPr>
          <w:rtl w:val="true"/>
        </w:rPr>
        <w:t xml:space="preserve">ביודעין או מתוך פזיזות </w:t>
      </w:r>
      <w:r>
        <w:rPr>
          <w:rtl w:val="true"/>
        </w:rPr>
        <w:t>–</w:t>
      </w:r>
      <w:r>
        <w:rPr>
          <w:rtl w:val="true"/>
        </w:rPr>
        <w:t xml:space="preserve"> המחשבה הפלילית הנדרשת להרשעה בעבירות הללו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אמנם הודה בגרימת חבלה מתוך רשלנות</w:t>
      </w:r>
      <w:r>
        <w:rPr>
          <w:rtl w:val="true"/>
        </w:rPr>
        <w:t xml:space="preserve">, </w:t>
      </w:r>
      <w:r>
        <w:rPr>
          <w:rtl w:val="true"/>
        </w:rPr>
        <w:t>אך מעשה כאמור איננו חופף את יסודות העבירות האמורות</w:t>
      </w:r>
      <w:r>
        <w:rPr>
          <w:rtl w:val="true"/>
        </w:rPr>
        <w:t xml:space="preserve">, </w:t>
      </w:r>
      <w:r>
        <w:rPr>
          <w:rtl w:val="true"/>
        </w:rPr>
        <w:t>והוא אף לא עונה לדרישותיו של מבחן הרציונל</w:t>
      </w:r>
      <w:r>
        <w:rPr>
          <w:rtl w:val="true"/>
        </w:rPr>
        <w:t xml:space="preserve">, </w:t>
      </w:r>
      <w:r>
        <w:rPr>
          <w:rtl w:val="true"/>
        </w:rPr>
        <w:t>שממילא לא חל בענייננו</w:t>
      </w:r>
      <w:r>
        <w:rPr>
          <w:rtl w:val="true"/>
        </w:rPr>
        <w:t xml:space="preserve">. </w:t>
      </w:r>
      <w:r>
        <w:rPr>
          <w:rtl w:val="true"/>
        </w:rPr>
        <w:t>לזאת יש להוסיף</w:t>
      </w:r>
      <w:r>
        <w:rPr>
          <w:rtl w:val="true"/>
        </w:rPr>
        <w:t xml:space="preserve">, </w:t>
      </w:r>
      <w:r>
        <w:rPr>
          <w:rtl w:val="true"/>
        </w:rPr>
        <w:t xml:space="preserve">כי מכתב האישום המתוקן עולה כי הנסיבה המחמירה שבעטיה הורשע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בשוד בנסיבות מחמירות</w:t>
      </w:r>
      <w:r>
        <w:rPr>
          <w:rtl w:val="true"/>
        </w:rPr>
        <w:t xml:space="preserve">, </w:t>
      </w:r>
      <w:r>
        <w:rPr>
          <w:rtl w:val="true"/>
        </w:rPr>
        <w:t>ולא בשוד רגיל</w:t>
      </w:r>
      <w:r>
        <w:rPr>
          <w:rtl w:val="true"/>
        </w:rPr>
        <w:t xml:space="preserve">, </w:t>
      </w:r>
      <w:r>
        <w:rPr>
          <w:rtl w:val="true"/>
        </w:rPr>
        <w:t xml:space="preserve">היא ביצוע השוד </w:t>
      </w:r>
      <w:r>
        <w:rPr>
          <w:rFonts w:ascii="Century" w:hAnsi="Century" w:cs="Century"/>
          <w:sz w:val="22"/>
          <w:sz w:val="22"/>
          <w:rtl w:val="true"/>
        </w:rPr>
        <w:t>בחבורה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לעניין פרשנות הביטוי </w:t>
      </w:r>
      <w:r>
        <w:rPr>
          <w:rtl w:val="true"/>
        </w:rPr>
        <w:t>"</w:t>
      </w:r>
      <w:r>
        <w:rPr>
          <w:rtl w:val="true"/>
        </w:rPr>
        <w:t>חבורה</w:t>
      </w:r>
      <w:r>
        <w:rPr>
          <w:rtl w:val="true"/>
        </w:rPr>
        <w:t xml:space="preserve">", </w:t>
      </w:r>
      <w:r>
        <w:rPr>
          <w:rtl w:val="true"/>
        </w:rPr>
        <w:t xml:space="preserve">ראו 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</w:t>
      </w:r>
      <w:hyperlink r:id="rId37"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rtl w:val="true"/>
          </w:rPr>
          <w:t>ת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rtl w:val="true"/>
          </w:rPr>
          <w:t xml:space="preserve">פ 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8"/>
            <w:sz w:val="28"/>
            <w:rtl w:val="true"/>
          </w:rPr>
          <w:t>ש</w:t>
        </w:r>
        <w:r>
          <w:rPr>
            <w:rStyle w:val="Hyperlink"/>
            <w:rFonts w:cs="FrankRuehl;Times New Roman" w:ascii="FrankRuehl;Times New Roman" w:hAnsi="FrankRuehl;Times New Roman"/>
            <w:sz w:val="28"/>
            <w:rtl w:val="true"/>
          </w:rPr>
          <w:t>) ‏</w:t>
        </w:r>
        <w:r>
          <w:rPr>
            <w:rStyle w:val="Hyperlink"/>
            <w:rFonts w:cs="FrankRuehl;Times New Roman" w:ascii="FrankRuehl;Times New Roman" w:hAnsi="FrankRuehl;Times New Roman"/>
            <w:sz w:val="28"/>
          </w:rPr>
          <w:t>8116/06</w:t>
        </w:r>
      </w:hyperlink>
      <w:r>
        <w:rPr>
          <w:rFonts w:cs="FrankRuehl;Times New Roman" w:ascii="FrankRuehl;Times New Roman" w:hAnsi="FrankRuehl;Times New Roman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17.9.2006</w:t>
      </w:r>
      <w:r>
        <w:rPr>
          <w:rFonts w:cs="Century" w:ascii="Century" w:hAnsi="Century"/>
          <w:sz w:val="22"/>
          <w:rtl w:val="true"/>
        </w:rPr>
        <w:t xml:space="preserve">))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להבדיל מנסיבה מחמירה אחרת</w:t>
      </w:r>
      <w:r>
        <w:rPr>
          <w:rtl w:val="true"/>
        </w:rPr>
        <w:t xml:space="preserve">: </w:t>
      </w:r>
      <w:r>
        <w:rPr>
          <w:rtl w:val="true"/>
        </w:rPr>
        <w:t>פציעתו של קורבן השוד ביודעין</w:t>
      </w:r>
      <w:r>
        <w:rPr>
          <w:rtl w:val="true"/>
        </w:rPr>
        <w:t xml:space="preserve">, </w:t>
      </w:r>
      <w:r>
        <w:rPr>
          <w:rtl w:val="true"/>
        </w:rPr>
        <w:t xml:space="preserve">שבה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הודה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sz w:val="22"/>
        </w:rPr>
        <w:t>16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טעותו זו של בית משפט קמא לא גרמה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שום עיוות דין</w:t>
      </w:r>
      <w:r>
        <w:rPr>
          <w:rtl w:val="true"/>
        </w:rPr>
        <w:t xml:space="preserve">. </w:t>
      </w:r>
      <w:r>
        <w:rPr>
          <w:rtl w:val="true"/>
        </w:rPr>
        <w:t xml:space="preserve">יישומה הנכון של הלכת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מסילתי</w:t>
      </w:r>
      <w:r>
        <w:rPr>
          <w:rtl w:val="true"/>
        </w:rPr>
        <w:t xml:space="preserve"> על עובדות המקרה דנן מוביל למסקנה כי עבירת ההפקרה אחרי פגיעה</w:t>
      </w:r>
      <w:r>
        <w:rPr>
          <w:rtl w:val="true"/>
        </w:rPr>
        <w:t xml:space="preserve">, </w:t>
      </w:r>
      <w:r>
        <w:rPr>
          <w:rtl w:val="true"/>
        </w:rPr>
        <w:t xml:space="preserve">שבה הורשע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חופפת את יסודותיה של עבירת תנאי אחרת</w:t>
      </w:r>
      <w:r>
        <w:rPr>
          <w:rtl w:val="true"/>
        </w:rPr>
        <w:t xml:space="preserve">: </w:t>
      </w:r>
      <w:r>
        <w:rPr>
          <w:rtl w:val="true"/>
        </w:rPr>
        <w:t xml:space="preserve">גרימת חבלה ברשלנות כמשמעה </w:t>
      </w:r>
      <w:hyperlink r:id="rId3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סעיף זה</w:t>
      </w:r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Fonts w:cs="Miriam"/>
          <w:sz w:val="22"/>
          <w:sz w:val="22"/>
          <w:szCs w:val="24"/>
          <w:rtl w:val="true"/>
        </w:rPr>
        <w:t>חבלה</w:t>
      </w:r>
      <w:r>
        <w:rPr>
          <w:rFonts w:eastAsia="Garamond"/>
          <w:sz w:val="22"/>
          <w:sz w:val="22"/>
          <w:szCs w:val="24"/>
          <w:rtl w:val="true"/>
        </w:rPr>
        <w:t xml:space="preserve"> </w:t>
      </w:r>
      <w:r>
        <w:rPr>
          <w:rFonts w:cs="Miriam"/>
          <w:sz w:val="22"/>
          <w:sz w:val="22"/>
          <w:szCs w:val="24"/>
          <w:rtl w:val="true"/>
        </w:rPr>
        <w:t>ברשלנות</w:t>
      </w:r>
      <w:r>
        <w:rPr>
          <w:rtl w:val="true"/>
        </w:rPr>
        <w:t xml:space="preserve">", </w:t>
      </w:r>
      <w:r>
        <w:rPr>
          <w:rtl w:val="true"/>
        </w:rPr>
        <w:t>קובע לאמור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נמנע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מעשות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שחובתו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לעשותו</w:t>
      </w:r>
      <w:r>
        <w:rPr>
          <w:rtl w:val="true"/>
        </w:rPr>
        <w:t xml:space="preserve">, </w:t>
      </w:r>
      <w:r>
        <w:rPr>
          <w:rtl w:val="true"/>
        </w:rPr>
        <w:t>והמעשה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eastAsia="Arial TUR;Arial" w:cs="Arial TUR;Arial"/>
          <w:rtl w:val="true"/>
        </w:rPr>
        <w:t xml:space="preserve"> </w:t>
      </w:r>
      <w:r>
        <w:rPr/>
        <w:t>338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340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ונגרמה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חבלה</w:t>
      </w:r>
      <w:r>
        <w:rPr>
          <w:rFonts w:ascii="Century" w:hAnsi="Century" w:eastAsia="Century" w:cs="Century"/>
          <w:b/>
          <w:b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4"/>
          <w:sz w:val="24"/>
          <w:szCs w:val="24"/>
          <w:rtl w:val="true"/>
        </w:rPr>
        <w:t>לאדם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" (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.).</w:t>
      </w:r>
    </w:p>
    <w:p>
      <w:pPr>
        <w:pStyle w:val="Normal"/>
        <w:spacing w:before="0" w:after="180"/>
        <w:ind w:end="0"/>
        <w:jc w:val="both"/>
        <w:textAlignment w:val="auto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spacing w:lineRule="auto" w:line="360" w:before="0" w:after="180"/>
        <w:ind w:firstLine="720"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ההפקרה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שביצעה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בצוותא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מוגדרת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0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64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41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הלשון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</w:r>
    </w:p>
    <w:p>
      <w:pPr>
        <w:pStyle w:val="Ruller5"/>
        <w:spacing w:lineRule="auto" w:line="360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נוהג רכב המעורב בתאונה שבה נפגע אדם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אשר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לדעת</w:t>
      </w:r>
      <w:r>
        <w:rPr>
          <w:rStyle w:val="default"/>
          <w:rFonts w:ascii="Century" w:hAnsi="Century" w:cs="Century"/>
          <w:rtl w:val="true"/>
        </w:rPr>
        <w:t xml:space="preserve"> כי בתאונה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נפגע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Style w:val="default"/>
          <w:rFonts w:ascii="Century" w:hAnsi="Century" w:cs="Century"/>
          <w:rtl w:val="true"/>
        </w:rPr>
        <w:t xml:space="preserve"> או עשוי היה להיפגע אדם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עצר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Style w:val="default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default"/>
          <w:rFonts w:ascii="Century" w:hAnsi="Century" w:cs="Miriam"/>
          <w:b/>
          <w:b/>
          <w:spacing w:val="0"/>
          <w:szCs w:val="24"/>
          <w:rtl w:val="true"/>
        </w:rPr>
        <w:t>התאונה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או קרוב לו ככל האפשר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כדי לעמוד על תוצאות התאונה ולהזעיק עזרה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דינו – מאסר שלוש שנים</w:t>
      </w:r>
      <w:r>
        <w:rPr>
          <w:rStyle w:val="default"/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ההדגשות הוספו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Normal"/>
        <w:spacing w:before="0" w:after="180"/>
        <w:ind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 w:before="0" w:after="180"/>
        <w:ind w:end="0"/>
        <w:jc w:val="both"/>
        <w:textAlignment w:val="auto"/>
        <w:rPr>
          <w:rFonts w:ascii="Century" w:hAnsi="Century" w:cs="FrankRuehl;Times New Roman"/>
          <w:spacing w:val="10"/>
          <w:sz w:val="22"/>
          <w:szCs w:val="28"/>
        </w:rPr>
      </w:pPr>
      <w:r>
        <w:rPr>
          <w:rFonts w:cs="FrankRuehl;Times New Roman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הדרוש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להתהוותה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רשלנות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חופף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התנאי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ברשלנות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cs="FrankRuehl;Times New Roman"/>
            <w:spacing w:val="10"/>
            <w:sz w:val="22"/>
            <w:sz w:val="22"/>
            <w:szCs w:val="28"/>
            <w:rtl w:val="true"/>
          </w:rPr>
          <w:t>רע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;Times New Roman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</w:rPr>
          <w:t>7519/97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שכטר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נ</w:t>
        </w:r>
        <w:r>
          <w:rPr>
            <w:rStyle w:val="Hyperlink"/>
            <w:rFonts w:cs="Miriam" w:ascii="Century" w:hAnsi="Century"/>
            <w:b/>
            <w:sz w:val="22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ישראל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  <w:rtl w:val="true"/>
          </w:rPr>
          <w:t xml:space="preserve">, </w:t>
        </w:r>
        <w:r>
          <w:rPr>
            <w:rStyle w:val="Hyperlink"/>
            <w:rFonts w:ascii="Century" w:hAnsi="Century" w:cs="FrankRuehl;Times New Roman"/>
            <w:spacing w:val="10"/>
            <w:sz w:val="22"/>
            <w:sz w:val="22"/>
            <w:szCs w:val="28"/>
            <w:rtl w:val="true"/>
          </w:rPr>
          <w:t>פ</w:t>
        </w:r>
        <w:r>
          <w:rPr>
            <w:rStyle w:val="Hyperlink"/>
            <w:rFonts w:cs="FrankRuehl;Times New Roman" w:ascii="Century" w:hAnsi="Century"/>
            <w:spacing w:val="10"/>
            <w:sz w:val="22"/>
            <w:szCs w:val="28"/>
            <w:rtl w:val="true"/>
          </w:rPr>
          <w:t>''</w:t>
        </w:r>
        <w:r>
          <w:rPr>
            <w:rStyle w:val="Hyperlink"/>
            <w:rFonts w:ascii="Century" w:hAnsi="Century" w:cs="FrankRuehl;Times New Roman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spacing w:val="10"/>
            <w:sz w:val="22"/>
            <w:sz w:val="22"/>
            <w:szCs w:val="28"/>
            <w:rtl w:val="true"/>
          </w:rPr>
          <w:t>נב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;Times New Roman" w:ascii="Century" w:hAnsi="Century"/>
          <w:spacing w:val="10"/>
          <w:sz w:val="22"/>
          <w:szCs w:val="28"/>
        </w:rPr>
        <w:t>2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;Times New Roman" w:ascii="Century" w:hAnsi="Century"/>
          <w:spacing w:val="10"/>
          <w:sz w:val="22"/>
          <w:szCs w:val="28"/>
        </w:rPr>
        <w:t>663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1998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9188/06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24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Century" w:hAnsi="Century"/>
          <w:spacing w:val="10"/>
          <w:sz w:val="22"/>
          <w:szCs w:val="28"/>
        </w:rPr>
        <w:t>5.7.2010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415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;Times New Roman" w:ascii="Century" w:hAnsi="Century"/>
          <w:spacing w:val="10"/>
          <w:sz w:val="22"/>
          <w:szCs w:val="28"/>
        </w:rPr>
        <w:t>625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העובדתי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עצירת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כמוה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לעשותו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היסוד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העובדתי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התנהגותי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התנאי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שנגרמה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התאונה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וההפקרה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הינה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ספק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המוגדרת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4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34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כד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45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מכאוב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מחלה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ליקוי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גופניים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אומר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ההפקרה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6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64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47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התעבורה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מכילה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יסודותיה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גרימת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ברשלנות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המוגדרת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48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Century" w:hAnsi="Century"/>
            <w:color w:val="0000FF"/>
            <w:spacing w:val="10"/>
            <w:sz w:val="22"/>
            <w:szCs w:val="28"/>
            <w:u w:val="single"/>
          </w:rPr>
          <w:t>341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</w:t>
      </w:r>
      <w:hyperlink r:id="rId49"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תלוי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Century" w:hAnsi="Century"/>
          <w:spacing w:val="10"/>
          <w:sz w:val="22"/>
          <w:szCs w:val="28"/>
        </w:rPr>
        <w:t>1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בר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הפעלה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;Times New Roman"/>
          <w:spacing w:val="10"/>
          <w:sz w:val="22"/>
          <w:sz w:val="22"/>
          <w:szCs w:val="28"/>
          <w:rtl w:val="true"/>
        </w:rPr>
        <w:t>להפעילו</w:t>
      </w:r>
      <w:r>
        <w:rPr>
          <w:rFonts w:cs="FrankRuehl;Times New Roman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הנני מציע לחבריי לדחות את שני הערעורים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1"/>
        <w:gridCol w:w="2770"/>
        <w:gridCol w:w="2771"/>
      </w:tblGrid>
      <w:tr>
        <w:trPr/>
        <w:tc>
          <w:tcPr>
            <w:tcW w:w="2771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0" w:type="dxa"/>
            <w:tcBorders/>
          </w:tcPr>
          <w:p>
            <w:pPr>
              <w:pStyle w:val="Ruller42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2771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  <w:r>
        <w:rPr>
          <w:rtl w:val="true"/>
        </w:rPr>
        <w:tab/>
        <w:tab/>
        <w:tab/>
        <w:tab/>
        <w:tab/>
        <w:tab/>
        <w:tab/>
        <w:tab/>
        <w:tab/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1"/>
        <w:gridCol w:w="2770"/>
        <w:gridCol w:w="2771"/>
      </w:tblGrid>
      <w:tr>
        <w:trPr/>
        <w:tc>
          <w:tcPr>
            <w:tcW w:w="2771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0" w:type="dxa"/>
            <w:tcBorders/>
          </w:tcPr>
          <w:p>
            <w:pPr>
              <w:pStyle w:val="Ruller42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2771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  <w:tr>
        <w:trPr/>
        <w:tc>
          <w:tcPr>
            <w:tcW w:w="2771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Ruller42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0" w:type="dxa"/>
            <w:tcBorders/>
          </w:tcPr>
          <w:p>
            <w:pPr>
              <w:pStyle w:val="Ruller42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  <w:tc>
          <w:tcPr>
            <w:tcW w:w="2771" w:type="dxa"/>
            <w:tcBorders/>
          </w:tcPr>
          <w:p>
            <w:pPr>
              <w:pStyle w:val="Ruller42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Ruller42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Ruller42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Ruller42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19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15.10.2019</w:t>
      </w:r>
      <w:r>
        <w:rPr>
          <w:rtl w:val="true"/>
        </w:rPr>
        <w:t xml:space="preserve">). </w:t>
      </w:r>
      <w:bookmarkEnd w:id="19"/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19023520</w:t>
      </w:r>
      <w:r>
        <w:rPr>
          <w:sz w:val="16"/>
          <w:rtl w:val="true"/>
        </w:rPr>
        <w:t>_</w:t>
      </w:r>
      <w:r>
        <w:rPr>
          <w:sz w:val="16"/>
        </w:rPr>
        <w:t>F01.docx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דג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0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1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  <w:u w:val="single"/>
        </w:rPr>
      </w:pPr>
      <w:r>
        <w:rPr>
          <w:rFonts w:cs="David;Times New Roman" w:ascii="David;Times New Roman" w:hAnsi="David;Times New Roman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מ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מזוז </w:t>
      </w:r>
      <w:r>
        <w:rPr>
          <w:rFonts w:cs="David;Times New Roman" w:ascii="David;Times New Roman" w:hAnsi="David;Times New Roman"/>
          <w:color w:val="000000"/>
          <w:szCs w:val="22"/>
        </w:rPr>
        <w:t>54678313-2352/19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;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52"/>
      <w:footerReference w:type="default" r:id="rId53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11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2352/19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אלדר דנילוב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;Times New Roman"/>
        <w:color w:val="000000"/>
        <w:lang w:val="en-US"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;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;Times New Roman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default">
    <w:name w:val="defaul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311">
    <w:name w:val="ruller 31"/>
    <w:basedOn w:val="Casenameintextbody"/>
    <w:qFormat/>
    <w:pPr>
      <w:jc w:val="start"/>
    </w:pPr>
    <w:rPr>
      <w:rFonts w:cs="David;Times New Roman"/>
      <w:b w:val="false"/>
      <w:bCs w:val="false"/>
      <w:sz w:val="22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52261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29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41" TargetMode="External"/><Relationship Id="rId8" Type="http://schemas.openxmlformats.org/officeDocument/2006/relationships/hyperlink" Target="http://www.nevo.co.il/law/70301/34kd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jCdS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64a.a" TargetMode="External"/><Relationship Id="rId13" Type="http://schemas.openxmlformats.org/officeDocument/2006/relationships/hyperlink" Target="http://www.nevo.co.il/safrut/bookgroup/412" TargetMode="External"/><Relationship Id="rId14" Type="http://schemas.openxmlformats.org/officeDocument/2006/relationships/hyperlink" Target="http://www.nevo.co.il/safrut/bookgroup/412" TargetMode="External"/><Relationship Id="rId15" Type="http://schemas.openxmlformats.org/officeDocument/2006/relationships/hyperlink" Target="http://www.nevo.co.il/case/23522611" TargetMode="External"/><Relationship Id="rId16" Type="http://schemas.openxmlformats.org/officeDocument/2006/relationships/hyperlink" Target="http://www.nevo.co.il/law/70301/402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5227/64a.a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0301/jCdS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17942576" TargetMode="External"/><Relationship Id="rId23" Type="http://schemas.openxmlformats.org/officeDocument/2006/relationships/hyperlink" Target="http://www.nevo.co.il/case/5875466" TargetMode="External"/><Relationship Id="rId24" Type="http://schemas.openxmlformats.org/officeDocument/2006/relationships/hyperlink" Target="http://www.nevo.co.il/case/6247428" TargetMode="External"/><Relationship Id="rId25" Type="http://schemas.openxmlformats.org/officeDocument/2006/relationships/hyperlink" Target="http://www.nevo.co.il/case/6247208" TargetMode="External"/><Relationship Id="rId26" Type="http://schemas.openxmlformats.org/officeDocument/2006/relationships/hyperlink" Target="http://www.nevo.co.il/case/24156669" TargetMode="External"/><Relationship Id="rId27" Type="http://schemas.openxmlformats.org/officeDocument/2006/relationships/hyperlink" Target="http://www.nevo.co.il/case/24269594" TargetMode="External"/><Relationship Id="rId28" Type="http://schemas.openxmlformats.org/officeDocument/2006/relationships/hyperlink" Target="http://www.nevo.co.il/case/17929037" TargetMode="External"/><Relationship Id="rId29" Type="http://schemas.openxmlformats.org/officeDocument/2006/relationships/hyperlink" Target="http://www.nevo.co.il/case/5796872" TargetMode="External"/><Relationship Id="rId30" Type="http://schemas.openxmlformats.org/officeDocument/2006/relationships/hyperlink" Target="http://www.nevo.co.il/safrut/bookgroup/412" TargetMode="External"/><Relationship Id="rId31" Type="http://schemas.openxmlformats.org/officeDocument/2006/relationships/hyperlink" Target="http://www.nevo.co.il/case/19999484" TargetMode="External"/><Relationship Id="rId32" Type="http://schemas.openxmlformats.org/officeDocument/2006/relationships/hyperlink" Target="http://www.nevo.co.il/law/70301/jCdS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329" TargetMode="External"/><Relationship Id="rId35" Type="http://schemas.openxmlformats.org/officeDocument/2006/relationships/hyperlink" Target="http://www.nevo.co.il/law/70301/333" TargetMode="External"/><Relationship Id="rId36" Type="http://schemas.openxmlformats.org/officeDocument/2006/relationships/hyperlink" Target="http://www.nevo.co.il/law/70301/334" TargetMode="External"/><Relationship Id="rId37" Type="http://schemas.openxmlformats.org/officeDocument/2006/relationships/hyperlink" Target="http://www.nevo.co.il/case/515136" TargetMode="External"/><Relationship Id="rId38" Type="http://schemas.openxmlformats.org/officeDocument/2006/relationships/hyperlink" Target="http://www.nevo.co.il/law/70301/341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5227/64a.a" TargetMode="External"/><Relationship Id="rId41" Type="http://schemas.openxmlformats.org/officeDocument/2006/relationships/hyperlink" Target="http://www.nevo.co.il/law/5227" TargetMode="External"/><Relationship Id="rId42" Type="http://schemas.openxmlformats.org/officeDocument/2006/relationships/hyperlink" Target="http://www.nevo.co.il/case/6105926" TargetMode="External"/><Relationship Id="rId43" Type="http://schemas.openxmlformats.org/officeDocument/2006/relationships/hyperlink" Target="http://www.nevo.co.il/case/5740477" TargetMode="External"/><Relationship Id="rId44" Type="http://schemas.openxmlformats.org/officeDocument/2006/relationships/hyperlink" Target="http://www.nevo.co.il/law/70301/34kd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law/5227/64a.a" TargetMode="External"/><Relationship Id="rId47" Type="http://schemas.openxmlformats.org/officeDocument/2006/relationships/hyperlink" Target="http://www.nevo.co.il/law/5227" TargetMode="External"/><Relationship Id="rId48" Type="http://schemas.openxmlformats.org/officeDocument/2006/relationships/hyperlink" Target="http://www.nevo.co.il/law/70301/34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supreme.court.gov.il/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2019-10-16T09:15:00Z</dcterms:created>
  <dc:creator>h4</dc:creator>
  <dc:description/>
  <cp:keywords/>
  <dc:language>en-IL</dc:language>
  <cp:lastModifiedBy>orly</cp:lastModifiedBy>
  <cp:lastPrinted>2019-10-15T09:18:00Z</cp:lastPrinted>
  <dcterms:modified xsi:type="dcterms:W3CDTF">2019-10-16T09:15:00Z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אלדר דנילוב;מקסים מוריץ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</vt:lpwstr>
  </property>
  <property fmtid="{D5CDD505-2E9C-101B-9397-08002B2CF9AE}" pid="9" name="CASESLISTTMP1">
    <vt:lpwstr>23522611:2;17942576;5875466;6247428;6247208;24156669;24269594;17929037;5796872;19999484;515136;6105926;5740477</vt:lpwstr>
  </property>
  <property fmtid="{D5CDD505-2E9C-101B-9397-08002B2CF9AE}" pid="10" name="CITY">
    <vt:lpwstr/>
  </property>
  <property fmtid="{D5CDD505-2E9C-101B-9397-08002B2CF9AE}" pid="11" name="DATE">
    <vt:lpwstr>20191015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מ' מזוז;י' וילנר;א' שטיין</vt:lpwstr>
  </property>
  <property fmtid="{D5CDD505-2E9C-101B-9397-08002B2CF9AE}" pid="15" name="LAWLISTTMP1">
    <vt:lpwstr>70301/402.b;jCdS:2;329;333;334;341:2;34kd</vt:lpwstr>
  </property>
  <property fmtid="{D5CDD505-2E9C-101B-9397-08002B2CF9AE}" pid="16" name="LAWLISTTMP2">
    <vt:lpwstr>5227/064a.a:3</vt:lpwstr>
  </property>
  <property fmtid="{D5CDD505-2E9C-101B-9397-08002B2CF9AE}" pid="17" name="LAWYER">
    <vt:lpwstr>בת שבע אבגז;מאיה רייטן סטול;מאיר לחן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תעבורה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77;77;77;77;104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1446;1446;1446;1446;1831</vt:lpwstr>
  </property>
  <property fmtid="{D5CDD505-2E9C-101B-9397-08002B2CF9AE}" pid="50" name="NOSE31">
    <vt:lpwstr>דרכי ענישה: הפעלת מאסר על תנאי</vt:lpwstr>
  </property>
  <property fmtid="{D5CDD505-2E9C-101B-9397-08002B2CF9AE}" pid="51" name="NOSE310">
    <vt:lpwstr/>
  </property>
  <property fmtid="{D5CDD505-2E9C-101B-9397-08002B2CF9AE}" pid="52" name="NOSE32">
    <vt:lpwstr>התערבות ערכאת הערעור</vt:lpwstr>
  </property>
  <property fmtid="{D5CDD505-2E9C-101B-9397-08002B2CF9AE}" pid="53" name="NOSE33">
    <vt:lpwstr>הפעלת מאסר על תנאי</vt:lpwstr>
  </property>
  <property fmtid="{D5CDD505-2E9C-101B-9397-08002B2CF9AE}" pid="54" name="NOSE34">
    <vt:lpwstr>מדיניות ענישה: שוד</vt:lpwstr>
  </property>
  <property fmtid="{D5CDD505-2E9C-101B-9397-08002B2CF9AE}" pid="55" name="NOSE35">
    <vt:lpwstr>הפקרה לאחר פגיעה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17088;8978;8977;15019;16198</vt:lpwstr>
  </property>
  <property fmtid="{D5CDD505-2E9C-101B-9397-08002B2CF9AE}" pid="61" name="PADIDATE">
    <vt:lpwstr>20191016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2352;2977</vt:lpwstr>
  </property>
  <property fmtid="{D5CDD505-2E9C-101B-9397-08002B2CF9AE}" pid="67" name="PROCYEAR">
    <vt:lpwstr>19;19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410120191015</vt:lpwstr>
  </property>
  <property fmtid="{D5CDD505-2E9C-101B-9397-08002B2CF9AE}" pid="71" name="TYPE_N_DATE">
    <vt:lpwstr>41020191015</vt:lpwstr>
  </property>
  <property fmtid="{D5CDD505-2E9C-101B-9397-08002B2CF9AE}" pid="72" name="VOLUME">
    <vt:lpwstr/>
  </property>
  <property fmtid="{D5CDD505-2E9C-101B-9397-08002B2CF9AE}" pid="73" name="WORDNUMPAGES">
    <vt:lpwstr>10</vt:lpwstr>
  </property>
</Properties>
</file>