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1"/>
        <w:gridCol w:w="4962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2356/17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1332/18</w:t>
            </w:r>
          </w:p>
        </w:tc>
      </w:tr>
      <w:tr>
        <w:trPr>
          <w:trHeight w:val="287" w:hRule="atLeast"/>
        </w:trPr>
        <w:tc>
          <w:tcPr>
            <w:tcW w:w="3401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496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40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96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40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496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12"/>
          <w:szCs w:val="18"/>
        </w:rPr>
      </w:pPr>
      <w:r>
        <w:rPr>
          <w:rFonts w:cs="Miriam"/>
          <w:b/>
          <w:bCs/>
          <w:sz w:val="12"/>
          <w:szCs w:val="1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1"/>
        <w:gridCol w:w="4963"/>
      </w:tblGrid>
      <w:tr>
        <w:trPr>
          <w:trHeight w:val="287" w:hRule="atLeast"/>
        </w:trPr>
        <w:tc>
          <w:tcPr>
            <w:tcW w:w="340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2356/17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96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סמיח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רגבי</w:t>
            </w:r>
          </w:p>
        </w:tc>
      </w:tr>
      <w:tr>
        <w:trPr>
          <w:trHeight w:val="287" w:hRule="atLeast"/>
        </w:trPr>
        <w:tc>
          <w:tcPr>
            <w:tcW w:w="340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1332/18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96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רביד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1"/>
        <w:gridCol w:w="4962"/>
      </w:tblGrid>
      <w:tr>
        <w:trPr/>
        <w:tc>
          <w:tcPr>
            <w:tcW w:w="340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96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1"/>
        <w:gridCol w:w="4963"/>
      </w:tblGrid>
      <w:tr>
        <w:trPr>
          <w:trHeight w:val="287" w:hRule="atLeast"/>
        </w:trPr>
        <w:tc>
          <w:tcPr>
            <w:tcW w:w="3401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96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4962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62"/>
      </w:tblGrid>
      <w:tr>
        <w:trPr/>
        <w:tc>
          <w:tcPr>
            <w:tcW w:w="4962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2356/17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029628-02-15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31.01.2017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אמנון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BodyRuller1"/>
              <w:snapToGrid w:val="false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  <w:tr>
        <w:trPr/>
        <w:tc>
          <w:tcPr>
            <w:tcW w:w="4962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1332/18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29718-02-15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כרמי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מוסק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1"/>
        <w:gridCol w:w="4962"/>
      </w:tblGrid>
      <w:tr>
        <w:trPr/>
        <w:tc>
          <w:tcPr>
            <w:tcW w:w="34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2356/17</w:t>
            </w:r>
            <w:r>
              <w:rPr>
                <w:rtl w:val="true"/>
              </w:rPr>
              <w:t>:</w:t>
            </w:r>
          </w:p>
        </w:tc>
        <w:tc>
          <w:tcPr>
            <w:tcW w:w="496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דרויש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96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1332/18</w:t>
            </w:r>
            <w:r>
              <w:rPr>
                <w:rtl w:val="true"/>
              </w:rPr>
              <w:t>:</w:t>
            </w:r>
          </w:p>
        </w:tc>
        <w:tc>
          <w:tcPr>
            <w:tcW w:w="496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לרנאו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זעירא</w:t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96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4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496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ויליאמס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42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298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301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ג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384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406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hyperlink r:id="rId10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1971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הרפורמה בעבירות ההמתה הומרה עבירת ההריגה בה הורשעו המערערים לעבירה של 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על אף שהעונש המכסימלי בגין המעשה הופחת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להפחית מעונשם של המערערים על פי הדין הישן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המעשה ונסיבותיו אינם מושפעים מכותרת העבירה ועונש מאסר של עשר שנים הושת על בסיס יסוד נפשי של 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שיקולים לקולה הופחת העונש בשנה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 למשפחת המנוחה הופחת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התקרה לפי הדין ביחס לפסיקת פיצויים בהליך פלילי חלה במשותף על כלל נפגעי העבירה המקבלים פיצוי מכוח אותו מקרה 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 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 הפרשה נשוא ההליך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 הורשעה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בעבירות של 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התפרצות למקום מגורים וגניבה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 הדין הושת על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מאסר בפועל של עשר שנים וכן תשלום פיצוי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זהה לעונשה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 גם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בכדי קבע המחוקק עונש חמור של עד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לעבירת ההצתה נוכח פוטנציאל הנזק המשמעותי שטמון בעבירה זו וחוסר היכולת לשלוט בתוצאותיה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שבו קיפחה אישה צעירה את חייה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מוכיח את עוצמת הסכנה הגלומה בכל 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ובהצתה בתוך בית מגורים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משרעת הענישה בעבירת ההצתה היא רחבה ורף הענישה אינו אחיד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מעשה על פי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נופל לרף הגבוה של חומרת מעשה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לפני התוצאה הקשה של מות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עברו המערער נקי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למערערת עבר פלילי בעבירה של שוד מזוין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גם בעבירה של שיבוש הליכי משפט אך לא הורשע בעבירות של גניבה והתפרצות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שהמערערת הורשעה בעבירות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קשים ורעים שני חייה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הליכי גמילה והליך שיקומי שעברה עוד בתקופת מעצרה וכיום בין כותלי הכלא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מכלול השיקולים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ובהינתן שהמעשים בוצעו על ידי השניים בצוותא חדא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להבחין בין המערערים לעניין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הרפורמה בעבירות ההמתה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הסכימה להמיר את עבירת 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שהעונש בצידה הוא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לעבירה של המתה בקלות דעת שהעונש בצידה הוא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 הטוען לטעון כי מאחר שהעונש המכסימלי בגין המעשה הופחת על ידי המחוקק באופן כה 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להפחית מהעונש שהוטל על המערערים על פי הדין הישן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 ונסיבותיו אינם מושפעים מכותרת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וכאשר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השית על המערערים עונש מאסר של עשר 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ראה נגד עיניו יסוד נפשי של 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השיקולים 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ובעיקר נסיבותיה האישיות המיוחדות של המערערת והעדר עבר פלילי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להעמיד את עונשם על תשע שנים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לפיצוי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הפגיעה והנזקים שנגרמו למשפחת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היה מקום להטיל על כל אחד מהמערערים לשאת בפיצוי בשיעור הכמעט מכסימלי על פי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הפיצוי הכולל שישולם על ידי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ביחד ולחוד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יועמד על סך של </w:t>
      </w:r>
      <w:r>
        <w:rPr>
          <w:rFonts w:cs="Times New Roman" w:ascii="Times New Roman" w:hAnsi="Times New Roman"/>
          <w:spacing w:val="0"/>
          <w:sz w:val="24"/>
          <w:szCs w:val="26"/>
        </w:rPr>
        <w:t>250,000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ההכרעה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 נסבה על התשובה החיובית שניתנה בפסיקה לשאלה האם התקרה הקבועה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77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ביחס לפסיקת פיצויים בהליך הפלילי חלה במשותף על כלל נפגעי העבירה המקבלים פיצוי מכוח אותו מקרה 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התשובה החיובית לשאלה זו נגזרה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השאר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מתכלית פסיקת הפיצויים בהליך הפלילי לשמש סעד מידי ודחוף לנפגעי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ממתן פיצוי מלא לנזקם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ממגבלותיו של ההליך הפלילי שאינו מאפשר הוכחה מדויקת של הנזקים שנגרמו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אותם שיקולים יפים גם לשאלה שהתעוררה כאן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האם יש מקום לפסיקת פיצויים החורגת מהתקרה הסטטוטורית בגין אותו מקרה 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האחריות לו רובצת על יותר מעבריין 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תשובה אחרת הייתה סוללת את הדרך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מכיוון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לפסיקת פיצויים בהיקפים גדולים בהליך הפלילי שאינו מותאם ואינו מיועד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הוכחת נזק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הדרך לפסיקת פיצויים בהליך האזרחי עודנה פתוחה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  <w:bookmarkStart w:id="15" w:name="Start_Write"/>
      <w:bookmarkEnd w:id="15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לניואנסים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המערערת ב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1332/18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הייתה חברתו של פאיז רגבי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פאיז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עד זמן קצר לפני התרחשות האירועים שיתוארו להלן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2356/17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ומוחמד שוויקי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הם קרובי משפחה של פאיז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המערערת ופאיז היו מסוכסכים עם בני הזוג אחמד בדראן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אחמד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והודיה אללוף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הודיה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שהתגוררו יחדיו בחדר בקומה השנייה בבית ברחוב בצלאל בצראווי בירושלים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החדר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בחדר בקומה השלישית בבית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התגוררה אורית לונדון ז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יחד עם בעלה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23.1.2015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בשעות הערב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תכננו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ומוחמד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השלושה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להגיע לבית כדי לשרוף את חדרם של אחמד והודיה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התקשר לאחמד מספר פעמים כדי לוודא שהוא והודיה לא נמצאים בבית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השלושה נסעו מתל אביב לירושלים ברכבו של 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והגיעו לבית בסמוך לשעה </w:t>
      </w:r>
      <w:r>
        <w:rPr>
          <w:rFonts w:cs="Century" w:ascii="Century" w:hAnsi="Century"/>
        </w:rPr>
        <w:t>03:05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מוחמד המתין ברכב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שהמערערת והמערער נכנסו לבית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סמיח החל לפרוץ את דלת החדר באמצעות כלי פריצה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עיקם את צילינדר הדלת ופתח אותה בבעיטה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המערערת וסמיח נכנסו לחדר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הציתו במצית את הסדינים שהיו על המיטה הזוגית ולקחו מהארון בשמים ובגדים של אחמד והודיה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כשהאש אחזה במזרון הם עזבו את החדר ויצאו מהבית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נכנסו לרכב של מוחמד ועזבו את המקום במהירות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האש שפרצה כילתה מספר רהיטים בחדר ואת דלתו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שהייתה עשויה עץ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עשן רב חדר למסדרון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לקומה השלישית בבית ולחדר בו שהתה המנוחה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סביב השעה </w:t>
      </w:r>
      <w:r>
        <w:rPr>
          <w:rFonts w:cs="Century" w:ascii="Century" w:hAnsi="Century"/>
        </w:rPr>
        <w:t>03:00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התקשרה המנוחה לבעלה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בעבודה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וצעקה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אש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צוות כיבוי אש הגיע למקום בסמוך לשעה </w:t>
      </w:r>
      <w:r>
        <w:rPr>
          <w:rFonts w:cs="Century" w:ascii="Century" w:hAnsi="Century"/>
        </w:rPr>
        <w:t>03:19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והחל בכיבוי השריפה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העשן הרב שמילא את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צוות הכיבוי הצליח להגיע למנוחה רק בסמוך לשעה </w:t>
      </w:r>
      <w:r>
        <w:rPr>
          <w:rFonts w:cs="Century" w:ascii="Century" w:hAnsi="Century"/>
        </w:rPr>
        <w:t>03:30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ומצא אותה מחוסרת הכרה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המנוחה פונתה מהחדר וצוות מגן דוד אדום שהמתין מחוץ לבית ביצע בה החייאה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המנוחה הועברה לבית החולים הדסה עין כרם כשהיא סובלת מהרעלת תחמוצת פחמן כתוצאה משאיפת עשן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כשבועיים בהם הייתה במצב של מוות קליני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נפטרה המנוחה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בטרם נעצר מוחמד ביום </w:t>
      </w:r>
      <w:r>
        <w:rPr>
          <w:rFonts w:cs="Century" w:ascii="Century" w:hAnsi="Century"/>
        </w:rPr>
        <w:t>25.1.2015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תיאם עמו המערער כי אם ייעצרו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יספרו כי המערערת ביקשה מהם להסיע אותה לבית כדי להביא בגדים מחברתה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המערערת עלתה לבדה לבית בעוד שניהם נשארו מחוץ לו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בגין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הכהן</w:t>
      </w:r>
      <w:r>
        <w:rPr>
          <w:rFonts w:cs="Century" w:ascii="Century" w:hAnsi="Century"/>
          <w:rtl w:val="true"/>
        </w:rPr>
        <w:t xml:space="preserve">)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)); </w:t>
      </w:r>
      <w:r>
        <w:rPr>
          <w:rFonts w:ascii="Century" w:hAnsi="Century" w:cs="Century"/>
          <w:rtl w:val="true"/>
        </w:rPr>
        <w:t xml:space="preserve">הצתה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התפרצות למקום מגורים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406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וגניבה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לפי </w:t>
      </w:r>
      <w:hyperlink r:id="rId1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384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בגזר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הושת על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עונש מאסר בפועל של עשר שנים וכן תשלום פיצוי בסך של </w:t>
      </w:r>
      <w:r>
        <w:rPr>
          <w:rFonts w:cs="Century" w:ascii="Century" w:hAnsi="Century"/>
        </w:rPr>
        <w:t>250,000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עונש זהה לעונשה של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הושת גם על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כך נסובים שני הערעורים הנפרדים שנשמעו בפנינו במאוחד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Century"/>
          <w:rtl w:val="true"/>
        </w:rPr>
        <w:t>הערעור נסב הן על הרשעתה בעבירות ההצתה וההריגה והן על חומרת גזר הדין וגובה הפיצוי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בתום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ששמענו באריכות את טיעוני באי כוח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קיבלה המערערת את המלצתנו וחזרה בה מהערעור על 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נציין כי בעקבות 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הרפורמה בעבירות ההמתה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הסכימה המדינה עוד קודם לדיון להמיר את ההרשעה בעבירת ההריגה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בהרשעה בעבירה של המתה בקלות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301</w:t>
        </w:r>
        <w:r>
          <w:rPr>
            <w:rStyle w:val="Hyperlink"/>
            <w:rFonts w:ascii="Century" w:hAnsi="Century" w:cs="Century"/>
            <w:rtl w:val="true"/>
          </w:rPr>
          <w:t>ג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בנוסחו דהיום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הגורם למותו של אדם בקלות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דינו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מאסר שתים עשרה שנים</w:t>
      </w:r>
      <w:r>
        <w:rPr>
          <w:rFonts w:cs="Century" w:ascii="Century" w:hAnsi="Century"/>
          <w:rtl w:val="true"/>
        </w:rPr>
        <w:t xml:space="preserve">").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בערעור על חומרת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הדגישו באי כוחה של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נסיבות חייה הקשות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החברה השולית עמה התרועעה משך שנים 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הליכי הגמילה מסמים ומאלכוהול שעברה לאחר שנעצרה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והליכי השיקום שהיא עוברת בבית הסוהר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המערער ומוחמד הם הדמויות הדומיננטיות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שהמערערת אך נגררה אחריהם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על מוחמד הוטל עונש מאסר של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בלבד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הצתה שגרמה למוות היא אירוע חריג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והמערערת מצרה על התוצאה הטרגית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לעניין הפיצוי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להיעדר יכולת כלכלית של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רכיב הפיצוי מעמיד אותה במצב בלתי אפשרי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שיגרום לכך שבעת שחרורה תצטרך להתמודד עם חוב שיתפח לסכום של למעלה מחצי מיליון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המערער הצטרף לטענות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והצביע על הרקע הסוציואקונומי הקשה שבו גדל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על כך שהודה במעשים שיוחסו לו בכתב האישום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שאין לו עבר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שזו הסתבכותו הראשונה עם החוק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שלא הורשע בעבירות הגניבה וההתפרצות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לא ערער על גובה הפיצוי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sz w:val="28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משהאריכו הצדדים בטיעוניהם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נקצר אנו בדברינו ונאמר כי המקרה דנן מוכיח את אשר נאמר פעמים רבות בפסיקה בנוגע לעבירת ההצתה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ראשיתו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ואחריתו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ישורנה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מבין רבים</w:t>
      </w:r>
      <w:r>
        <w:rPr>
          <w:rFonts w:cs="Century" w:ascii="Century" w:hAnsi="Century"/>
          <w:rtl w:val="true"/>
        </w:rPr>
        <w:t xml:space="preserve">,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4311/12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(</w:t>
      </w:r>
      <w:r>
        <w:rPr>
          <w:sz w:val="28"/>
        </w:rPr>
        <w:t>8.11.2012</w:t>
      </w:r>
      <w:r>
        <w:rPr>
          <w:sz w:val="28"/>
          <w:rtl w:val="true"/>
        </w:rPr>
        <w:t xml:space="preserve">); 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8347/19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מיהרט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17.3.2020</w:t>
      </w:r>
      <w:r>
        <w:rPr>
          <w:rFonts w:cs="Century" w:ascii="Century" w:hAnsi="Century"/>
          <w:rtl w:val="true"/>
        </w:rPr>
        <w:t>)); "</w:t>
      </w:r>
      <w:r>
        <w:rPr>
          <w:rFonts w:ascii="Century" w:hAnsi="Century" w:cs="Century"/>
          <w:rtl w:val="true"/>
        </w:rPr>
        <w:t>ראשיתה גפרור ואחריתה עלולה להיות שערי מוות</w:t>
      </w:r>
      <w:r>
        <w:rPr>
          <w:rFonts w:cs="Century" w:ascii="Century" w:hAnsi="Century"/>
          <w:rtl w:val="true"/>
        </w:rPr>
        <w:t>" (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3210/06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ה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) (</w:t>
      </w:r>
      <w:r>
        <w:rPr>
          <w:rFonts w:cs="Century" w:ascii="Century" w:hAnsi="Century"/>
        </w:rPr>
        <w:t>18.3.2007</w:t>
      </w:r>
      <w:r>
        <w:rPr>
          <w:rFonts w:cs="Century" w:ascii="Century" w:hAnsi="Century"/>
          <w:rtl w:val="true"/>
        </w:rPr>
        <w:t xml:space="preserve">)); </w:t>
      </w:r>
      <w:r>
        <w:rPr>
          <w:rtl w:val="true"/>
        </w:rPr>
        <w:t>"</w:t>
      </w:r>
      <w:r>
        <w:rPr>
          <w:rtl w:val="true"/>
        </w:rPr>
        <w:t>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המתפשטת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הרס</w:t>
      </w:r>
      <w:r>
        <w:rPr>
          <w:rtl w:val="true"/>
        </w:rPr>
        <w:t xml:space="preserve">, </w:t>
      </w:r>
      <w:r>
        <w:rPr>
          <w:rtl w:val="true"/>
        </w:rPr>
        <w:t>ומסכנת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2939/19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חלפון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2.2.2020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לא בכדי קבע המחוקק עונש חמור של עד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לעבירת ההצתה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נוכח </w:t>
      </w:r>
      <w:r>
        <w:rPr>
          <w:sz w:val="28"/>
          <w:sz w:val="28"/>
          <w:rtl w:val="true"/>
        </w:rPr>
        <w:t>פוטנציאל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הנזק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המשמעותי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שטמון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וחוסר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היכולת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בתוצאותיה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2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6720/16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והאסמכתאות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7.3.2017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hyperlink r:id="rId2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6720/16</w:t>
        </w:r>
      </w:hyperlink>
      <w:r>
        <w:rPr>
          <w:sz w:val="28"/>
          <w:rtl w:val="true"/>
        </w:rPr>
        <w:t xml:space="preserve">)).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איננו צריכים להרחיק עדותנו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והמקרה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קיפחה אישה צעירה את חייה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יוכיח את עוצמת הסכנה הגלומה בכל הצתה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ובהצתה בתוך בית מגורים בפרט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משרעת הענישה בעבירת ההצתה היא רחבה ורף הענישה אינו אחיד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כל מעשה על פי נסיבותיו </w:t>
      </w:r>
      <w:r>
        <w:rPr>
          <w:rFonts w:cs="Century" w:ascii="Century" w:hAnsi="Century"/>
          <w:rtl w:val="true"/>
        </w:rPr>
        <w:t>(</w:t>
      </w:r>
      <w:hyperlink r:id="rId2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6720/16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המקרה שבפנינו נופל לרף הגבוה של חומרת מעשה ההצתה כשלעצמו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עוד לפני שאנו באים לתוצאה הקשה של מות המנוחה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והשוו ל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2249/18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11.11.2018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שם חלף עונש של ארבע שנות מאסר שהושתו על הנאשם בבית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הטיל בית משפט זה עונש מאסר של שש שנות מאסר בגין הצתה שגרמה לפציעתם של שלושה אנשים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דרכה של ערכאת ערעור למצות את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באותו 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ההצתה נעשתה במתכוון כדי לפגוע בבני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שהעונש בצידה הוא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המערערים הצביעו על כך שמוחמד נדון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מוחמד הורשע בהסדר טיעון בעבירות של סיוע להצתה ולהתפרצות וכן בשיבוש הליכי 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שהמערערים הורשעו כמבצעים בצוותא בעבירות הצתה והריגה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שאין מקום להקיש מהעונש שהושת עליו לענייננו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להקיש מהסדר טיעון של נאשם אחד על רף הענישה של נאשם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הסדר טיעון יכול להביא בחשבון גם שיקולים במישור הראייתי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רקע דברים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נבחן את עניינם של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עברו של המערער נקי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שלמערערת עבר פלילי בעבירה של שוד מזוין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הורשע גם בעבירה של שיבוש הליכי משפט אך לא הורשע בעבירות של גניבה והתפרצות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שהמערערת הורשעה בעבירות 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קשים ורעים שני חייה של המערערת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נסיבותיה האישיות ומוצאותיה משך השנים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 מגיל 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פורטו בחומר שבפנינו ולא נרחיב מפאת צנעת הפרט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 את הליכי הגמילה וההליך השיקומי שעברה המערערת עוד בתקופת מעצרה וכיום בין כותלי הכלא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בהינתן מכלול השיקולים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ובהינתן שהמעשים בוצעו על ידי השניים בצוותא חדא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איננו רואים להבחין בין המערערים לעניין 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הרפורמה בעבירות ההמתה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הסכימה להמיר את עבירת ההריגה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שהעונש בצידה הוא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לעבירה של המתה בקלות דעת שהעונש בצידה הוא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יכול הטוען לטעון כי מאחר שהעונש המכסימלי בגין המעשה הופחת על ידי המחוקק באופן כה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להפחית מיניה וביה מהעונש שהוטל על המערערים על פי הדין הישן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ולא היא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המעשה ונסיבותיו אינם מושפעים מכותרת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וכאשר בית המשפט המחוזי השית על המערערים עונש מאסר של עשר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ראה נגד עיניו יסוד נפשי של קלות 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שעולה גם מסעיף </w:t>
      </w:r>
      <w:r>
        <w:rPr>
          <w:rFonts w:cs="Century" w:ascii="Century" w:hAnsi="Century"/>
        </w:rPr>
        <w:t>133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 של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בו מציין בית המשפט כי מי שמבצע הצתה נוטל על עצמו סיכון גם אם יש להניח שהוא עושה זאת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בהנחה ובתקווה שהסיכון לא יתממש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משמעות התנהגות כזאת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מלמדת על מצב נפשי של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cs="Century"/>
          <w:rtl w:val="true"/>
        </w:rPr>
        <w:t xml:space="preserve"> בנוגע להתרחשות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השיקולים לקולה עליהם עמדנו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ובעיקר נסיבותיה האישיות המיוחדות של המערערת והיעדר עבר פלילי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הגענו למסקנה כי יש להעמיד את עונשם של המערערים על תשע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הפחתה של שנה</w:t>
      </w:r>
      <w:r>
        <w:rPr>
          <w:rFonts w:cs="Century" w:ascii="Century" w:hAnsi="Century"/>
          <w:rtl w:val="true"/>
        </w:rPr>
        <w:t xml:space="preserve">. 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תסקירי נפגעי העבירה מדברים בעד 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ומלמדים על הפגיעה והנזקים שנגרמו לבעלה של המנוחה ולמשפחתה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שעלה גם מהדברים הנרגשים שנשאו בפנינו בתום הדיון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אנו סבורים כי לא היה מקום להטיל על כל אחד מהמערערים לשאת בפיצוי בשיעור הכמעט מכסימלי על פי החוק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אנו מעמידים אפוא את הפיצוי הכולל שישולם על ידי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ולחוד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הסך של </w:t>
      </w:r>
      <w:r>
        <w:rPr>
          <w:rFonts w:cs="Century" w:ascii="Century" w:hAnsi="Century"/>
        </w:rPr>
        <w:t>250,000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בחלוקה שנקבעה בסעיף </w:t>
      </w:r>
      <w:r>
        <w:rPr>
          <w:rFonts w:cs="Century" w:ascii="Century" w:hAnsi="Century"/>
        </w:rPr>
        <w:t>59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דינה של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בהתחשב ביכולתה הכלכלית הדלה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המערערת תתחיל לשלם את הפיצוי בתום מאסרה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בכפוף לאמור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יתר הוראות גזרי הדין יישארו על כנן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ובכאב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שהכרעתנו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5625/16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בוקובזה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</w:rPr>
        <w:t>.2017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לאובדנם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מתכליתה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ודחוף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ממגבלותיו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שהתעוררה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הסטטוטורית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42</w:t>
        </w:r>
        <w:r>
          <w:rPr>
            <w:rStyle w:val="Hyperlink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אובדנה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מנשוא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אוהביה</w:t>
      </w:r>
      <w:r>
        <w:rPr>
          <w:rtl w:val="true"/>
        </w:rPr>
        <w:t xml:space="preserve">, </w:t>
      </w:r>
      <w:r>
        <w:rPr>
          <w:rtl w:val="true"/>
        </w:rPr>
        <w:t>שבליבם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יהי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29.6.2020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17023560</w:t>
      </w:r>
      <w:r>
        <w:rPr>
          <w:sz w:val="16"/>
          <w:rtl w:val="true"/>
        </w:rPr>
        <w:t>_</w:t>
      </w:r>
      <w:r>
        <w:rPr>
          <w:sz w:val="16"/>
        </w:rPr>
        <w:t>E16.docx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54678313-2356/17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2356/17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סמיח רגבי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2a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01c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0301/448.a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48.a" TargetMode="External"/><Relationship Id="rId14" Type="http://schemas.openxmlformats.org/officeDocument/2006/relationships/hyperlink" Target="http://www.nevo.co.il/law/70301/406.b" TargetMode="External"/><Relationship Id="rId15" Type="http://schemas.openxmlformats.org/officeDocument/2006/relationships/hyperlink" Target="http://www.nevo.co.il/law/70301/384" TargetMode="External"/><Relationship Id="rId16" Type="http://schemas.openxmlformats.org/officeDocument/2006/relationships/hyperlink" Target="http://www.nevo.co.il/law/70301/301c" TargetMode="External"/><Relationship Id="rId17" Type="http://schemas.openxmlformats.org/officeDocument/2006/relationships/hyperlink" Target="http://www.nevo.co.il/case/5587202" TargetMode="External"/><Relationship Id="rId18" Type="http://schemas.openxmlformats.org/officeDocument/2006/relationships/hyperlink" Target="http://www.nevo.co.il/case/26280650" TargetMode="External"/><Relationship Id="rId19" Type="http://schemas.openxmlformats.org/officeDocument/2006/relationships/hyperlink" Target="http://www.nevo.co.il/case/5882592" TargetMode="External"/><Relationship Id="rId20" Type="http://schemas.openxmlformats.org/officeDocument/2006/relationships/hyperlink" Target="http://www.nevo.co.il/case/25651834" TargetMode="External"/><Relationship Id="rId21" Type="http://schemas.openxmlformats.org/officeDocument/2006/relationships/hyperlink" Target="http://www.nevo.co.il/case/21478675" TargetMode="External"/><Relationship Id="rId22" Type="http://schemas.openxmlformats.org/officeDocument/2006/relationships/hyperlink" Target="http://www.nevo.co.il/case/21478675" TargetMode="External"/><Relationship Id="rId23" Type="http://schemas.openxmlformats.org/officeDocument/2006/relationships/hyperlink" Target="http://www.nevo.co.il/case/21478675" TargetMode="External"/><Relationship Id="rId24" Type="http://schemas.openxmlformats.org/officeDocument/2006/relationships/hyperlink" Target="http://www.nevo.co.il/case/23793887" TargetMode="External"/><Relationship Id="rId25" Type="http://schemas.openxmlformats.org/officeDocument/2006/relationships/hyperlink" Target="http://www.nevo.co.il/case/21477594" TargetMode="External"/><Relationship Id="rId26" Type="http://schemas.openxmlformats.org/officeDocument/2006/relationships/hyperlink" Target="http://www.nevo.co.il/law/70301/77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2a" TargetMode="External"/><Relationship Id="rId29" Type="http://schemas.openxmlformats.org/officeDocument/2006/relationships/hyperlink" Target="http://www.nevo.co.il/law/98569" TargetMode="External"/><Relationship Id="rId30" Type="http://schemas.openxmlformats.org/officeDocument/2006/relationships/hyperlink" Target="http://supreme.court.gov.il/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2020-07-05T11:09:00Z</dcterms:created>
  <dc:creator>h4</dc:creator>
  <dc:description/>
  <cp:keywords/>
  <dc:language>en-IL</dc:language>
  <cp:lastModifiedBy>hofit</cp:lastModifiedBy>
  <cp:lastPrinted>2020-06-29T16:52:00Z</cp:lastPrinted>
  <dcterms:modified xsi:type="dcterms:W3CDTF">2020-07-05T11:09:00Z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סמיח רגבי;רביד שרי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5587202;26280650;5882592;25651834;21478675:3;23793887;21477594</vt:lpwstr>
  </property>
  <property fmtid="{D5CDD505-2E9C-101B-9397-08002B2CF9AE}" pid="9" name="CITY">
    <vt:lpwstr/>
  </property>
  <property fmtid="{D5CDD505-2E9C-101B-9397-08002B2CF9AE}" pid="10" name="DATE">
    <vt:lpwstr>20200629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ארז;מ' מזוז</vt:lpwstr>
  </property>
  <property fmtid="{D5CDD505-2E9C-101B-9397-08002B2CF9AE}" pid="14" name="LAWLISTTMP1">
    <vt:lpwstr>70301/298;448.a;406.b;384;301c;077;042a</vt:lpwstr>
  </property>
  <property fmtid="{D5CDD505-2E9C-101B-9397-08002B2CF9AE}" pid="15" name="LAWLISTTMP2">
    <vt:lpwstr>98569</vt:lpwstr>
  </property>
  <property fmtid="{D5CDD505-2E9C-101B-9397-08002B2CF9AE}" pid="16" name="LAWYER">
    <vt:lpwstr>דגנית כהן ויליאמס;נאשף דרויש;ארז בר צבי;חגית לרנאו נועה זעירא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שיקולי ענישה</vt:lpwstr>
  </property>
  <property fmtid="{D5CDD505-2E9C-101B-9397-08002B2CF9AE}" pid="50" name="NOSE310">
    <vt:lpwstr/>
  </property>
  <property fmtid="{D5CDD505-2E9C-101B-9397-08002B2CF9AE}" pid="51" name="NOSE32">
    <vt:lpwstr>מדיניות ענישה: הצתה</vt:lpwstr>
  </property>
  <property fmtid="{D5CDD505-2E9C-101B-9397-08002B2CF9AE}" pid="52" name="NOSE33">
    <vt:lpwstr>דרכי ענישה: פיצויים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15506;15357;8968</vt:lpwstr>
  </property>
  <property fmtid="{D5CDD505-2E9C-101B-9397-08002B2CF9AE}" pid="60" name="PADIDATE">
    <vt:lpwstr>20200701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2356;1332</vt:lpwstr>
  </property>
  <property fmtid="{D5CDD505-2E9C-101B-9397-08002B2CF9AE}" pid="66" name="PROCYEAR">
    <vt:lpwstr>17;18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410120200629</vt:lpwstr>
  </property>
  <property fmtid="{D5CDD505-2E9C-101B-9397-08002B2CF9AE}" pid="70" name="TYPE_N_DATE">
    <vt:lpwstr>41020200629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