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2362/16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22149-10-13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12.5.2019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אייזנברג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על הרשעתו בעבירת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התביעה משתלבות היטב זו בזו ומוכיחות את אשמת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 מצביעות בבירור על מעורבות המערער ברצח ולא נמצא הסבר סביר שמיישב את מכלול הראיות עם חפות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לפיצוי בני משפחת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הלכת טווק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הופחת הפיצוי למשפחת המנוח והועמד על הסכום המירבי הקבוע בחוק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על יסוד ראיות נסיבתיות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ספק 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דרך בחינתן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מניע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ערעור – הגשת ראיה נוספת בערעור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לקורבן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במהימנות עדים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הרשיע את המערער ברצח משה עוקבי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וגזר עליו עונש מאסר עולם ותשלום פיצויים בסכום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600,000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לבת זוגו של המנוח ולשני ילדיו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הוצגו ראיות שעיקרן ראיות פורנזיות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טען במפורש שחברו דניאל רצח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העלה כלפיו טענות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היתר נטען לקיומו של סכסוך בין דניאל לבין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הועלתה האפשרות שמי שאשם ברצח הוא שחר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משפחתו של דניאל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שהכיר את המנוח ואת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נטען ששחר ודניאל היו שותפים למזימת הפללה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מינץ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להפחתה בשיעור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מבוססת על מארג של 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לבחון אותה בזהירות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להיסק מתוך הראיות ולהערכת הסבירות של התרחישים החלופיים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יתרון לערכאה הדיונית ויש לבחון את המסקנות בקפידה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לממצאים עובדתיים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ביחס למהימנות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יהיה להתערב בקביעות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ששמע את העדויות באופן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אמצעי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יש ראיות ברורות שמפלילות את המערער וקושרות אותו לביצוע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הוכחה טענת המערער כי מדובר בהפללה זדונית של נאשם חף מפשע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הוכחה הטענה בדבר קיומן של ראיות מזכות שמלמדות כי אין אפשרות שהמערער הוא הרוצח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לקיומו של מניע לרצוח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 איננו יסוד מיסודות העבירה והוכחתו איננה תנאי הכרחי להרשעה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חוסר בהירות לגבי המניע של הנאשם עשוי לעורר ספק בדבר 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כאשר ההרשעה מבוססת על ראיות נסיבתיות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לא ניתן היה להגיע לממצאים חד משמעיים בנוגע לסכסוך בין הנאשם למנוח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הוכח כי היו לו יחסים מורכבים עם המנוח וכי במועד הרצח המערער כעס על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שהמניע לא הוכח באופן ברור איננה מחלישה את הראיות הנסיבתיות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המצביעות באופן ברור על אשמתו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הצליח לקשור את שחר לביצוע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התרשם לשלילה מעדותו של המערער ואין מקום להתערב בקביעה כי גרסת המערער אינה אמינה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הבקשה להוספת ראיה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חוות דעת מומחה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שלמערער הייתה אפשרות להגיש את הראיה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היתה התפתחות ראייתית כלשהי לאחר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החלפת הייצוג אינו מהווה טעם להתיר הגשת ראיה 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אינטרס סופיות הדיון והעובדה שבראיה החדשה לא גלום פוטנציאל לשינוי ההכרעה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תומכים בדחיית הבקשה להוספת ראיה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משתלבות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ומוכיחות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ממצאי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DNA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מהווים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העיקרית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היחידה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מערכת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יחסים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מצבו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חלון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ההזדמנויות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שאפשר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ולחזור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התבטאות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שתיקת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בחקירה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וגרסתו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זכתה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לאמון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הצטרפו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החפציות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והובילו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למסקנה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המרשיעה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הצליח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להראות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תרחיש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חלופי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שמיישב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חפותו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מצביעות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בבירור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שמיישב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חפות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ולפיכך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להותיר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לאור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טווק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והועמד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הסכום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המירבי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הקבוע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258,000</w:t>
      </w:r>
      <w:r>
        <w:rPr>
          <w:spacing w:val="0"/>
          <w:sz w:val="24"/>
          <w:szCs w:val="26"/>
          <w:rtl w:val="true"/>
        </w:rPr>
        <w:t xml:space="preserve"> ₪.</w:t>
      </w:r>
      <w:bookmarkStart w:id="8" w:name="ABSTRACT_END"/>
      <w:bookmarkEnd w:id="8"/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21.12.2015</w:t>
      </w:r>
      <w:r>
        <w:rPr>
          <w:rtl w:val="true"/>
        </w:rPr>
        <w:t xml:space="preserve"> (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22149-10-13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5.9.2013</w:t>
      </w:r>
      <w:r>
        <w:rPr>
          <w:rtl w:val="true"/>
        </w:rPr>
        <w:t xml:space="preserve">,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.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tl w:val="true"/>
        </w:rPr>
        <w:t>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הפורנזיים</w:t>
      </w:r>
      <w:r>
        <w:rPr>
          <w:rtl w:val="true"/>
        </w:rPr>
        <w:t xml:space="preserve">: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שבאמצעותה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לדניאל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ולצידם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גזירי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שנחתכו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במריצה</w:t>
      </w:r>
      <w:r>
        <w:rPr>
          <w:rtl w:val="true"/>
        </w:rPr>
        <w:t xml:space="preserve">,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שלתוכה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פסולת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דמותו</w:t>
      </w:r>
      <w:r>
        <w:rPr>
          <w:rtl w:val="true"/>
        </w:rPr>
        <w:t xml:space="preserve">, </w:t>
      </w:r>
      <w:r>
        <w:rPr>
          <w:rtl w:val="true"/>
        </w:rPr>
        <w:t>לבושו</w:t>
      </w:r>
      <w:r>
        <w:rPr>
          <w:rtl w:val="true"/>
        </w:rPr>
        <w:t xml:space="preserve">, </w:t>
      </w:r>
      <w:r>
        <w:rPr>
          <w:rtl w:val="true"/>
        </w:rPr>
        <w:t>והכיוון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. </w:t>
      </w:r>
      <w:r>
        <w:rPr>
          <w:rtl w:val="true"/>
        </w:rPr>
        <w:t>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החממות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23:43</w:t>
      </w:r>
      <w:r>
        <w:rPr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/>
        <w:t>23:20</w:t>
      </w:r>
      <w:r>
        <w:rPr>
          <w:rtl w:val="true"/>
        </w:rPr>
        <w:t xml:space="preserve"> </w:t>
      </w:r>
      <w:r>
        <w:rPr>
          <w:rtl w:val="true"/>
        </w:rPr>
        <w:t>והספיק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23:43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הקורה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נסער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במושב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פריטי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וכובע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שארתיים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התרחישים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לקראת סופה של הכרעת הדין נמתחה ביקורת חריפה על האופן שבו חוקרי המשטרה נהגו באחת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זהבה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המכוּנה גם זהבית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אך הובהר כי היא דיברה דברי אמת ואין לכך השפעה על ההכרעה בתיק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24.2.2016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ומתפרשים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הופלל</w:t>
      </w:r>
      <w:r>
        <w:rPr>
          <w:rtl w:val="true"/>
        </w:rPr>
        <w:t xml:space="preserve">,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ומדוקדק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והציטוטים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, </w:t>
      </w:r>
      <w:r>
        <w:rPr>
          <w:rtl w:val="true"/>
        </w:rPr>
        <w:t>יבוצע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וייערכו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וטביעת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בדיכאון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שגיאות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",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שיבשו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מפלילות</w:t>
      </w:r>
      <w:r>
        <w:rPr>
          <w:rtl w:val="true"/>
        </w:rPr>
        <w:t xml:space="preserve">'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",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וכרמית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11.11.2018</w:t>
      </w:r>
      <w:r>
        <w:rPr>
          <w:rtl w:val="true"/>
        </w:rPr>
        <w:t>).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start="7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tl w:val="true"/>
        </w:rPr>
        <w:t xml:space="preserve">,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ועלינו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וכרמית</w:t>
      </w:r>
      <w:r>
        <w:rPr>
          <w:rtl w:val="true"/>
        </w:rPr>
        <w:t xml:space="preserve">, </w:t>
      </w:r>
      <w:r>
        <w:rPr>
          <w:rtl w:val="true"/>
        </w:rPr>
        <w:t>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</w:t>
      </w:r>
      <w:r>
        <w:rPr>
          <w:rFonts w:ascii="Century" w:hAnsi="Century" w:cs="Century"/>
          <w:rtl w:val="true"/>
        </w:rPr>
        <w:t>יות באופן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אמצעי </w:t>
      </w:r>
      <w:r>
        <w:rPr>
          <w:rFonts w:cs="Century" w:ascii="Century" w:hAnsi="Century"/>
          <w:rtl w:val="true"/>
        </w:rPr>
        <w:t>(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8808/14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10.1.2017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פחימה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723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לטפל</w:t>
      </w:r>
      <w:r>
        <w:rPr>
          <w:rtl w:val="true"/>
        </w:rPr>
        <w:t xml:space="preserve">, </w:t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מפלילות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color w:val="4BACC6"/>
          <w:sz w:val="20"/>
          <w:szCs w:val="26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הראיות שמפלילות את המערער הן ברורות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בנתיב הבריחה של הרוצח נמצאה הסכין ששימשה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פריטי לבוש שקשורים למערער בדרכים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ביתר פירוט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בבוקר שלאחר הרצח בוצעו סריקות באזור שאליו נמלט הרוצח על פי עדי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לעקבות שזוהו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גשש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הבגדים נמצאו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רכז הביטחון של המושב וכך הוא מתאר בדוח פעולה שנערך בזמן אמת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במהלך הסריקות בחממה שנמצאת מאחרי הבית דרומית לבית הכנסת התימני מצאתי את הנדן של הסכין ולידו בגדים מכוסים באבן הוזזתי את האבן ומתחתה נימצאה הסכין הכפפות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כובע גרב בצבע ירוק מכנס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ינס שחור וחולצה שחורה עם פסים לבנים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הסכין נלקחה מביתו של 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וכיום ברור כי הכפפות שנמצאו לצד הסכין שייכות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בצד הפנימי של הכפפה הימנית נמצא 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ובצד החיצוני כתם דם של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כובע הגרב היה שייך לדניאל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ונמצאו עליו שרידי 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המערער ודם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בכפפות ובכובע נמצא גם ממצא 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שארתי קטן יחסית לממצאים של המנוח והמערער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החולצה והמכנסיים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שגם הם שייכים לדניאל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נמצאו כתמי דם קטנים והוכח שמדובר בדמו של המנוח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>
          <w:rFonts w:ascii="Century" w:hAnsi="Century" w:cs="Century"/>
          <w:color w:val="4BACC6"/>
          <w:sz w:val="20"/>
          <w:szCs w:val="26"/>
        </w:rPr>
      </w:pPr>
      <w:r>
        <w:rPr>
          <w:rFonts w:cs="Century" w:ascii="Century" w:hAnsi="Century"/>
          <w:color w:val="4BACC6"/>
          <w:sz w:val="20"/>
          <w:szCs w:val="26"/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שרלוק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הולמס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>"</w:t>
      </w:r>
      <w:r>
        <w:rPr>
          <w:rFonts w:cs="Times New Roman" w:ascii="Times New Roman" w:hAnsi="Times New Roman"/>
          <w:sz w:val="26"/>
          <w:szCs w:val="32"/>
          <w:rtl w:val="true"/>
        </w:rPr>
        <w:t xml:space="preserve"> - </w:t>
      </w:r>
      <w:r>
        <w:rPr>
          <w:rFonts w:cs="Times New Roman" w:ascii="Times New Roman" w:hAnsi="Times New Roman"/>
          <w:sz w:val="24"/>
          <w:szCs w:val="24"/>
          <w:rtl w:val="true"/>
          <w:lang w:val="en"/>
        </w:rPr>
        <w:t>"</w:t>
      </w:r>
      <w:r>
        <w:rPr>
          <w:rFonts w:cs="Times New Roman" w:ascii="Times New Roman" w:hAnsi="Times New Roman"/>
          <w:sz w:val="24"/>
          <w:szCs w:val="24"/>
          <w:lang w:val="en"/>
        </w:rPr>
        <w:t>There is nothing more deceptive than an obvious fact" (</w:t>
      </w:r>
      <w:r>
        <w:rPr>
          <w:rStyle w:val="fn"/>
          <w:rFonts w:cs="Times New Roman" w:ascii="Times New Roman" w:hAnsi="Times New Roman"/>
          <w:sz w:val="24"/>
          <w:szCs w:val="24"/>
          <w:lang w:val="en"/>
        </w:rPr>
        <w:t>Arthur Conan Doyle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/ The Boscombe Valley Mystery)</w:t>
      </w:r>
      <w:r>
        <w:rPr>
          <w:rFonts w:cs="Times New Roman" w:ascii="Times New Roman" w:hAnsi="Times New Roman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z w:val="26"/>
          <w:szCs w:val="32"/>
          <w:rtl w:val="true"/>
        </w:rPr>
        <w:t xml:space="preserve">.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",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בנימה זו טען המערער כי התיק שבפנינו אינו פשוט כלל ועיקר ועסקינן ב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מתוחכמים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בד בבד נטען בערעור כי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הופלל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תיזת ההפללה מעוררת קשיים ניכרים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עוד מבלי להידרש לשאלה מי היה עשוי להפליל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הכנסת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רצה שימצאו את הפריטים שאינם שלו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הפריטים פשוט חיכו שמישהו ימצא אותם ולא היו כלל מוסתרים</w:t>
      </w:r>
      <w:r>
        <w:rPr>
          <w:rFonts w:cs="Century" w:ascii="Century" w:hAnsi="Century"/>
          <w:rtl w:val="true"/>
        </w:rPr>
        <w:t>".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הפריטים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הוסתרו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מתחת לצינור בטון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בחממות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מהשביל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בזכות עדת ראיה שהבחינה ברוצח נמלט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וקשה להלום שהרוצח ציפה או תכנן שמישהו יבחין בו והחוקרים יעלו על עקבותיו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עדות הראיה כשלעצמה לא הובילה למקום בו הוסתרו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צורך בפעולות גישוש וסריקות ממושכות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לאחר שהבוקר האיר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רכז הביטחון של המושב הבחין בבגדים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הראיות עצמן מוכיחות כי מי שהטמין אותן לא התכוון להוביל את החוקרים למסקנה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בשל כך קשה להלום כי מדובר בניסיון הפללה מכוון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הראיות שנמצאו מתחת לצינור הבטון ניתן לחלק לשלושה סוגים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סכין וכובע ששייכים לדניאל והוכח כי הרוצח השתמש בהם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בגדים ששייכים לדניאל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וכפפות ששייכות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הדיון נניח כי מי שהניח את הראיות התכוון שהמשטרה תמצא אותן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 איך הנחה כזו איננה יכולה להתיישב עם הראיות שנמצאו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וכל תרחיש מוביל למבוי סתום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 כי איננו נדרשים כעת לטענה הקונקרטית ששחר הוא זה שהפליל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שהמערער טען כך בלהט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כאילו הדבר ידוע לו מידיעה אישית או הוכח בראיות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בהנחה שהראיות היו מבוימות ונועדו לעיני החוקרים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 שתכנן מבעוד מועד להפליל אדם אחר בביצוע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ניסה כנראה להפליל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הניח את הסכין על בגדיו של דניאל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טען בנחרצות ששחר ניסה להפליל אותו ואף טרח להראות לכך מניע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כאשר הגיע המערער להתמודד עם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נאלץ לרכך את קו הטיעון ולהעלות את האפשרות שלפיה </w:t>
      </w:r>
      <w:r>
        <w:rPr>
          <w:rtl w:val="true"/>
        </w:rPr>
        <w:t>"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390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),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395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במכוון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423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שכנוע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שני התרחישים אינם הגיוניים מסיבה נוספת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נניח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שהרוצח הטמין את הבגדים מבעוד 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התכוון שהמשטרה תמצא אותם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והניח על גביהם את הסכין כדי להפליל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דניאל ו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או המערער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גם בתרחיש 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שום היגיון בכך שהרוצח יסיר את כובע הגרב שחבש בזמן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ויניח אותו מתחת לסכין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מעשה כזה אינו עולה בקנה אחד עם ההבנה הפשוטה שכובע הגרב עשוי להוביל את המשטרה אל הרוצח באמצעות בדיקת 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שאכן קרה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המסקנה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בניגוד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 שהשאיר את הראיות מתחת לצינור הבטון באזור החממות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התכוון שהמשטרה תמצא אותן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: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לבנים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. </w:t>
      </w:r>
      <w:r>
        <w:rPr>
          <w:rtl w:val="true"/>
        </w:rPr>
        <w:t>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הנמלט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 xml:space="preserve">), </w:t>
      </w:r>
      <w:r>
        <w:rPr>
          <w:rtl w:val="true"/>
        </w:rPr>
        <w:t>והנערים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214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214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החולצה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נצטרך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), </w:t>
      </w:r>
      <w:r>
        <w:rPr>
          <w:rtl w:val="true"/>
        </w:rPr>
        <w:t>והטמין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ואדרש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החולצה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</w:t>
      </w:r>
      <w:r>
        <w:rPr>
          <w:rtl w:val="true"/>
        </w:rPr>
        <w:t xml:space="preserve">).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לדניאל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נגנבו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החורף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עוקצן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ראיות </w:t>
      </w:r>
      <w:r>
        <w:rPr>
          <w:rFonts w:ascii="Century" w:hAnsi="Century" w:cs="Century"/>
          <w:rtl w:val="true"/>
        </w:rPr>
        <w:t>ה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והופכים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נייטרלי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;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והקיא</w:t>
      </w:r>
      <w:r>
        <w:rPr>
          <w:rtl w:val="true"/>
        </w:rPr>
        <w:t xml:space="preserve">, </w:t>
      </w:r>
      <w:r>
        <w:rPr>
          <w:rtl w:val="true"/>
        </w:rPr>
        <w:t>הרוק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לכובע</w:t>
      </w:r>
      <w:r>
        <w:rPr>
          <w:rtl w:val="true"/>
        </w:rPr>
        <w:t xml:space="preserve">;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ההסברים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שארתי</w:t>
      </w:r>
      <w:r>
        <w:rPr>
          <w:rtl w:val="true"/>
        </w:rPr>
        <w:t xml:space="preserve">. </w:t>
      </w:r>
      <w:r>
        <w:rPr>
          <w:rtl w:val="true"/>
        </w:rPr>
        <w:t>המומחית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268-266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ראיה עצמאית נוספת קושרת את המערער לרצח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מחוץ לביתו של דניאל עמדה מריצה שלתוכה דניאל והמערער נהגו להשליך אשפה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ולרוקן את המריצה לאחר תקופת 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הרצח ערכו חוקרי המשטרה חיפוש במריצה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אחת שקיות האשפה היו מספר שקיות קטנות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בתוך אחת מהן היו גזירי הבד שנחתכו מתוך כובע הגרב כדי ליצור חורים לעיניים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ובתוך שקית נוספת נמצאו פריטים שהמערער השליך לאשפה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הגזירים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הגזירים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הגזירים</w:t>
      </w:r>
      <w:r>
        <w:rPr>
          <w:rtl w:val="true"/>
        </w:rPr>
        <w:t xml:space="preserve">,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מכיוון שכיום אין טענה שדניאל ביצע את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ולמעשה הוא הציג אליבי תקף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זוהי ראיה כבדת משקל לחובתו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גם מקשה מאד על תיזת ההפללה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לקבל את תיזת ההפללה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להסתפק בהנחה שמאן דהוא הכין מבעוד מועד את פרטי הלבוש בסמוך לזירת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ואחרי הרצח הניח על גביהם את הסכין מתוך כוונה שהמשטרה תמצא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לקבל את טענתו של המערער עלינו להוסיף ולקבל הנחה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שחר הטמין את גזירי הבד בתוך שקית זבל מחוץ לביתו של 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אשפה שהמערער השליך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והכל כדי להפליל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דניאל ו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או המערער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טענת ההפללה הולכת ומתרחקת אפוא ממתחם האפשרויות המתקבלות על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גם שאין ראיה לכך ששחר הגיע לביתו של דניאל בסמוך למועד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 ההפללה דורשת מאיתנו להניח כי מי שהפליל את המערער טרח להשתיל ראיות סמויות מן העין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סמך הנחה שהחוקרים ינברו בשקיות האשפה שהונחו במריצה מחוץ לביתו של דניאל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ימצאו שם את הגזירים וישייכו אותם לכובע הגרב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תרחיש שאינו מתיישב עם ההיגיון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רקע הראיות הנוספות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הוא מעורר ספק ביחס למעורבותו של המערער ברצח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ראוי להבהיר כי הגזירים לא נמצאו בשקית נפרדת אלא בתוך שקית שבה פריטי אשפה נוספים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העובדה שחוקרי המשטרה בדקו בקפידה את האשפה שהושלכה במריצה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הצליחו להבחין בגזירי הבד ולהבין את משמעות הממצא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מעידה על מקצועיות ויסודיות ראויות לציון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פרטי הלבוש שנמצאו לצד הסכין קשורים למערער בדרכים שונות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החולצה והמכנסיים נלקחו מהבית שבו המערער התגורר באותו זמן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הכפפות שייכות למערער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ועל כובע הגרב נמצא 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ממצאים אלה משמשים ראיות נסיבתיות כבדות משקל לאשמתו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גזירי הבד של כובע הגרב שנמצאו בשקית האשפה במריצה מחוץ לבית מוסיפים נדבך נוסף לראיות המפלילות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ומשתלבים היטב במסקנה כי המערער אשם בביצוע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היתכנות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ומקום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רוב</w:t>
      </w:r>
      <w:r>
        <w:rPr>
          <w:rtl w:val="true"/>
        </w:rPr>
        <w:t xml:space="preserve">) </w:t>
      </w:r>
      <w:r>
        <w:rPr>
          <w:rtl w:val="true"/>
        </w:rPr>
        <w:t>החג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 נרצח מחוץ לביתו בכפר יעבץ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בליל החג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לכל המאוחר בשעה </w:t>
      </w:r>
      <w:r>
        <w:rPr>
          <w:rFonts w:cs="Century" w:ascii="Century" w:hAnsi="Century"/>
        </w:rPr>
        <w:t>23:20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23:43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אוכן באבן יהודה באמצעות שיחת טלפון יוצאת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23:20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23:43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 ההגנה היא כי המערער לא יכול היה להספיק לחזור לביתו של דניאל באבן יהודה בתוך זמן כה קצר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וזוהי ראיה שמוכיחה את חפותו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הדיון בטענה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נערכו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ניסויים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ומדידות זמנים של אפשרויות שונות ומסלולים שונים בין שתי הנקודות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מטעם התביעה הן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קמא נדרש לכך בהרחבה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</w:t>
      </w:r>
      <w:r>
        <w:rPr>
          <w:rFonts w:cs="Century" w:ascii="Century" w:hAnsi="Century"/>
          <w:rtl w:val="true"/>
        </w:rPr>
        <w:t>:</w:t>
      </w:r>
      <w:r>
        <w:rPr>
          <w:color w:val="4BACC6"/>
          <w:sz w:val="20"/>
          <w:szCs w:val="26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בהסתמך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ניסויי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באמינותם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ובהנחה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שהמסלול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הדוקר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כמפורט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דניאל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יהודה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לאשורה</w:t>
      </w:r>
      <w:r>
        <w:rPr>
          <w:rtl w:val="true"/>
        </w:rPr>
        <w:t xml:space="preserve">, </w:t>
      </w:r>
      <w:r>
        <w:rPr>
          <w:rtl w:val="true"/>
        </w:rPr>
        <w:t>ומוכיחים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75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מפגמים</w:t>
      </w:r>
      <w:r>
        <w:rPr>
          <w:rtl w:val="true"/>
        </w:rPr>
        <w:t xml:space="preserve">, </w:t>
      </w:r>
      <w:r>
        <w:rPr>
          <w:rtl w:val="true"/>
        </w:rPr>
        <w:t>ולמשל</w:t>
      </w:r>
      <w:r>
        <w:rPr>
          <w:rtl w:val="true"/>
        </w:rPr>
        <w:t xml:space="preserve">, </w:t>
      </w:r>
      <w:r>
        <w:rPr>
          <w:rtl w:val="true"/>
        </w:rPr>
        <w:t>בניסויים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המושב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הניסויים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נימוקיה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התחוורו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. 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טהורה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וניסוי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ההתמקדות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אווירי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23:43</w:t>
      </w:r>
      <w:r>
        <w:rPr>
          <w:rtl w:val="true"/>
        </w:rPr>
        <w:t xml:space="preserve">.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בניסוי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שנמשכת</w:t>
      </w:r>
      <w:r>
        <w:rPr>
          <w:rFonts w:eastAsia="Arial TUR" w:cs="Arial TUR"/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65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שמוסיפים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ופרק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;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 xml:space="preserve">);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. </w:t>
      </w:r>
      <w:r>
        <w:rPr>
          <w:rtl w:val="true"/>
        </w:rPr>
        <w:t>המקטע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הדיווח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>).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מערב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החממות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22:10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)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;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23:12</w:t>
      </w:r>
      <w:r>
        <w:rPr>
          <w:rtl w:val="true"/>
        </w:rPr>
        <w:t xml:space="preserve"> </w:t>
      </w:r>
      <w:r>
        <w:rPr>
          <w:rtl w:val="true"/>
        </w:rPr>
        <w:t>ובשעה</w:t>
      </w:r>
      <w:r>
        <w:rPr>
          <w:rFonts w:eastAsia="Arial TUR" w:cs="Arial TUR"/>
          <w:rtl w:val="true"/>
        </w:rPr>
        <w:t xml:space="preserve"> </w:t>
      </w:r>
      <w:r>
        <w:rPr/>
        <w:t>23:17</w:t>
      </w:r>
      <w:r>
        <w:rPr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לשיחות</w:t>
      </w:r>
      <w:r>
        <w:rPr>
          <w:rtl w:val="true"/>
        </w:rPr>
        <w:t xml:space="preserve">;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23:43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) </w:t>
      </w:r>
      <w:r>
        <w:rPr>
          <w:rtl w:val="true"/>
        </w:rPr>
        <w:t>ואוכן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58</w:t>
      </w:r>
      <w:r>
        <w:rPr>
          <w:rtl w:val="true"/>
        </w:rPr>
        <w:t xml:space="preserve">).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והתעורר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התפוגגה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1563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1684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מזכות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".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בדיכאון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" </w:t>
      </w:r>
      <w:r>
        <w:rPr>
          <w:rtl w:val="true"/>
        </w:rPr>
        <w:t>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: "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באישתו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ומנוצל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156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התקשיתי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רומנטיות</w:t>
      </w:r>
      <w:r>
        <w:rPr>
          <w:rtl w:val="true"/>
        </w:rPr>
        <w:t xml:space="preserve">".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הבחורות</w:t>
      </w:r>
      <w:r>
        <w:rPr>
          <w:rtl w:val="true"/>
        </w:rPr>
        <w:t xml:space="preserve">"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מזכות</w:t>
      </w:r>
      <w:r>
        <w:rPr>
          <w:rtl w:val="true"/>
        </w:rPr>
        <w:t xml:space="preserve">"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 xml:space="preserve">.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" w:cs="Arial TUR"/>
          <w:rtl w:val="true"/>
        </w:rPr>
        <w:t xml:space="preserve"> </w:t>
      </w:r>
      <w:r>
        <w:rPr/>
        <w:t>22:10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tl w:val="true"/>
        </w:rPr>
        <w:t xml:space="preserve">, </w:t>
      </w:r>
      <w:r>
        <w:rPr>
          <w:rtl w:val="true"/>
        </w:rPr>
        <w:t>שהמתינה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התפוגגו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color w:val="70AD47"/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יתבטא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 xml:space="preserve">,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הטמין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בחממות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לא הצליח להציג בפנינו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ראיות מזכות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מניע איננו יסוד מיסודות העבירה והוכחתו איננה תנאי הכרחי להרשעה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חוסר בהירות לגבי המניע של הנאשם עשוי לעורר ספק בדבר אשמתו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ובפרט כאשר ההרשעה מבוססת על ראיות נסיבתיות בלבד </w:t>
      </w:r>
      <w:r>
        <w:rPr>
          <w:rFonts w:cs="Century" w:ascii="Century" w:hAnsi="Century"/>
          <w:rtl w:val="true"/>
        </w:rPr>
        <w:t>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3263/13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19.3.2017</w:t>
      </w:r>
      <w:r>
        <w:rPr>
          <w:rFonts w:cs="Century" w:ascii="Century" w:hAnsi="Century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נכתב בהכרעת הדין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שציינה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בצדק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קצב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ראש צוות החקירה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לממצאים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לסכסוך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למרות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הוקדשו לסוגיה זו משאבים לא מעטים בישיבות ההוכחות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בהכרעת הדין וגם בערעור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מאחר שהמערער השקיע בכך מאמץ ניכר אתייחס לנושא אף מעבר למידה הנדרשת 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אקדים את המאוחר ואחשוף כי התמונה שתצטייר אינה לזכותו של המערער אלא להיפך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נקודת המוצא היא שהמערער והמנוח הכירו זה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שאפרט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מסויים המנוח היה חייב למערער כסף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בהמשך החוב נפרע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הוכח כי בימים שלפני הרצח המערער היה במצב רוח ירוד וסוער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נזקק בדחיפות לכסף והרגיש שיש אנשים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עקצו אותו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תקעו לו סכין בגב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לטענתו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לכך קשר כלשהו למנוח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>" (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ואנסה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186-158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):</w:t>
      </w:r>
    </w:p>
    <w:p>
      <w:pPr>
        <w:pStyle w:val="Ruller41"/>
        <w:ind w:start="43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ושחר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3,300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כערבון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.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" w:cs="Arial TUR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לעומסי</w:t>
      </w:r>
      <w:r>
        <w:rPr>
          <w:rtl w:val="true"/>
        </w:rPr>
        <w:t xml:space="preserve">, </w:t>
      </w:r>
      <w:r>
        <w:rPr>
          <w:rtl w:val="true"/>
        </w:rPr>
        <w:t>הערֵב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rtl w:val="true"/>
        </w:rPr>
        <w:t>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 xml:space="preserve">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ללכת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המכנסיים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למטה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אף הכעס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עומסי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כשלושה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); </w:t>
      </w:r>
      <w:r>
        <w:rPr>
          <w:rtl w:val="true"/>
        </w:rPr>
        <w:t>ובערעור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),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ומעדויות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והגינות</w:t>
      </w:r>
      <w:r>
        <w:rPr>
          <w:rtl w:val="true"/>
        </w:rPr>
        <w:t xml:space="preserve">.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גזל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מכרו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הכעסים</w:t>
      </w:r>
      <w:r>
        <w:rPr>
          <w:rtl w:val="true"/>
        </w:rPr>
        <w:t xml:space="preserve">,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לטרוניה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בהתחייבותו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הערֵבים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ונלמד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ואציין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1585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1777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tl w:val="true"/>
        </w:rPr>
        <w:t xml:space="preserve">, </w:t>
      </w:r>
      <w:r>
        <w:rPr>
          <w:rtl w:val="true"/>
        </w:rPr>
        <w:t>שנפגשה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ושוחחה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פארטיה</w:t>
      </w:r>
      <w:r>
        <w:rPr>
          <w:rtl w:val="true"/>
        </w:rPr>
        <w:t>", "</w:t>
      </w:r>
      <w:r>
        <w:rPr>
          <w:rtl w:val="true"/>
        </w:rPr>
        <w:t>עקץ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קומבינה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מניאק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המדוייקות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עקץ</w:t>
      </w:r>
      <w:r>
        <w:rPr>
          <w:rtl w:val="true"/>
        </w:rPr>
        <w:t xml:space="preserve">":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ובהכרעת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מדוקדקת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כרמית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התרשמותי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אמצעית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אמרותיה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צפייה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בקלטות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שהמנוח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עקץ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עקץ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213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הקביעה העובדתית היא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העמימות</w:t>
      </w:r>
      <w:r>
        <w:rPr>
          <w:rtl w:val="true"/>
        </w:rPr>
        <w:t xml:space="preserve">,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עקץ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/>
        <w:t>9-8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/>
        <w:t>23-22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573-572</w:t>
      </w:r>
      <w:r>
        <w:rPr>
          <w:rtl w:val="true"/>
        </w:rPr>
        <w:t xml:space="preserve">, </w:t>
      </w:r>
      <w:r>
        <w:rPr/>
        <w:t>596</w:t>
      </w:r>
      <w:r>
        <w:rPr>
          <w:rtl w:val="true"/>
        </w:rPr>
        <w:t xml:space="preserve">, </w:t>
      </w:r>
      <w:r>
        <w:rPr/>
        <w:t>638</w:t>
      </w:r>
      <w:r>
        <w:rPr>
          <w:rtl w:val="true"/>
        </w:rPr>
        <w:t xml:space="preserve">, </w:t>
      </w:r>
      <w:r>
        <w:rPr/>
        <w:t>656</w:t>
      </w:r>
      <w:r>
        <w:rPr>
          <w:rtl w:val="true"/>
        </w:rPr>
        <w:t xml:space="preserve">, </w:t>
      </w:r>
      <w:r>
        <w:rPr/>
        <w:t>668-667</w:t>
      </w:r>
      <w:r>
        <w:rPr>
          <w:rtl w:val="true"/>
        </w:rPr>
        <w:t xml:space="preserve">, </w:t>
      </w:r>
      <w:r>
        <w:rPr/>
        <w:t>687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25-24</w:t>
      </w:r>
      <w:r>
        <w:rPr>
          <w:rtl w:val="true"/>
        </w:rPr>
        <w:t xml:space="preserve">).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tl w:val="true"/>
        </w:rPr>
        <w:t xml:space="preserve">, </w:t>
      </w:r>
      <w:r>
        <w:rPr>
          <w:rtl w:val="true"/>
        </w:rPr>
        <w:t>ידידתו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והעלה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התבלבלה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1786-1795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עֵר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ששוחחה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נסער</w:t>
      </w:r>
      <w:r>
        <w:rPr>
          <w:rtl w:val="true"/>
        </w:rPr>
        <w:t xml:space="preserve">, </w:t>
      </w:r>
      <w:r>
        <w:rPr>
          <w:rtl w:val="true"/>
        </w:rPr>
        <w:t>לחוץ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ועצבני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... </w:t>
      </w:r>
      <w:r>
        <w:rPr>
          <w:rtl w:val="true"/>
        </w:rPr>
        <w:t>שחייבים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",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יעבץ</w:t>
      </w:r>
      <w:r>
        <w:rPr>
          <w:rtl w:val="true"/>
        </w:rPr>
        <w:t>), "</w:t>
      </w:r>
      <w:r>
        <w:rPr>
          <w:rtl w:val="true"/>
        </w:rPr>
        <w:t>לארגן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7-2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309-298</w:t>
      </w:r>
      <w:r>
        <w:rPr>
          <w:rtl w:val="true"/>
        </w:rPr>
        <w:t xml:space="preserve">, </w:t>
      </w:r>
      <w:r>
        <w:rPr/>
        <w:t>316</w:t>
      </w:r>
      <w:r>
        <w:rPr>
          <w:rtl w:val="true"/>
        </w:rPr>
        <w:t xml:space="preserve">,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בהכרעת הדין נקבע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המפורטות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מפרטת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בעדותה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מסרה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קמא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ובעיקר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התייחס בהרחבה לכשלים בחקירתה של זהבה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הובהר כי אין בכך כדי לגרוע מאמינות דבריה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בקביעה זו אינני רואה מקום להתערב נוכח העדיפות שניתנת לערכאה הדיונית בכגון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משום שהפרוטוקול מוכיח שזהבה עשתה מאמץ לדייק ולמסור עדות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וראוי להדגיש כי אין טענה שזהבה ניסתה להפליל את המערער או לפגוע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בהנחה שהחוקרים הפעילו על זהבה לחץ ותרגילים פסולים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הערכאה הדיונית קבעה כי היא אמרה אמת בחקירה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זהבה אישרה זאת מעל דוכן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שוכנעתי כי התנהלות החוקרים פגעה בזכותו של המערער להליך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להסרת 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אבהיר כי כשלי החקירה ואופן התייחסותם של החוקרים לזהבה מפורטים בהכרעת הדין ללא כחל וסרק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הרחיק לכת בטענתו שזהבה עברה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עינויים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טענה נוספת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זהבה טעתה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איחדה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בטעות את התוכן של שתי שיחות טלפון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אישר שהוא אמר לזהבה שהוא הולך </w:t>
      </w:r>
      <w:r>
        <w:rPr>
          <w:rtl w:val="true"/>
        </w:rPr>
        <w:t>"</w:t>
      </w:r>
      <w:r>
        <w:rPr>
          <w:rtl w:val="true"/>
        </w:rPr>
        <w:t>לארגן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זהבה</w:t>
      </w:r>
      <w:r>
        <w:rPr>
          <w:rFonts w:ascii="Century" w:hAnsi="Century" w:cs="Century"/>
          <w:rtl w:val="true"/>
        </w:rPr>
        <w:t xml:space="preserve"> הכוונה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לרכישת סיגריות לחג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1806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ופסקה</w:t>
      </w:r>
      <w:r>
        <w:rPr>
          <w:rFonts w:eastAsia="Arial TUR" w:cs="Arial TUR"/>
          <w:rtl w:val="true"/>
        </w:rPr>
        <w:t xml:space="preserve"> </w:t>
      </w:r>
      <w:r>
        <w:rPr/>
        <w:t>558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זהבה נשאלה על איזה כסף מדובר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והשיבה בפירוט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שחייבים לו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הוא נתן למישהו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הלווה למישהו </w:t>
      </w:r>
      <w:r>
        <w:rPr>
          <w:rFonts w:cs="Century" w:ascii="Century" w:hAnsi="Century"/>
          <w:rtl w:val="true"/>
        </w:rPr>
        <w:t xml:space="preserve">[..] </w:t>
      </w:r>
      <w:r>
        <w:rPr>
          <w:rFonts w:ascii="Century" w:hAnsi="Century" w:cs="Century"/>
          <w:rtl w:val="true"/>
        </w:rPr>
        <w:t xml:space="preserve">הוא נתן למישהו לשמור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הוא הרגיש שלא מחזירים לו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עובדה שהוא אמר אני הולך להביא את הכסף בכל מחיר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גישתו של המערער מבוססת על הנחת היסוד שלפיה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הוכח שאין חוב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ולכן לא ייתכן שהמערער אמר שחייבים לו כסף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שכבר הערתי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שהחוב של שחר נפרע לא בהכרח ממצה את היחסים בין המערער למנוח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הגרסה של זהבה אכן התפתחה במהלך החקירות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בניגוד לטענתו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חלה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התפתחות דרמטית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בחקירה מיום </w:t>
      </w:r>
      <w:r>
        <w:rPr>
          <w:rFonts w:cs="Century" w:ascii="Century" w:hAnsi="Century"/>
        </w:rPr>
        <w:t>30.9.2013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האמירה כי מאן דהוא היה חייב למערער כסף נשמעה מפיה של זהבה כבר בחקירה מיום </w:t>
      </w:r>
      <w:r>
        <w:rPr>
          <w:rFonts w:cs="Century" w:ascii="Century" w:hAnsi="Century"/>
        </w:rPr>
        <w:t>15.9.2013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הוא אמר שקשה לו שאנשים תוקעים לו סכין בגב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 xml:space="preserve">שחייבים לו כסף והוא רוצה את הכסף בכל מחיר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הוא הלווה למישהו כסף והמישהו הזה לא מחזיר לו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5-4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המערער ביקש לטעון שהאמירה </w:t>
      </w:r>
      <w:r>
        <w:rPr>
          <w:rtl w:val="true"/>
        </w:rPr>
        <w:t>"</w:t>
      </w:r>
      <w:r>
        <w:rPr>
          <w:rtl w:val="true"/>
        </w:rPr>
        <w:t>תוקעים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"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551</w:t>
      </w:r>
      <w:r>
        <w:rPr>
          <w:rtl w:val="true"/>
        </w:rPr>
        <w:t xml:space="preserve">). </w:t>
      </w:r>
      <w:r>
        <w:rPr>
          <w:rtl w:val="true"/>
        </w:rPr>
        <w:t>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" </w:t>
      </w:r>
      <w:r>
        <w:rPr>
          <w:rFonts w:ascii="Century" w:hAnsi="Century" w:cs="Century"/>
          <w:rtl w:val="true"/>
        </w:rPr>
        <w:t>אך בניגוד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דווקא בהקשר זה היא הבהירה שאיננה בטוחה אם היא שמעה זאת מפי המערער או בדיעבד מפי אשתו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בניגוד לטענה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היו בו בכלל כעסים או עצבים או מרמור מצידו של המערער כלפי פלוני אלמוני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563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זהבה העידה כי המערער היה נסער מאד ואמר לה בטלפון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הזין הזה צריך להחזיר לי את הכסף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כסף שלי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נמאס לי שדופקים אותי מאחורה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אדם טוב ואז כל הזמן נותנים לי 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תוקעים לי סכין בגב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לסיכום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מקבל את טענותיו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מבטאות פרשנות יצירתית לדבריה של זהבה באופן שמנתק מילים ומשפטים מההקשר בו נאמרו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זבולון</w:t>
      </w:r>
      <w:r>
        <w:rPr>
          <w:rtl w:val="true"/>
        </w:rPr>
        <w:t>, "</w:t>
      </w:r>
      <w:r>
        <w:rPr>
          <w:rtl w:val="true"/>
        </w:rPr>
        <w:t>ישבנו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צחקנו</w:t>
      </w:r>
      <w:r>
        <w:rPr>
          <w:rtl w:val="true"/>
        </w:rPr>
        <w:t>", "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מנוחות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".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1672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כרמית שסיפרה על אירוע שקרוב יותר למועד הרצח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בדומה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7253/14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16.11.2015</w:t>
      </w:r>
      <w:r>
        <w:rPr>
          <w:rFonts w:cs="Century" w:ascii="Century" w:hAnsi="Century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זבולון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זבולון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שהוכרז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הסתיימה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ועומסי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188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815-806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213</w:t>
      </w:r>
      <w:r>
        <w:rPr>
          <w:rtl w:val="true"/>
        </w:rPr>
        <w:t xml:space="preserve">;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היסטורי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לבינו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ועומסי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וזבולון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כתימוכין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פיפיות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19.8.2013</w:t>
      </w:r>
      <w:r>
        <w:rPr>
          <w:rtl w:val="true"/>
        </w:rPr>
        <w:t xml:space="preserve">,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בצהריים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 xml:space="preserve">) </w:t>
      </w:r>
      <w:r>
        <w:rPr>
          <w:rtl w:val="true"/>
        </w:rPr>
        <w:t>בערב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עומסי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הוכח במשפט כי בניגוד לגרסתו של המערער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לו יחסים מורכבים עם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ובנסיבות אלה העובדה שהמניע לא הוכח באופן ברור איננה מחלישה את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מצביעות באופן ברור על אשמתו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מהימנותו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start="75"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בחקירה הראשונה של המערער לאחר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השיב על שאלות החוקרים באופן סלקטיבי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חלק מתשובותיו של המערער התבררו בדיעבד כנכונות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אבל הוא הקפיד לשתוק כאשר השאלות התקרבו לנושא הרצח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כאשר המערער נשאל היכן היה בחג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השיב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אצל דני אני חושב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זה האחרון שאני מדבר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רוצה להתייעץ עם העורך דין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בניגוד לטענות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תשובה זו איננה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אליבי מוצק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ודבריו של המערער לחוקרים שהוא אינו יודע על מה הם מדברים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אינם יכולים להיחשב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גרסה עובדתית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כאשר החוקרים אמרו למערער שהמנוח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עקץ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בחר לא להגיב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הסתבך בשקרים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ושלל את העובדה שהמנוח היה מעורב בסיפור בינו לבין שחר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טען שאינו משתמש בבגדים של אחרים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דבר שאינו נכון גם לפי דבריו המאוחרים של המערער עצמו כאשר ניסה להסביר את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החולצה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בחקירות הבאות המערער שמר באדיקות על זכות השתיקה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כאשר התבקש להסביר את הממצאים שקושרים אותו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ולמרות שהוסבר לו שהשתיקה תיזקף לחובתו במשפט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מנימוקי הערעור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עודנו טועה לחשוב כי עצתו של עורך דין מוכר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הצדקה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שמאיינת את משקלה הראייתי של שתיקה בחקירה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לשתיקה זו יש מחיר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וגרסתו העובדתית של המערער היא גרסה כבושה שנמסרה רק לאחר שראיות התביעה נפרשו בפניו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לטענה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במענה לכתב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7.1.2014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לא מסר גרסה מפורטת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והסתפק בטענה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במקום אחר הייתי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ובטענה כי החוב של שחר נפרע זמן רב לפני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במענה לכתב האישום אין זכר לטענות עובדתיות רבות שנשמעות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הטענה שהכפפות של המערער נגנבו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היה חולה במועד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הטענה שכובע הגרב של דניאל היה מונח על השולחן ולא בתוך המגירה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הפורנזיים</w:t>
      </w:r>
      <w:r>
        <w:rPr>
          <w:rtl w:val="true"/>
        </w:rPr>
        <w:t xml:space="preserve">, </w:t>
      </w:r>
      <w:r>
        <w:rPr>
          <w:rtl w:val="true"/>
        </w:rPr>
        <w:t>החד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משמעיים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הפתלתלה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הפריטים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נשמרה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מכנסיו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בחממות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276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30"/>
        </w:rPr>
      </w:pPr>
      <w:r>
        <w:rPr>
          <w:rFonts w:cs="Century" w:ascii="Century" w:hAnsi="Century"/>
          <w:sz w:val="24"/>
          <w:szCs w:val="3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ופסקאות</w:t>
      </w:r>
      <w:r>
        <w:rPr>
          <w:rFonts w:eastAsia="Arial TUR" w:cs="Arial TUR"/>
          <w:rtl w:val="true"/>
        </w:rPr>
        <w:t xml:space="preserve"> </w:t>
      </w:r>
      <w:r>
        <w:rPr/>
        <w:t>293-279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  <w:szCs w:val="34"/>
        </w:rPr>
      </w:pPr>
      <w:r>
        <w:rPr>
          <w:sz w:val="28"/>
          <w:szCs w:val="3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כחשוד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פוטנציאלי</w:t>
      </w:r>
    </w:p>
    <w:p>
      <w:pPr>
        <w:pStyle w:val="Ruller41"/>
        <w:ind w:start="7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להכפיש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>" (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/>
        <w:t>37</w:t>
      </w:r>
      <w:r>
        <w:rPr>
          <w:rtl w:val="true"/>
        </w:rPr>
        <w:t xml:space="preserve">, </w:t>
      </w:r>
      <w:r>
        <w:rPr/>
        <w:t>181-198</w:t>
      </w:r>
      <w:r>
        <w:rPr>
          <w:rtl w:val="true"/>
        </w:rPr>
        <w:t xml:space="preserve">, </w:t>
      </w:r>
      <w:r>
        <w:rPr/>
        <w:t>233</w:t>
      </w:r>
      <w:r>
        <w:rPr>
          <w:rtl w:val="true"/>
        </w:rPr>
        <w:t xml:space="preserve">, </w:t>
      </w:r>
      <w:r>
        <w:rPr/>
        <w:t>261-250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פרק נרחב למניע של שחר לפגוע במנוח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זו היא רק סוגיה משנית במסגרת הדיון באפשרות ששחר רצח את המנוח והפליל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אתייחס אליה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רחוקה</w:t>
      </w:r>
      <w:r>
        <w:rPr>
          <w:rtl w:val="true"/>
        </w:rPr>
        <w:t xml:space="preserve">";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ובעבר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כערב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כנקמה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: "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למכה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ויקרה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בדניאל</w:t>
      </w:r>
      <w:r>
        <w:rPr>
          <w:rtl w:val="true"/>
        </w:rPr>
        <w:t xml:space="preserve">, </w:t>
      </w:r>
      <w:r>
        <w:rPr>
          <w:rtl w:val="true"/>
        </w:rPr>
        <w:t>מניין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ודניאל</w:t>
      </w:r>
      <w:r>
        <w:rPr>
          <w:rtl w:val="true"/>
        </w:rPr>
        <w:t xml:space="preserve">?".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tl w:val="true"/>
        </w:rPr>
        <w:t>, "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: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וטביעות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1061</w:t>
      </w:r>
      <w:r>
        <w:rPr>
          <w:rtl w:val="true"/>
        </w:rPr>
        <w:t xml:space="preserve">, </w:t>
      </w:r>
      <w:r>
        <w:rPr/>
        <w:t>1093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מאמציו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לכישלון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תיאורטית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כחשוד</w:t>
      </w:r>
      <w:r>
        <w:rPr>
          <w:rtl w:val="true"/>
        </w:rPr>
        <w:t xml:space="preserve">).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).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1097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נוח</w:t>
      </w:r>
      <w:r>
        <w:rPr>
          <w:rtl w:val="true"/>
        </w:rPr>
        <w:t xml:space="preserve">" </w:t>
      </w:r>
      <w:r>
        <w:rPr>
          <w:rtl w:val="true"/>
        </w:rPr>
        <w:t>שקשה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ההודעות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tl w:val="true"/>
        </w:rPr>
        <w:t>"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508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):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tl w:val="true"/>
        </w:rPr>
        <w:t xml:space="preserve">).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1005</w:t>
      </w:r>
      <w:r>
        <w:rPr>
          <w:rtl w:val="true"/>
        </w:rPr>
        <w:t xml:space="preserve">, </w:t>
      </w:r>
      <w:r>
        <w:rPr/>
        <w:t>1077-1078</w:t>
      </w:r>
      <w:r>
        <w:rPr>
          <w:rtl w:val="true"/>
        </w:rPr>
        <w:t xml:space="preserve">, </w:t>
      </w:r>
      <w:r>
        <w:rPr/>
        <w:t>1112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: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מגילה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לדניאל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במריצה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והסתיר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והתייחסותו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האגבית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תגמול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פרץ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התגנב</w:t>
      </w:r>
      <w:r>
        <w:rPr>
          <w:rtl w:val="true"/>
        </w:rPr>
        <w:t xml:space="preserve">"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1083-1081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התקררו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הבקשה הצנועה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להוסיף ולבצע פעולות חקירה בעניינו של שחר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עולה בקנה אחד עם הכרעת דין מרשיעה שמבוססת על ראיות נחרצות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והבקשה צורמת בעיקר בשים לב לכך שההגנה לא עשתה את המינימום הנדרש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חקירה נגדית רלוונטית של שחר והגשת ההודעות הרלוונטיות שלו ושל חברתו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</w:p>
    <w:p>
      <w:pPr>
        <w:pStyle w:val="Ruller41"/>
        <w:ind w:start="7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והבקשות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8.11.2018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26.11.2018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".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, </w:t>
      </w:r>
      <w:r>
        <w:rPr>
          <w:rtl w:val="true"/>
        </w:rPr>
        <w:t>ובגדרה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רוזנגרטן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רוזנגרטן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הדוקר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 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)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בערימה</w:t>
      </w:r>
      <w:r>
        <w:rPr>
          <w:rtl w:val="true"/>
        </w:rPr>
        <w:t xml:space="preserve">, </w:t>
      </w:r>
      <w:r>
        <w:rPr>
          <w:rtl w:val="true"/>
        </w:rPr>
        <w:t>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בזיהום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".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הוספת ראיה חדשה בשלב הערעור היא מהלך דיוני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ולצורך הכרעה בבקשה שלפנינו ינחו אותנו שלושה שיקולים עיקריים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האפשרות שהיתה למבקש להגיש את הראיה בערכאה הדיונית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האינטרס בדבר סופיות הדיון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טיב הראיה החדשה והפוטנציאל שלה להשפיע על תוצאת ההליך </w:t>
      </w:r>
      <w:r>
        <w:rPr>
          <w:rFonts w:cs="Century" w:ascii="Century" w:hAnsi="Century"/>
          <w:rtl w:val="true"/>
        </w:rPr>
        <w:t>(</w:t>
      </w:r>
      <w:hyperlink r:id="rId12">
        <w:bookmarkStart w:id="17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3578/11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סטרוק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>‏</w:t>
      </w:r>
      <w:bookmarkEnd w:id="17"/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13.8.2012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 xml:space="preserve">;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2632/16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7.5.2019</w:t>
      </w:r>
      <w:r>
        <w:rPr>
          <w:rFonts w:cs="Century" w:ascii="Century" w:hAnsi="Century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נפנה ליישום השיקולים בענייננו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קשה לחלוק על כך שהיתה אפשרות להגיש את הראיה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 לא היתה התפתחות ראייתית כלשהי לאחר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בבקשה להוספת ראיה צויין כי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החלפת הייצוג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 ההגנה מתמקד בטענה להפללה ובאפשרות ששחר ביצע את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איני סבור כי החלפת הייצוג מהווה טעם להתיר הגשת ראיה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השינוי אינו רלוונטי משום שגם בבית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טען כי הבגדים הושתלו כדי להפליל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העלה את האפשרות ששחר מעורב בניסיון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טען בפירוש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טיפות הדם שנמצאו על גבי החפצים הגיעו מהסכין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לסיכומים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הטענה אינה חדשה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וחוות הדעת היתה יכולה להיות מוגשת לבית המשפט קמא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האינטרס בדבר סופיות הדיון זוכה למשקל מיוחד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אנו עומדים כיום כשש שנים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ושלוש שנים אחרי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דחיות חוזרות ונשנות שהתבקשו מטעם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שיקולים אלה הם חשובים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מכיוון שעסקינן בעבירת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לבחון בקפידה את השיקול 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האם הראייה החדשה יכולה לשנות את תוצאת ההליך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ככל שמדובר בראיה שקבלתה תיצור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ממשי במארג הראייתי הקיים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שהחשש מפני עיוות דין הוא השיקול העיקרי שצריך לעמוד לנגד עינינו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יעלה בידי המערער להוכיח כי הרוצח לא לבש את הבגדים שנמצאו לצד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תתנתק הזיקה בין ממצאי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המעורבות 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וחלק ניכר של הראיות יאבדו את כוחן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על פי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שעיינתי בדברים אינני סבור כי בראיה החדשה גלום פוטנציאל לשינוי ההכרעה בתיק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המסקנות של חוות הדעת החדשה נשענות על ספקולציות על גבי הנחות שלא הוכחו כנדרש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המומחה רוזנגרטן הסיק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בין המכונית לגוף המדמם היה מחסום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void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שקלט את טיפות הדם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מחסום זה הוא האדם שדקר את המנוח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ככל שניתן להבין מחוות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היסק זה מבוסס על העובדה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רצף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כתמי ההתזה שעל הדלת הקדמית של הרכב לבין הכתמים על חלקו האחורי של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אכן זוהי הטענה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היא אינה יכולה לעמוד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קמא קיבל את עדות המומחה אביגדורי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הכתמים בחלק האחורי של הרכב אינם קשורים לתקיפה עצמה אלא לדם שניתז מכלי הרצח או מידיו של התוקף שעבר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וכך מסמנים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נתיב מילוט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אפילו רוזנגרטן עצמו ציין כי הממצאים בזירה מלמדים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שני אירועים שונים שגרמו להיווצרות הכתמים בשני האזורים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ויתכן גם שעל מנגנוני יצירה שונים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 שהוגשה לעיוננו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טענתו של המערער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דם ניתז לכל עבר בזירת הרצח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והגיע עד לחלק האחורי של הרכב ולשיחים הסמוכים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 מתיישבת עם חוות דעתם של המומחים שבדקו את הזירה והתרשמו כי כתמי הדם בחלק האחורי של הרכב ובשיחים נוצרו בשלב שבו הדוקר נמלט מהזירה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 כי אמנם על ידיו של המנוח נמצאו פצעי התגוננות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עדי הראייה לא דיווחו על מאבק בין התוקף למנוח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ראוי לציין כי אין קביעה ברורה לגבי המיקום המדוייק של המנוח והדוקר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היתר לא ברור אם המנוח ישב בתוך הרכב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על פי עדות ראיה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214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או עמד בסמוך לרכב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על פי הערכת המומחה אביגדורי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אך ידוע כי דלת הרכב היתה פתוחה לפחות בחלק מהזמן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גם לפי חוו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רוזנגרטן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מובן כי לאפשרויות אלה יש השפעה על האפשרות של התזת כתמי דם על בגדיו של הדוקר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בחוות הדעת אין התייחסות לכך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בסיכום חוות דעתו של המומחה רוזנגרטן נאמר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קיימת סבירות גבוהה מאד כי כתמי הדם על כל המוצגים השונים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למעט הסכין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שנמצאו בערימה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מקורם בזיהום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מסקנה זו מבוססת לכאורה על האמור בחוות הדעת כי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היות והסכין נמצאה בערימה יחד עם כל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לשלול את ההנחה כי הסכין זיהמה את יתר המוצגים שבערימה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לאור העובדה כי כתמי הדם על יתר המוצגים שבערימה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מתאימים לזיהום הנוצר ממגע ולא מהתזה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לאור מזכר הרבש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ץ כי כל הפריטים היו נתונים תחת אבן שהעיקה עליהם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כבר במבט 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צודקת כי חוות הדעת מתאפיינת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קפיצה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 מוסברת מאפשרות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ניתן לשלול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לבין מסקנה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סבירות גבוהה מאד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הבגדים נמצאו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הסכין היתה מונחת רק על הכובע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והמומחה לא הסביר כיצד היא זיהמה את יתר הפריטים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טענה שכתם הדם על הכובע היה כה משמעותי עד שהדם עבר את הכובע והכתים בגדים שהונחו תחתיו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רכז הביטחון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הזיז את הפריטים עם הרגל הוא זהם את המערום ו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הסכין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ככל הנראה טפטפה על המוצגים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 בערעור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רכז הביטחון העיד שהוא לא הזיז את הממצאים אלא את האבן שהיתה עליהם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וגם אם נניח שהם הוזזו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שבמועד זה כבר חלפו שבע שעות מאז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ולכל הפחות נדרשת התייחסות לאפשרות שהדם על הסכין כבר התייבש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מפליל</w:t>
      </w:r>
      <w:r>
        <w:rPr>
          <w:rtl w:val="true"/>
        </w:rPr>
        <w:t xml:space="preserve">'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הנדן</w:t>
      </w:r>
      <w:r>
        <w:rPr>
          <w:rtl w:val="true"/>
        </w:rPr>
        <w:t xml:space="preserve">".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שממצא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מפליל</w:t>
      </w:r>
      <w:r>
        <w:rPr>
          <w:rtl w:val="true"/>
        </w:rPr>
        <w:t xml:space="preserve">',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</w:t>
      </w:r>
      <w:r>
        <w:rPr>
          <w:rtl w:val="true"/>
        </w:rPr>
        <w:t xml:space="preserve">, </w:t>
      </w:r>
      <w:r>
        <w:rPr>
          <w:rtl w:val="true"/>
        </w:rPr>
        <w:t>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צבע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הנדן</w:t>
      </w:r>
      <w:r>
        <w:rPr>
          <w:rtl w:val="true"/>
        </w:rPr>
        <w:t xml:space="preserve">,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10-7</w:t>
      </w:r>
      <w:r>
        <w:rPr>
          <w:rtl w:val="true"/>
        </w:rPr>
        <w:t>).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600,000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(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</w:t>
      </w:r>
      <w:r>
        <w:rPr>
          <w:rFonts w:ascii="Century" w:hAnsi="Century" w:cs="Century"/>
          <w:rtl w:val="true"/>
        </w:rPr>
        <w:t>יו הקטינים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לאור ההלכה שנקבעה ב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5625/16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13.9.2017</w:t>
      </w:r>
      <w:r>
        <w:rPr>
          <w:rFonts w:cs="Century" w:ascii="Century" w:hAnsi="Century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tl w:val="true"/>
        </w:rPr>
        <w:t xml:space="preserve">),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tl w:val="true"/>
        </w:rPr>
        <w:t xml:space="preserve">.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מהילדים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והשינוי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חינוך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תיאורטית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</w:p>
    <w:p>
      <w:pPr>
        <w:pStyle w:val="Ruller41"/>
        <w:ind w:start="7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";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";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הרטוריקה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תרנגולת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.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ולחזור</w:t>
      </w:r>
      <w:r>
        <w:rPr>
          <w:rtl w:val="true"/>
        </w:rPr>
        <w:t xml:space="preserve">, </w:t>
      </w:r>
      <w:r>
        <w:rPr>
          <w:rtl w:val="true"/>
        </w:rPr>
        <w:t>התבטאותו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 xml:space="preserve">,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אני מסכים לחוות דעתו המנומקת היטב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הכפפות</w:t>
      </w:r>
      <w:r>
        <w:rPr>
          <w:rtl w:val="true"/>
        </w:rPr>
        <w:t xml:space="preserve">)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לדניאל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שזוהה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.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הפללה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מיטיבו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; </w:t>
      </w:r>
      <w:r>
        <w:rPr>
          <w:rtl w:val="true"/>
        </w:rPr>
        <w:t>בערכאתנו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שלדניאל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מוצק</w:t>
      </w:r>
      <w:r>
        <w:rPr>
          <w:rtl w:val="true"/>
        </w:rPr>
        <w:t xml:space="preserve">, </w:t>
      </w:r>
      <w:r>
        <w:rPr>
          <w:rtl w:val="true"/>
        </w:rPr>
        <w:t>הופנתה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כספקולציה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גמורה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)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ספקולטיבית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קונספירציה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מקדאד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  <w:r>
        <w:rPr/>
        <w:t>221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ספקולטיבי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ומשנדחו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1.7.2019</w:t>
      </w:r>
      <w:r>
        <w:rPr>
          <w:rFonts w:cs="Century" w:ascii="Century" w:hAnsi="Century"/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16023620</w:t>
      </w:r>
      <w:r>
        <w:rPr>
          <w:sz w:val="16"/>
          <w:rtl w:val="true"/>
        </w:rPr>
        <w:t>_</w:t>
      </w:r>
      <w:r>
        <w:rPr>
          <w:sz w:val="16"/>
        </w:rPr>
        <w:t>E34.docx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  <w:r>
        <w:rPr>
          <w:rtl w:val="true"/>
        </w:rPr>
        <w:t>+</w:t>
      </w:r>
      <w:r>
        <w:rPr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54678313-2362/16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2362/16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ערן אליהו קרני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Arial TUR" w:hAnsi="Arial TUR" w:eastAsia="Times New Roman" w:cs="FrankRuehl"/>
      <w:lang w:bidi="he-I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Arial TUR" w:hAnsi="Arial TUR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Arial TUR" w:hAnsi="Arial TUR" w:eastAsia="Times New Roman" w:cs="FrankRuehl"/>
      <w:lang w:bidi="he-IL"/>
    </w:rPr>
  </w:style>
  <w:style w:type="character" w:styleId="WW8Num14z1">
    <w:name w:val="WW8Num14z1"/>
    <w:qFormat/>
    <w:rPr>
      <w:rFonts w:ascii="Courier New" w:hAnsi="Courier New" w:cs="Courier New"/>
      <w:lang w:bidi="he-I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Arial TUR" w:hAnsi="Arial TUR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Arial TUR" w:hAnsi="Arial TUR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sz w:val="28"/>
    </w:rPr>
  </w:style>
  <w:style w:type="character" w:styleId="WW8Num19z0">
    <w:name w:val="WW8Num19z0"/>
    <w:qFormat/>
    <w:rPr>
      <w:rFonts w:cs="Times New Roman"/>
      <w:b w:val="false"/>
      <w:bCs w:val="false"/>
    </w:rPr>
  </w:style>
  <w:style w:type="character" w:styleId="WW8Num19z1">
    <w:name w:val="WW8Num1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4">
    <w:name w:val=" Char Char4"/>
    <w:qFormat/>
    <w:rPr>
      <w:rFonts w:cs="David"/>
    </w:rPr>
  </w:style>
  <w:style w:type="character" w:styleId="CharChar3">
    <w:name w:val=" Char Char3"/>
    <w:qFormat/>
    <w:rPr>
      <w:rFonts w:cs="David"/>
      <w:b/>
      <w:bCs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fn">
    <w:name w:val="fn"/>
    <w:qFormat/>
    <w:rPr/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EndnoteText">
    <w:name w:val="end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filenumber0">
    <w:name w:val="filenumber0"/>
    <w:basedOn w:val="Normal"/>
    <w:qFormat/>
    <w:pPr>
      <w:spacing w:lineRule="auto" w:line="360"/>
      <w:textAlignment w:val="auto"/>
    </w:pPr>
    <w:rPr>
      <w:rFonts w:cs="Times New Roman"/>
      <w:szCs w:val="20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84316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case/8431603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8753203" TargetMode="External"/><Relationship Id="rId10" Type="http://schemas.openxmlformats.org/officeDocument/2006/relationships/hyperlink" Target="http://www.nevo.co.il/case/10549740" TargetMode="External"/><Relationship Id="rId11" Type="http://schemas.openxmlformats.org/officeDocument/2006/relationships/hyperlink" Target="http://www.nevo.co.il/case/18120150" TargetMode="External"/><Relationship Id="rId12" Type="http://schemas.openxmlformats.org/officeDocument/2006/relationships/hyperlink" Target="http://www.nevo.co.il/case/5787186" TargetMode="External"/><Relationship Id="rId13" Type="http://schemas.openxmlformats.org/officeDocument/2006/relationships/hyperlink" Target="http://www.nevo.co.il/case/22303274" TargetMode="External"/><Relationship Id="rId14" Type="http://schemas.openxmlformats.org/officeDocument/2006/relationships/hyperlink" Target="http://www.nevo.co.il/law/70301/7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1477594" TargetMode="External"/><Relationship Id="rId17" Type="http://schemas.openxmlformats.org/officeDocument/2006/relationships/hyperlink" Target="http://www.nevo.co.il/case/5798700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2019-07-02T11:36:00Z</dcterms:created>
  <dc:creator>h4</dc:creator>
  <dc:description/>
  <cp:keywords/>
  <dc:language>en-IL</dc:language>
  <cp:lastModifiedBy>hofit</cp:lastModifiedBy>
  <cp:lastPrinted>2019-07-01T19:19:00Z</cp:lastPrinted>
  <dcterms:modified xsi:type="dcterms:W3CDTF">2019-07-02T11:36:00Z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ערן אליהו קרני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נפגע העבירה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ProcID=213&amp;PartA=268&amp;PartC=26</vt:lpwstr>
  </property>
  <property fmtid="{D5CDD505-2E9C-101B-9397-08002B2CF9AE}" pid="9" name="CASENOTES2">
    <vt:lpwstr>ProcID=213&amp;PartA=293&amp;PartC=27</vt:lpwstr>
  </property>
  <property fmtid="{D5CDD505-2E9C-101B-9397-08002B2CF9AE}" pid="10" name="CASESLISTTMP1">
    <vt:lpwstr>8431603:2;18753203;10549740;18120150;5787186;22303274;21477594;5798700</vt:lpwstr>
  </property>
  <property fmtid="{D5CDD505-2E9C-101B-9397-08002B2CF9AE}" pid="11" name="CITY">
    <vt:lpwstr/>
  </property>
  <property fmtid="{D5CDD505-2E9C-101B-9397-08002B2CF9AE}" pid="12" name="DATE">
    <vt:lpwstr>20190701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עמית;ד' מינץ;ע' גרוסקופף</vt:lpwstr>
  </property>
  <property fmtid="{D5CDD505-2E9C-101B-9397-08002B2CF9AE}" pid="16" name="LAWLISTTMP1">
    <vt:lpwstr>70301/300.a.2;077</vt:lpwstr>
  </property>
  <property fmtid="{D5CDD505-2E9C-101B-9397-08002B2CF9AE}" pid="17" name="LAWYER">
    <vt:lpwstr>יעל שרף;עירית גזית;אלון אייזנברג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>ראיות</vt:lpwstr>
  </property>
  <property fmtid="{D5CDD505-2E9C-101B-9397-08002B2CF9AE}" pid="35" name="NOSE17">
    <vt:lpwstr>עונשין</vt:lpwstr>
  </property>
  <property fmtid="{D5CDD505-2E9C-101B-9397-08002B2CF9AE}" pid="36" name="NOSE18">
    <vt:lpwstr>בתי-משפט</vt:lpwstr>
  </property>
  <property fmtid="{D5CDD505-2E9C-101B-9397-08002B2CF9AE}" pid="37" name="NOSE19">
    <vt:lpwstr/>
  </property>
  <property fmtid="{D5CDD505-2E9C-101B-9397-08002B2CF9AE}" pid="38" name="NOSE1ID">
    <vt:lpwstr>18;18;18;89;89;89;77;14</vt:lpwstr>
  </property>
  <property fmtid="{D5CDD505-2E9C-101B-9397-08002B2CF9AE}" pid="39" name="NOSE21">
    <vt:lpwstr>הרשעה</vt:lpwstr>
  </property>
  <property fmtid="{D5CDD505-2E9C-101B-9397-08002B2CF9AE}" pid="40" name="NOSE210">
    <vt:lpwstr/>
  </property>
  <property fmtid="{D5CDD505-2E9C-101B-9397-08002B2CF9AE}" pid="41" name="NOSE22">
    <vt:lpwstr>הרשעה</vt:lpwstr>
  </property>
  <property fmtid="{D5CDD505-2E9C-101B-9397-08002B2CF9AE}" pid="42" name="NOSE23">
    <vt:lpwstr>הרשעה</vt:lpwstr>
  </property>
  <property fmtid="{D5CDD505-2E9C-101B-9397-08002B2CF9AE}" pid="43" name="NOSE24">
    <vt:lpwstr>ראיות נסיבתיות</vt:lpwstr>
  </property>
  <property fmtid="{D5CDD505-2E9C-101B-9397-08002B2CF9AE}" pid="44" name="NOSE25">
    <vt:lpwstr>ראיות נסיבתיות</vt:lpwstr>
  </property>
  <property fmtid="{D5CDD505-2E9C-101B-9397-08002B2CF9AE}" pid="45" name="NOSE26">
    <vt:lpwstr>ערעור</vt:lpwstr>
  </property>
  <property fmtid="{D5CDD505-2E9C-101B-9397-08002B2CF9AE}" pid="46" name="NOSE27">
    <vt:lpwstr>פיצויים והוצאות</vt:lpwstr>
  </property>
  <property fmtid="{D5CDD505-2E9C-101B-9397-08002B2CF9AE}" pid="47" name="NOSE28">
    <vt:lpwstr>ערעור</vt:lpwstr>
  </property>
  <property fmtid="{D5CDD505-2E9C-101B-9397-08002B2CF9AE}" pid="48" name="NOSE29">
    <vt:lpwstr/>
  </property>
  <property fmtid="{D5CDD505-2E9C-101B-9397-08002B2CF9AE}" pid="49" name="NOSE2ID">
    <vt:lpwstr>465;465;465;1663;1663;1656;1447;333</vt:lpwstr>
  </property>
  <property fmtid="{D5CDD505-2E9C-101B-9397-08002B2CF9AE}" pid="50" name="NOSE31">
    <vt:lpwstr>ערעור</vt:lpwstr>
  </property>
  <property fmtid="{D5CDD505-2E9C-101B-9397-08002B2CF9AE}" pid="51" name="NOSE310">
    <vt:lpwstr/>
  </property>
  <property fmtid="{D5CDD505-2E9C-101B-9397-08002B2CF9AE}" pid="52" name="NOSE32">
    <vt:lpwstr>על יסוד ראיות נסיבתיות</vt:lpwstr>
  </property>
  <property fmtid="{D5CDD505-2E9C-101B-9397-08002B2CF9AE}" pid="53" name="NOSE33">
    <vt:lpwstr>ספק סביר</vt:lpwstr>
  </property>
  <property fmtid="{D5CDD505-2E9C-101B-9397-08002B2CF9AE}" pid="54" name="NOSE34">
    <vt:lpwstr>דרך בחינתן</vt:lpwstr>
  </property>
  <property fmtid="{D5CDD505-2E9C-101B-9397-08002B2CF9AE}" pid="55" name="NOSE35">
    <vt:lpwstr>מניע</vt:lpwstr>
  </property>
  <property fmtid="{D5CDD505-2E9C-101B-9397-08002B2CF9AE}" pid="56" name="NOSE36">
    <vt:lpwstr>הגשת ראיה נוספת בערעור</vt:lpwstr>
  </property>
  <property fmtid="{D5CDD505-2E9C-101B-9397-08002B2CF9AE}" pid="57" name="NOSE37">
    <vt:lpwstr>פיצויים לקורבן</vt:lpwstr>
  </property>
  <property fmtid="{D5CDD505-2E9C-101B-9397-08002B2CF9AE}" pid="58" name="NOSE38">
    <vt:lpwstr>התערבות במהימנות עדים</vt:lpwstr>
  </property>
  <property fmtid="{D5CDD505-2E9C-101B-9397-08002B2CF9AE}" pid="59" name="NOSE39">
    <vt:lpwstr/>
  </property>
  <property fmtid="{D5CDD505-2E9C-101B-9397-08002B2CF9AE}" pid="60" name="NOSE3ID">
    <vt:lpwstr>3638;3637;3635;10521;10526;10460;9013;13579</vt:lpwstr>
  </property>
  <property fmtid="{D5CDD505-2E9C-101B-9397-08002B2CF9AE}" pid="61" name="PADIDATE">
    <vt:lpwstr>20190702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2362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410120190701</vt:lpwstr>
  </property>
  <property fmtid="{D5CDD505-2E9C-101B-9397-08002B2CF9AE}" pid="71" name="TYPE_N_DATE">
    <vt:lpwstr>41020190701</vt:lpwstr>
  </property>
  <property fmtid="{D5CDD505-2E9C-101B-9397-08002B2CF9AE}" pid="72" name="VOLUME">
    <vt:lpwstr/>
  </property>
  <property fmtid="{D5CDD505-2E9C-101B-9397-08002B2CF9AE}" pid="73" name="WORDNUMPAGES">
    <vt:lpwstr>33</vt:lpwstr>
  </property>
</Properties>
</file>